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82BB36">
      <w:pPr>
        <w:rPr>
          <w:color w:val="auto"/>
        </w:rPr>
      </w:pPr>
    </w:p>
    <w:p w14:paraId="77C00BC9">
      <w:pPr>
        <w:rPr>
          <w:rFonts w:eastAsia="仿宋_GB2312"/>
          <w:color w:val="auto"/>
          <w:sz w:val="36"/>
          <w:szCs w:val="36"/>
        </w:rPr>
      </w:pPr>
    </w:p>
    <w:p w14:paraId="57C386D1">
      <w:pPr>
        <w:rPr>
          <w:rFonts w:eastAsia="仿宋_GB2312"/>
          <w:color w:val="auto"/>
          <w:sz w:val="36"/>
          <w:szCs w:val="36"/>
        </w:rPr>
      </w:pPr>
    </w:p>
    <w:p w14:paraId="45989933">
      <w:pPr>
        <w:rPr>
          <w:rFonts w:eastAsia="仿宋_GB2312"/>
          <w:color w:val="auto"/>
          <w:sz w:val="36"/>
          <w:szCs w:val="36"/>
        </w:rPr>
      </w:pPr>
    </w:p>
    <w:p w14:paraId="6A1B521F">
      <w:pPr>
        <w:rPr>
          <w:rFonts w:eastAsia="仿宋_GB2312"/>
          <w:color w:val="auto"/>
          <w:sz w:val="36"/>
          <w:szCs w:val="36"/>
        </w:rPr>
      </w:pPr>
    </w:p>
    <w:p w14:paraId="22DD45EC">
      <w:pPr>
        <w:adjustRightInd w:val="0"/>
        <w:snapToGrid w:val="0"/>
        <w:spacing w:line="360" w:lineRule="auto"/>
        <w:jc w:val="center"/>
        <w:outlineLvl w:val="0"/>
        <w:rPr>
          <w:rFonts w:hint="eastAsia" w:ascii="宋体" w:hAnsi="宋体" w:cs="华文楷体"/>
          <w:color w:val="auto"/>
          <w:sz w:val="72"/>
          <w:szCs w:val="72"/>
        </w:rPr>
      </w:pPr>
      <w:bookmarkStart w:id="0" w:name="_Toc1043"/>
      <w:r>
        <w:rPr>
          <w:rFonts w:hint="eastAsia" w:ascii="宋体" w:hAnsi="宋体" w:cs="华文楷体"/>
          <w:color w:val="auto"/>
          <w:sz w:val="72"/>
          <w:szCs w:val="72"/>
        </w:rPr>
        <w:t>建设项目环境影响报告表</w:t>
      </w:r>
      <w:bookmarkEnd w:id="0"/>
    </w:p>
    <w:p w14:paraId="0986E471">
      <w:pPr>
        <w:adjustRightInd w:val="0"/>
        <w:snapToGrid w:val="0"/>
        <w:spacing w:line="360" w:lineRule="auto"/>
        <w:jc w:val="center"/>
        <w:rPr>
          <w:rFonts w:hint="eastAsia" w:ascii="宋体" w:hAnsi="宋体"/>
          <w:bCs/>
          <w:color w:val="auto"/>
          <w:sz w:val="48"/>
          <w:szCs w:val="48"/>
        </w:rPr>
      </w:pPr>
      <w:r>
        <w:rPr>
          <w:rFonts w:ascii="宋体" w:hAnsi="宋体"/>
          <w:bCs/>
          <w:color w:val="auto"/>
          <w:sz w:val="48"/>
          <w:szCs w:val="48"/>
        </w:rPr>
        <w:t>（污染影响类）</w:t>
      </w:r>
    </w:p>
    <w:p w14:paraId="758D9D3B">
      <w:pPr>
        <w:jc w:val="center"/>
        <w:rPr>
          <w:color w:val="auto"/>
          <w:sz w:val="52"/>
          <w:szCs w:val="52"/>
        </w:rPr>
      </w:pPr>
    </w:p>
    <w:p w14:paraId="417E841F">
      <w:pPr>
        <w:jc w:val="center"/>
        <w:rPr>
          <w:color w:val="auto"/>
          <w:sz w:val="52"/>
          <w:szCs w:val="52"/>
        </w:rPr>
      </w:pPr>
    </w:p>
    <w:p w14:paraId="0E45AB66">
      <w:pPr>
        <w:jc w:val="center"/>
        <w:rPr>
          <w:color w:val="auto"/>
          <w:sz w:val="52"/>
          <w:szCs w:val="52"/>
        </w:rPr>
      </w:pPr>
    </w:p>
    <w:p w14:paraId="6EA3A86D">
      <w:pPr>
        <w:jc w:val="center"/>
        <w:rPr>
          <w:color w:val="auto"/>
          <w:sz w:val="52"/>
          <w:szCs w:val="52"/>
        </w:rPr>
      </w:pPr>
    </w:p>
    <w:p w14:paraId="4FF8D366">
      <w:pPr>
        <w:jc w:val="center"/>
        <w:rPr>
          <w:color w:val="auto"/>
          <w:sz w:val="52"/>
          <w:szCs w:val="52"/>
        </w:rPr>
      </w:pPr>
    </w:p>
    <w:tbl>
      <w:tblPr>
        <w:tblStyle w:val="17"/>
        <w:tblW w:w="54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9"/>
        <w:gridCol w:w="6945"/>
      </w:tblGrid>
      <w:tr w14:paraId="2BE70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490" w:type="pct"/>
            <w:tcBorders>
              <w:top w:val="nil"/>
              <w:left w:val="nil"/>
              <w:bottom w:val="nil"/>
              <w:right w:val="nil"/>
            </w:tcBorders>
          </w:tcPr>
          <w:p w14:paraId="22ED3E94">
            <w:pPr>
              <w:topLinePunct/>
              <w:adjustRightInd w:val="0"/>
              <w:snapToGrid w:val="0"/>
              <w:spacing w:before="240" w:beforeLines="100"/>
              <w:jc w:val="distribute"/>
              <w:textAlignment w:val="bottom"/>
              <w:rPr>
                <w:rFonts w:hint="eastAsia" w:ascii="方正仿宋_GB2312" w:hAnsi="方正仿宋_GB2312" w:eastAsia="方正仿宋_GB2312" w:cs="方正仿宋_GB2312"/>
                <w:color w:val="auto"/>
                <w:sz w:val="36"/>
                <w:szCs w:val="36"/>
              </w:rPr>
            </w:pPr>
            <w:r>
              <w:rPr>
                <w:rFonts w:hint="eastAsia" w:ascii="方正仿宋_GB2312" w:hAnsi="方正仿宋_GB2312" w:eastAsia="方正仿宋_GB2312" w:cs="方正仿宋_GB2312"/>
                <w:color w:val="auto"/>
                <w:sz w:val="36"/>
                <w:szCs w:val="36"/>
              </w:rPr>
              <w:t>项目名称：</w:t>
            </w:r>
          </w:p>
        </w:tc>
        <w:tc>
          <w:tcPr>
            <w:tcW w:w="3509" w:type="pct"/>
            <w:tcBorders>
              <w:top w:val="nil"/>
              <w:left w:val="nil"/>
              <w:right w:val="nil"/>
            </w:tcBorders>
          </w:tcPr>
          <w:p w14:paraId="70815382">
            <w:pPr>
              <w:adjustRightInd w:val="0"/>
              <w:snapToGrid w:val="0"/>
              <w:spacing w:before="240" w:beforeLines="100"/>
              <w:jc w:val="center"/>
              <w:rPr>
                <w:color w:val="auto"/>
                <w:sz w:val="36"/>
                <w:szCs w:val="36"/>
              </w:rPr>
            </w:pPr>
            <w:r>
              <w:rPr>
                <w:rFonts w:hint="eastAsia"/>
                <w:color w:val="auto"/>
                <w:sz w:val="36"/>
                <w:szCs w:val="36"/>
              </w:rPr>
              <w:t>庐山市乡镇卫生院整体改造提升项目</w:t>
            </w:r>
          </w:p>
          <w:p w14:paraId="27F10492">
            <w:pPr>
              <w:adjustRightInd w:val="0"/>
              <w:snapToGrid w:val="0"/>
              <w:spacing w:before="240" w:beforeLines="100"/>
              <w:jc w:val="center"/>
              <w:rPr>
                <w:color w:val="auto"/>
                <w:sz w:val="36"/>
                <w:szCs w:val="36"/>
              </w:rPr>
            </w:pPr>
            <w:r>
              <w:rPr>
                <w:rFonts w:hint="eastAsia"/>
                <w:color w:val="auto"/>
                <w:sz w:val="36"/>
                <w:szCs w:val="36"/>
              </w:rPr>
              <w:t>（</w:t>
            </w:r>
            <w:r>
              <w:rPr>
                <w:rFonts w:hint="eastAsia"/>
                <w:color w:val="auto"/>
                <w:sz w:val="36"/>
                <w:szCs w:val="36"/>
                <w:lang w:val="en-US" w:eastAsia="zh-CN"/>
              </w:rPr>
              <w:t>庐山市</w:t>
            </w:r>
            <w:r>
              <w:rPr>
                <w:rFonts w:hint="eastAsia"/>
                <w:color w:val="auto"/>
                <w:sz w:val="36"/>
                <w:szCs w:val="36"/>
              </w:rPr>
              <w:t>华林镇卫生院）</w:t>
            </w:r>
          </w:p>
        </w:tc>
      </w:tr>
      <w:tr w14:paraId="674FC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0" w:type="pct"/>
            <w:tcBorders>
              <w:top w:val="nil"/>
              <w:left w:val="nil"/>
              <w:bottom w:val="nil"/>
              <w:right w:val="nil"/>
            </w:tcBorders>
          </w:tcPr>
          <w:p w14:paraId="7318A6B6">
            <w:pPr>
              <w:topLinePunct/>
              <w:adjustRightInd w:val="0"/>
              <w:snapToGrid w:val="0"/>
              <w:spacing w:before="240" w:beforeLines="100"/>
              <w:jc w:val="distribute"/>
              <w:textAlignment w:val="bottom"/>
              <w:rPr>
                <w:rFonts w:hint="eastAsia" w:ascii="方正仿宋_GB2312" w:hAnsi="方正仿宋_GB2312" w:eastAsia="方正仿宋_GB2312" w:cs="方正仿宋_GB2312"/>
                <w:color w:val="auto"/>
                <w:sz w:val="36"/>
                <w:szCs w:val="36"/>
              </w:rPr>
            </w:pPr>
            <w:r>
              <w:rPr>
                <w:rFonts w:hint="eastAsia" w:ascii="方正仿宋_GB2312" w:hAnsi="方正仿宋_GB2312" w:eastAsia="方正仿宋_GB2312" w:cs="方正仿宋_GB2312"/>
                <w:color w:val="auto"/>
                <w:sz w:val="36"/>
                <w:szCs w:val="36"/>
              </w:rPr>
              <w:t>建设单位（盖章）：</w:t>
            </w:r>
          </w:p>
        </w:tc>
        <w:tc>
          <w:tcPr>
            <w:tcW w:w="3509" w:type="pct"/>
            <w:tcBorders>
              <w:left w:val="nil"/>
              <w:right w:val="nil"/>
            </w:tcBorders>
          </w:tcPr>
          <w:p w14:paraId="7E96DA67">
            <w:pPr>
              <w:adjustRightInd w:val="0"/>
              <w:snapToGrid w:val="0"/>
              <w:spacing w:before="240" w:beforeLines="100"/>
              <w:ind w:firstLine="1800" w:firstLineChars="500"/>
              <w:rPr>
                <w:color w:val="auto"/>
                <w:sz w:val="36"/>
                <w:szCs w:val="36"/>
              </w:rPr>
            </w:pPr>
            <w:r>
              <w:rPr>
                <w:rFonts w:hint="eastAsia"/>
                <w:color w:val="auto"/>
                <w:sz w:val="36"/>
                <w:szCs w:val="36"/>
              </w:rPr>
              <w:t>庐山市华林镇卫生院</w:t>
            </w:r>
          </w:p>
        </w:tc>
      </w:tr>
      <w:tr w14:paraId="24012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490" w:type="pct"/>
            <w:tcBorders>
              <w:top w:val="nil"/>
              <w:left w:val="nil"/>
              <w:bottom w:val="nil"/>
              <w:right w:val="nil"/>
            </w:tcBorders>
          </w:tcPr>
          <w:p w14:paraId="4C65A6A3">
            <w:pPr>
              <w:topLinePunct/>
              <w:adjustRightInd w:val="0"/>
              <w:snapToGrid w:val="0"/>
              <w:spacing w:before="240" w:beforeLines="100"/>
              <w:jc w:val="distribute"/>
              <w:textAlignment w:val="bottom"/>
              <w:rPr>
                <w:rFonts w:hint="eastAsia" w:ascii="方正仿宋_GB2312" w:hAnsi="方正仿宋_GB2312" w:eastAsia="方正仿宋_GB2312" w:cs="方正仿宋_GB2312"/>
                <w:color w:val="auto"/>
                <w:sz w:val="36"/>
                <w:szCs w:val="36"/>
              </w:rPr>
            </w:pPr>
            <w:r>
              <w:rPr>
                <w:rFonts w:hint="eastAsia" w:ascii="方正仿宋_GB2312" w:hAnsi="方正仿宋_GB2312" w:eastAsia="方正仿宋_GB2312" w:cs="方正仿宋_GB2312"/>
                <w:color w:val="auto"/>
                <w:sz w:val="36"/>
                <w:szCs w:val="36"/>
              </w:rPr>
              <w:t>编制日期：</w:t>
            </w:r>
          </w:p>
        </w:tc>
        <w:tc>
          <w:tcPr>
            <w:tcW w:w="3509" w:type="pct"/>
            <w:tcBorders>
              <w:left w:val="nil"/>
              <w:right w:val="nil"/>
            </w:tcBorders>
          </w:tcPr>
          <w:p w14:paraId="51EEBB8C">
            <w:pPr>
              <w:adjustRightInd w:val="0"/>
              <w:snapToGrid w:val="0"/>
              <w:spacing w:before="240" w:beforeLines="100"/>
              <w:ind w:firstLine="1800" w:firstLineChars="500"/>
              <w:rPr>
                <w:color w:val="auto"/>
                <w:sz w:val="36"/>
                <w:szCs w:val="36"/>
              </w:rPr>
            </w:pPr>
            <w:r>
              <w:rPr>
                <w:rFonts w:hint="eastAsia"/>
                <w:color w:val="auto"/>
                <w:sz w:val="36"/>
                <w:szCs w:val="36"/>
              </w:rPr>
              <w:t>202</w:t>
            </w:r>
            <w:r>
              <w:rPr>
                <w:rFonts w:hint="eastAsia"/>
                <w:color w:val="auto"/>
                <w:sz w:val="36"/>
                <w:szCs w:val="36"/>
                <w:lang w:val="en-US" w:eastAsia="zh-CN"/>
              </w:rPr>
              <w:t>5</w:t>
            </w:r>
            <w:r>
              <w:rPr>
                <w:rFonts w:hint="eastAsia"/>
                <w:color w:val="auto"/>
                <w:sz w:val="36"/>
                <w:szCs w:val="36"/>
              </w:rPr>
              <w:t>年</w:t>
            </w:r>
            <w:r>
              <w:rPr>
                <w:rFonts w:hint="eastAsia"/>
                <w:color w:val="auto"/>
                <w:sz w:val="36"/>
                <w:szCs w:val="36"/>
                <w:lang w:val="en-US" w:eastAsia="zh-CN"/>
              </w:rPr>
              <w:t>4</w:t>
            </w:r>
            <w:r>
              <w:rPr>
                <w:rFonts w:hint="eastAsia"/>
                <w:color w:val="auto"/>
                <w:sz w:val="36"/>
                <w:szCs w:val="36"/>
              </w:rPr>
              <w:t>月</w:t>
            </w:r>
          </w:p>
        </w:tc>
      </w:tr>
    </w:tbl>
    <w:p w14:paraId="45F622E4">
      <w:pPr>
        <w:spacing w:line="360" w:lineRule="auto"/>
        <w:jc w:val="center"/>
        <w:rPr>
          <w:b/>
          <w:bCs/>
          <w:color w:val="auto"/>
          <w:sz w:val="32"/>
          <w:szCs w:val="32"/>
        </w:rPr>
      </w:pPr>
    </w:p>
    <w:p w14:paraId="7409E5BC">
      <w:pPr>
        <w:spacing w:line="360" w:lineRule="auto"/>
        <w:jc w:val="center"/>
        <w:rPr>
          <w:b/>
          <w:bCs/>
          <w:color w:val="auto"/>
          <w:sz w:val="32"/>
          <w:szCs w:val="32"/>
        </w:rPr>
      </w:pPr>
    </w:p>
    <w:p w14:paraId="3AC602AC">
      <w:pPr>
        <w:spacing w:line="360" w:lineRule="auto"/>
        <w:jc w:val="center"/>
        <w:rPr>
          <w:b/>
          <w:bCs/>
          <w:color w:val="auto"/>
          <w:sz w:val="32"/>
          <w:szCs w:val="32"/>
        </w:rPr>
      </w:pPr>
    </w:p>
    <w:p w14:paraId="094E99CB">
      <w:pPr>
        <w:spacing w:line="360" w:lineRule="auto"/>
        <w:jc w:val="center"/>
        <w:rPr>
          <w:b/>
          <w:bCs/>
          <w:color w:val="auto"/>
          <w:sz w:val="32"/>
          <w:szCs w:val="32"/>
        </w:rPr>
      </w:pPr>
    </w:p>
    <w:p w14:paraId="38C2063B">
      <w:pPr>
        <w:spacing w:line="360" w:lineRule="auto"/>
        <w:jc w:val="center"/>
        <w:rPr>
          <w:b/>
          <w:bCs/>
          <w:color w:val="auto"/>
          <w:sz w:val="32"/>
          <w:szCs w:val="32"/>
        </w:rPr>
      </w:pPr>
    </w:p>
    <w:p w14:paraId="78137326">
      <w:pPr>
        <w:adjustRightInd w:val="0"/>
        <w:snapToGrid w:val="0"/>
        <w:spacing w:line="288" w:lineRule="auto"/>
        <w:jc w:val="center"/>
        <w:outlineLvl w:val="0"/>
        <w:rPr>
          <w:color w:val="auto"/>
        </w:rPr>
      </w:pPr>
      <w:bookmarkStart w:id="1" w:name="_Toc3592"/>
      <w:r>
        <w:rPr>
          <w:color w:val="auto"/>
          <w:sz w:val="36"/>
          <w:szCs w:val="36"/>
        </w:rPr>
        <w:t>中华人民共和国生态环境部</w:t>
      </w:r>
      <w:bookmarkEnd w:id="1"/>
    </w:p>
    <w:p w14:paraId="0A887E99">
      <w:pPr>
        <w:adjustRightInd w:val="0"/>
        <w:snapToGrid w:val="0"/>
        <w:spacing w:line="288" w:lineRule="auto"/>
        <w:ind w:firstLine="1040"/>
        <w:rPr>
          <w:color w:val="auto"/>
          <w:sz w:val="36"/>
          <w:szCs w:val="36"/>
        </w:rPr>
        <w:sectPr>
          <w:footerReference r:id="rId3" w:type="default"/>
          <w:pgSz w:w="11906" w:h="16838"/>
          <w:pgMar w:top="1701" w:right="1531" w:bottom="1701" w:left="1531" w:header="851" w:footer="1077" w:gutter="0"/>
          <w:pgNumType w:start="3"/>
          <w:cols w:space="720" w:num="1"/>
          <w:docGrid w:linePitch="312" w:charSpace="0"/>
        </w:sectPr>
      </w:pPr>
    </w:p>
    <w:sdt>
      <w:sdtPr>
        <w:rPr>
          <w:rFonts w:ascii="宋体" w:hAnsi="宋体" w:eastAsia="宋体" w:cs="Times New Roman"/>
          <w:kern w:val="2"/>
          <w:sz w:val="21"/>
          <w:szCs w:val="24"/>
          <w:lang w:val="en-US" w:eastAsia="zh-CN" w:bidi="ar-SA"/>
        </w:rPr>
        <w:id w:val="147480079"/>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14:paraId="016BBD12">
          <w:pPr>
            <w:spacing w:before="0" w:beforeLines="0" w:after="0" w:afterLines="0" w:line="240" w:lineRule="auto"/>
            <w:ind w:left="0" w:leftChars="0" w:right="0" w:rightChars="0" w:firstLine="0" w:firstLineChars="0"/>
            <w:jc w:val="center"/>
            <w:rPr>
              <w:sz w:val="48"/>
              <w:szCs w:val="56"/>
            </w:rPr>
          </w:pPr>
          <w:r>
            <w:rPr>
              <w:rFonts w:ascii="宋体" w:hAnsi="宋体" w:eastAsia="宋体"/>
              <w:sz w:val="48"/>
              <w:szCs w:val="56"/>
            </w:rPr>
            <w:t>目录</w:t>
          </w:r>
        </w:p>
        <w:p w14:paraId="75C4C10C">
          <w:pPr>
            <w:pStyle w:val="68"/>
            <w:tabs>
              <w:tab w:val="right" w:leader="dot" w:pos="8844"/>
            </w:tabs>
          </w:pPr>
          <w:r>
            <w:fldChar w:fldCharType="begin"/>
          </w:r>
          <w:r>
            <w:instrText xml:space="preserve">TOC \o "1-1" \h \u </w:instrText>
          </w:r>
          <w:r>
            <w:fldChar w:fldCharType="separate"/>
          </w:r>
        </w:p>
        <w:p w14:paraId="39778CB9">
          <w:pPr>
            <w:pStyle w:val="68"/>
            <w:tabs>
              <w:tab w:val="right" w:leader="dot" w:pos="8844"/>
            </w:tabs>
            <w:spacing w:line="360" w:lineRule="auto"/>
            <w:rPr>
              <w:sz w:val="28"/>
              <w:szCs w:val="28"/>
            </w:rPr>
          </w:pPr>
          <w:r>
            <w:rPr>
              <w:sz w:val="28"/>
              <w:szCs w:val="28"/>
            </w:rPr>
            <w:fldChar w:fldCharType="begin"/>
          </w:r>
          <w:r>
            <w:rPr>
              <w:sz w:val="28"/>
              <w:szCs w:val="28"/>
            </w:rPr>
            <w:instrText xml:space="preserve"> HYPERLINK \l _Toc1649 </w:instrText>
          </w:r>
          <w:r>
            <w:rPr>
              <w:sz w:val="28"/>
              <w:szCs w:val="28"/>
            </w:rPr>
            <w:fldChar w:fldCharType="separate"/>
          </w:r>
          <w:r>
            <w:rPr>
              <w:rFonts w:ascii="Times New Roman" w:hAnsi="Times New Roman"/>
              <w:snapToGrid w:val="0"/>
              <w:sz w:val="28"/>
              <w:szCs w:val="44"/>
            </w:rPr>
            <w:t>一、建设项目基本情况</w:t>
          </w:r>
          <w:r>
            <w:rPr>
              <w:sz w:val="28"/>
              <w:szCs w:val="28"/>
            </w:rPr>
            <w:tab/>
          </w:r>
          <w:r>
            <w:rPr>
              <w:sz w:val="28"/>
              <w:szCs w:val="28"/>
            </w:rPr>
            <w:fldChar w:fldCharType="begin"/>
          </w:r>
          <w:r>
            <w:rPr>
              <w:sz w:val="28"/>
              <w:szCs w:val="28"/>
            </w:rPr>
            <w:instrText xml:space="preserve"> PAGEREF _Toc1649 \h </w:instrText>
          </w:r>
          <w:r>
            <w:rPr>
              <w:sz w:val="28"/>
              <w:szCs w:val="28"/>
            </w:rPr>
            <w:fldChar w:fldCharType="separate"/>
          </w:r>
          <w:r>
            <w:rPr>
              <w:sz w:val="28"/>
              <w:szCs w:val="28"/>
            </w:rPr>
            <w:t>1</w:t>
          </w:r>
          <w:r>
            <w:rPr>
              <w:sz w:val="28"/>
              <w:szCs w:val="28"/>
            </w:rPr>
            <w:fldChar w:fldCharType="end"/>
          </w:r>
          <w:r>
            <w:rPr>
              <w:sz w:val="28"/>
              <w:szCs w:val="28"/>
            </w:rPr>
            <w:fldChar w:fldCharType="end"/>
          </w:r>
        </w:p>
        <w:p w14:paraId="2402B1FB">
          <w:pPr>
            <w:pStyle w:val="68"/>
            <w:tabs>
              <w:tab w:val="right" w:leader="dot" w:pos="8844"/>
            </w:tabs>
            <w:spacing w:line="360" w:lineRule="auto"/>
            <w:rPr>
              <w:sz w:val="28"/>
              <w:szCs w:val="28"/>
            </w:rPr>
          </w:pPr>
          <w:r>
            <w:rPr>
              <w:sz w:val="28"/>
              <w:szCs w:val="28"/>
            </w:rPr>
            <w:fldChar w:fldCharType="begin"/>
          </w:r>
          <w:r>
            <w:rPr>
              <w:sz w:val="28"/>
              <w:szCs w:val="28"/>
            </w:rPr>
            <w:instrText xml:space="preserve"> HYPERLINK \l _Toc17291 </w:instrText>
          </w:r>
          <w:r>
            <w:rPr>
              <w:sz w:val="28"/>
              <w:szCs w:val="28"/>
            </w:rPr>
            <w:fldChar w:fldCharType="separate"/>
          </w:r>
          <w:r>
            <w:rPr>
              <w:rFonts w:hint="eastAsia" w:ascii="Times New Roman" w:hAnsi="Times New Roman"/>
              <w:bCs/>
              <w:snapToGrid w:val="0"/>
              <w:sz w:val="28"/>
              <w:szCs w:val="44"/>
            </w:rPr>
            <w:t>二、</w:t>
          </w:r>
          <w:r>
            <w:rPr>
              <w:rFonts w:ascii="Times New Roman" w:hAnsi="Times New Roman"/>
              <w:bCs/>
              <w:snapToGrid w:val="0"/>
              <w:sz w:val="28"/>
              <w:szCs w:val="44"/>
            </w:rPr>
            <w:t>建设项目工程分析</w:t>
          </w:r>
          <w:r>
            <w:rPr>
              <w:sz w:val="28"/>
              <w:szCs w:val="28"/>
            </w:rPr>
            <w:tab/>
          </w:r>
          <w:r>
            <w:rPr>
              <w:sz w:val="28"/>
              <w:szCs w:val="28"/>
            </w:rPr>
            <w:fldChar w:fldCharType="begin"/>
          </w:r>
          <w:r>
            <w:rPr>
              <w:sz w:val="28"/>
              <w:szCs w:val="28"/>
            </w:rPr>
            <w:instrText xml:space="preserve"> PAGEREF _Toc17291 \h </w:instrText>
          </w:r>
          <w:r>
            <w:rPr>
              <w:sz w:val="28"/>
              <w:szCs w:val="28"/>
            </w:rPr>
            <w:fldChar w:fldCharType="separate"/>
          </w:r>
          <w:r>
            <w:rPr>
              <w:sz w:val="28"/>
              <w:szCs w:val="28"/>
            </w:rPr>
            <w:t>28</w:t>
          </w:r>
          <w:r>
            <w:rPr>
              <w:sz w:val="28"/>
              <w:szCs w:val="28"/>
            </w:rPr>
            <w:fldChar w:fldCharType="end"/>
          </w:r>
          <w:r>
            <w:rPr>
              <w:sz w:val="28"/>
              <w:szCs w:val="28"/>
            </w:rPr>
            <w:fldChar w:fldCharType="end"/>
          </w:r>
        </w:p>
        <w:p w14:paraId="22FC7F2F">
          <w:pPr>
            <w:pStyle w:val="68"/>
            <w:tabs>
              <w:tab w:val="right" w:leader="dot" w:pos="8844"/>
            </w:tabs>
            <w:spacing w:line="360" w:lineRule="auto"/>
            <w:rPr>
              <w:sz w:val="28"/>
              <w:szCs w:val="28"/>
            </w:rPr>
          </w:pPr>
          <w:r>
            <w:rPr>
              <w:sz w:val="28"/>
              <w:szCs w:val="28"/>
            </w:rPr>
            <w:fldChar w:fldCharType="begin"/>
          </w:r>
          <w:r>
            <w:rPr>
              <w:sz w:val="28"/>
              <w:szCs w:val="28"/>
            </w:rPr>
            <w:instrText xml:space="preserve"> HYPERLINK \l _Toc7595 </w:instrText>
          </w:r>
          <w:r>
            <w:rPr>
              <w:sz w:val="28"/>
              <w:szCs w:val="28"/>
            </w:rPr>
            <w:fldChar w:fldCharType="separate"/>
          </w:r>
          <w:r>
            <w:rPr>
              <w:rFonts w:hint="eastAsia" w:ascii="Times New Roman" w:hAnsi="Times New Roman"/>
              <w:bCs/>
              <w:snapToGrid w:val="0"/>
              <w:sz w:val="28"/>
              <w:szCs w:val="44"/>
            </w:rPr>
            <w:t>三、区域环境质量现状、环境保护目标及评价标准</w:t>
          </w:r>
          <w:r>
            <w:rPr>
              <w:sz w:val="28"/>
              <w:szCs w:val="28"/>
            </w:rPr>
            <w:tab/>
          </w:r>
          <w:r>
            <w:rPr>
              <w:sz w:val="28"/>
              <w:szCs w:val="28"/>
            </w:rPr>
            <w:fldChar w:fldCharType="begin"/>
          </w:r>
          <w:r>
            <w:rPr>
              <w:sz w:val="28"/>
              <w:szCs w:val="28"/>
            </w:rPr>
            <w:instrText xml:space="preserve"> PAGEREF _Toc7595 \h </w:instrText>
          </w:r>
          <w:r>
            <w:rPr>
              <w:sz w:val="28"/>
              <w:szCs w:val="28"/>
            </w:rPr>
            <w:fldChar w:fldCharType="separate"/>
          </w:r>
          <w:r>
            <w:rPr>
              <w:sz w:val="28"/>
              <w:szCs w:val="28"/>
            </w:rPr>
            <w:t>45</w:t>
          </w:r>
          <w:r>
            <w:rPr>
              <w:sz w:val="28"/>
              <w:szCs w:val="28"/>
            </w:rPr>
            <w:fldChar w:fldCharType="end"/>
          </w:r>
          <w:r>
            <w:rPr>
              <w:sz w:val="28"/>
              <w:szCs w:val="28"/>
            </w:rPr>
            <w:fldChar w:fldCharType="end"/>
          </w:r>
        </w:p>
        <w:p w14:paraId="253E19C5">
          <w:pPr>
            <w:pStyle w:val="68"/>
            <w:tabs>
              <w:tab w:val="right" w:leader="dot" w:pos="8844"/>
            </w:tabs>
            <w:spacing w:line="360" w:lineRule="auto"/>
            <w:rPr>
              <w:sz w:val="28"/>
              <w:szCs w:val="28"/>
            </w:rPr>
          </w:pPr>
          <w:r>
            <w:rPr>
              <w:sz w:val="28"/>
              <w:szCs w:val="28"/>
            </w:rPr>
            <w:fldChar w:fldCharType="begin"/>
          </w:r>
          <w:r>
            <w:rPr>
              <w:sz w:val="28"/>
              <w:szCs w:val="28"/>
            </w:rPr>
            <w:instrText xml:space="preserve"> HYPERLINK \l _Toc3509 </w:instrText>
          </w:r>
          <w:r>
            <w:rPr>
              <w:sz w:val="28"/>
              <w:szCs w:val="28"/>
            </w:rPr>
            <w:fldChar w:fldCharType="separate"/>
          </w:r>
          <w:r>
            <w:rPr>
              <w:rFonts w:ascii="Times New Roman" w:hAnsi="Times New Roman"/>
              <w:snapToGrid w:val="0"/>
              <w:sz w:val="28"/>
              <w:szCs w:val="44"/>
            </w:rPr>
            <w:t>四、主要环境影响和保护措施</w:t>
          </w:r>
          <w:r>
            <w:rPr>
              <w:sz w:val="28"/>
              <w:szCs w:val="28"/>
            </w:rPr>
            <w:tab/>
          </w:r>
          <w:r>
            <w:rPr>
              <w:sz w:val="28"/>
              <w:szCs w:val="28"/>
            </w:rPr>
            <w:fldChar w:fldCharType="begin"/>
          </w:r>
          <w:r>
            <w:rPr>
              <w:sz w:val="28"/>
              <w:szCs w:val="28"/>
            </w:rPr>
            <w:instrText xml:space="preserve"> PAGEREF _Toc3509 \h </w:instrText>
          </w:r>
          <w:r>
            <w:rPr>
              <w:sz w:val="28"/>
              <w:szCs w:val="28"/>
            </w:rPr>
            <w:fldChar w:fldCharType="separate"/>
          </w:r>
          <w:r>
            <w:rPr>
              <w:sz w:val="28"/>
              <w:szCs w:val="28"/>
            </w:rPr>
            <w:t>52</w:t>
          </w:r>
          <w:r>
            <w:rPr>
              <w:sz w:val="28"/>
              <w:szCs w:val="28"/>
            </w:rPr>
            <w:fldChar w:fldCharType="end"/>
          </w:r>
          <w:r>
            <w:rPr>
              <w:sz w:val="28"/>
              <w:szCs w:val="28"/>
            </w:rPr>
            <w:fldChar w:fldCharType="end"/>
          </w:r>
        </w:p>
        <w:p w14:paraId="7B4213B5">
          <w:pPr>
            <w:pStyle w:val="68"/>
            <w:tabs>
              <w:tab w:val="right" w:leader="dot" w:pos="8844"/>
            </w:tabs>
            <w:spacing w:line="360" w:lineRule="auto"/>
            <w:rPr>
              <w:sz w:val="28"/>
              <w:szCs w:val="28"/>
            </w:rPr>
          </w:pPr>
          <w:r>
            <w:rPr>
              <w:sz w:val="28"/>
              <w:szCs w:val="28"/>
            </w:rPr>
            <w:fldChar w:fldCharType="begin"/>
          </w:r>
          <w:r>
            <w:rPr>
              <w:sz w:val="28"/>
              <w:szCs w:val="28"/>
            </w:rPr>
            <w:instrText xml:space="preserve"> HYPERLINK \l _Toc27211 </w:instrText>
          </w:r>
          <w:r>
            <w:rPr>
              <w:sz w:val="28"/>
              <w:szCs w:val="28"/>
            </w:rPr>
            <w:fldChar w:fldCharType="separate"/>
          </w:r>
          <w:r>
            <w:rPr>
              <w:rFonts w:ascii="Times New Roman" w:hAnsi="Times New Roman"/>
              <w:bCs/>
              <w:snapToGrid w:val="0"/>
              <w:sz w:val="28"/>
              <w:szCs w:val="44"/>
            </w:rPr>
            <w:t>五、环境保护措施监督检查清单</w:t>
          </w:r>
          <w:r>
            <w:rPr>
              <w:sz w:val="28"/>
              <w:szCs w:val="28"/>
            </w:rPr>
            <w:tab/>
          </w:r>
          <w:r>
            <w:rPr>
              <w:sz w:val="28"/>
              <w:szCs w:val="28"/>
            </w:rPr>
            <w:fldChar w:fldCharType="begin"/>
          </w:r>
          <w:r>
            <w:rPr>
              <w:sz w:val="28"/>
              <w:szCs w:val="28"/>
            </w:rPr>
            <w:instrText xml:space="preserve"> PAGEREF _Toc27211 \h </w:instrText>
          </w:r>
          <w:r>
            <w:rPr>
              <w:sz w:val="28"/>
              <w:szCs w:val="28"/>
            </w:rPr>
            <w:fldChar w:fldCharType="separate"/>
          </w:r>
          <w:r>
            <w:rPr>
              <w:sz w:val="28"/>
              <w:szCs w:val="28"/>
            </w:rPr>
            <w:t>90</w:t>
          </w:r>
          <w:r>
            <w:rPr>
              <w:sz w:val="28"/>
              <w:szCs w:val="28"/>
            </w:rPr>
            <w:fldChar w:fldCharType="end"/>
          </w:r>
          <w:r>
            <w:rPr>
              <w:sz w:val="28"/>
              <w:szCs w:val="28"/>
            </w:rPr>
            <w:fldChar w:fldCharType="end"/>
          </w:r>
        </w:p>
        <w:p w14:paraId="21AAE2DB">
          <w:pPr>
            <w:pStyle w:val="68"/>
            <w:tabs>
              <w:tab w:val="right" w:leader="dot" w:pos="8844"/>
            </w:tabs>
            <w:spacing w:line="360" w:lineRule="auto"/>
            <w:rPr>
              <w:sz w:val="28"/>
              <w:szCs w:val="28"/>
            </w:rPr>
          </w:pPr>
          <w:r>
            <w:rPr>
              <w:sz w:val="28"/>
              <w:szCs w:val="28"/>
            </w:rPr>
            <w:fldChar w:fldCharType="begin"/>
          </w:r>
          <w:r>
            <w:rPr>
              <w:sz w:val="28"/>
              <w:szCs w:val="28"/>
            </w:rPr>
            <w:instrText xml:space="preserve"> HYPERLINK \l _Toc5788 </w:instrText>
          </w:r>
          <w:r>
            <w:rPr>
              <w:sz w:val="28"/>
              <w:szCs w:val="28"/>
            </w:rPr>
            <w:fldChar w:fldCharType="separate"/>
          </w:r>
          <w:r>
            <w:rPr>
              <w:rFonts w:ascii="Times New Roman" w:hAnsi="Times New Roman"/>
              <w:snapToGrid w:val="0"/>
              <w:sz w:val="28"/>
              <w:szCs w:val="44"/>
            </w:rPr>
            <w:t>六、结论</w:t>
          </w:r>
          <w:r>
            <w:rPr>
              <w:sz w:val="28"/>
              <w:szCs w:val="28"/>
            </w:rPr>
            <w:tab/>
          </w:r>
          <w:r>
            <w:rPr>
              <w:sz w:val="28"/>
              <w:szCs w:val="28"/>
            </w:rPr>
            <w:fldChar w:fldCharType="begin"/>
          </w:r>
          <w:r>
            <w:rPr>
              <w:sz w:val="28"/>
              <w:szCs w:val="28"/>
            </w:rPr>
            <w:instrText xml:space="preserve"> PAGEREF _Toc5788 \h </w:instrText>
          </w:r>
          <w:r>
            <w:rPr>
              <w:sz w:val="28"/>
              <w:szCs w:val="28"/>
            </w:rPr>
            <w:fldChar w:fldCharType="separate"/>
          </w:r>
          <w:r>
            <w:rPr>
              <w:sz w:val="28"/>
              <w:szCs w:val="28"/>
            </w:rPr>
            <w:t>92</w:t>
          </w:r>
          <w:r>
            <w:rPr>
              <w:sz w:val="28"/>
              <w:szCs w:val="28"/>
            </w:rPr>
            <w:fldChar w:fldCharType="end"/>
          </w:r>
          <w:r>
            <w:rPr>
              <w:sz w:val="28"/>
              <w:szCs w:val="28"/>
            </w:rPr>
            <w:fldChar w:fldCharType="end"/>
          </w:r>
        </w:p>
        <w:p w14:paraId="567EAF96">
          <w:pPr>
            <w:pStyle w:val="68"/>
            <w:tabs>
              <w:tab w:val="right" w:leader="dot" w:pos="8844"/>
            </w:tabs>
            <w:spacing w:line="360" w:lineRule="auto"/>
          </w:pPr>
          <w:r>
            <w:rPr>
              <w:sz w:val="28"/>
              <w:szCs w:val="28"/>
            </w:rPr>
            <w:fldChar w:fldCharType="begin"/>
          </w:r>
          <w:r>
            <w:rPr>
              <w:sz w:val="28"/>
              <w:szCs w:val="28"/>
            </w:rPr>
            <w:instrText xml:space="preserve"> HYPERLINK \l _Toc13022 </w:instrText>
          </w:r>
          <w:r>
            <w:rPr>
              <w:sz w:val="28"/>
              <w:szCs w:val="28"/>
            </w:rPr>
            <w:fldChar w:fldCharType="separate"/>
          </w:r>
          <w:r>
            <w:rPr>
              <w:rFonts w:ascii="Times New Roman" w:hAnsi="Times New Roman"/>
              <w:snapToGrid w:val="0"/>
              <w:sz w:val="28"/>
              <w:szCs w:val="48"/>
            </w:rPr>
            <w:t>附表</w:t>
          </w:r>
          <w:r>
            <w:rPr>
              <w:sz w:val="28"/>
              <w:szCs w:val="28"/>
            </w:rPr>
            <w:tab/>
          </w:r>
          <w:r>
            <w:rPr>
              <w:sz w:val="28"/>
              <w:szCs w:val="28"/>
            </w:rPr>
            <w:fldChar w:fldCharType="begin"/>
          </w:r>
          <w:r>
            <w:rPr>
              <w:sz w:val="28"/>
              <w:szCs w:val="28"/>
            </w:rPr>
            <w:instrText xml:space="preserve"> PAGEREF _Toc13022 \h </w:instrText>
          </w:r>
          <w:r>
            <w:rPr>
              <w:sz w:val="28"/>
              <w:szCs w:val="28"/>
            </w:rPr>
            <w:fldChar w:fldCharType="separate"/>
          </w:r>
          <w:r>
            <w:rPr>
              <w:sz w:val="28"/>
              <w:szCs w:val="28"/>
            </w:rPr>
            <w:t>93</w:t>
          </w:r>
          <w:r>
            <w:rPr>
              <w:sz w:val="28"/>
              <w:szCs w:val="28"/>
            </w:rPr>
            <w:fldChar w:fldCharType="end"/>
          </w:r>
          <w:r>
            <w:rPr>
              <w:sz w:val="28"/>
              <w:szCs w:val="28"/>
            </w:rPr>
            <w:fldChar w:fldCharType="end"/>
          </w:r>
        </w:p>
        <w:p w14:paraId="246ACA65">
          <w:r>
            <w:fldChar w:fldCharType="end"/>
          </w:r>
        </w:p>
      </w:sdtContent>
    </w:sdt>
    <w:p w14:paraId="0281B33C">
      <w:pPr>
        <w:sectPr>
          <w:footerReference r:id="rId4" w:type="default"/>
          <w:pgSz w:w="11906" w:h="16838"/>
          <w:pgMar w:top="1701" w:right="1531" w:bottom="1701" w:left="1531" w:header="851" w:footer="1077" w:gutter="0"/>
          <w:pgNumType w:start="1"/>
          <w:cols w:space="720" w:num="1"/>
          <w:docGrid w:linePitch="312" w:charSpace="0"/>
        </w:sectPr>
      </w:pPr>
    </w:p>
    <w:p w14:paraId="5965C3C2">
      <w:pPr>
        <w:pStyle w:val="16"/>
        <w:jc w:val="center"/>
        <w:outlineLvl w:val="0"/>
        <w:rPr>
          <w:rFonts w:ascii="Times New Roman" w:hAnsi="Times New Roman"/>
          <w:snapToGrid w:val="0"/>
          <w:color w:val="auto"/>
          <w:sz w:val="30"/>
          <w:szCs w:val="30"/>
        </w:rPr>
      </w:pPr>
      <w:bookmarkStart w:id="2" w:name="_Toc1649"/>
      <w:r>
        <w:rPr>
          <w:rFonts w:ascii="Times New Roman" w:hAnsi="Times New Roman"/>
          <w:snapToGrid w:val="0"/>
          <w:color w:val="auto"/>
          <w:sz w:val="30"/>
          <w:szCs w:val="30"/>
        </w:rPr>
        <w:t>一、建设项目基本情况</w:t>
      </w:r>
      <w:bookmarkEnd w:id="2"/>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01"/>
        <w:gridCol w:w="2918"/>
        <w:gridCol w:w="2212"/>
        <w:gridCol w:w="2639"/>
      </w:tblGrid>
      <w:tr w14:paraId="0B53E6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1101" w:type="dxa"/>
            <w:tcMar>
              <w:top w:w="16" w:type="dxa"/>
              <w:left w:w="16" w:type="dxa"/>
              <w:right w:w="16" w:type="dxa"/>
            </w:tcMar>
            <w:vAlign w:val="center"/>
          </w:tcPr>
          <w:p w14:paraId="4A654768">
            <w:pPr>
              <w:adjustRightInd w:val="0"/>
              <w:snapToGrid w:val="0"/>
              <w:jc w:val="center"/>
              <w:rPr>
                <w:color w:val="auto"/>
                <w:sz w:val="24"/>
              </w:rPr>
            </w:pPr>
            <w:r>
              <w:rPr>
                <w:color w:val="auto"/>
                <w:sz w:val="24"/>
              </w:rPr>
              <w:t>建设项目名称</w:t>
            </w:r>
          </w:p>
        </w:tc>
        <w:tc>
          <w:tcPr>
            <w:tcW w:w="7769" w:type="dxa"/>
            <w:gridSpan w:val="3"/>
            <w:vAlign w:val="center"/>
          </w:tcPr>
          <w:p w14:paraId="7E373B55">
            <w:pPr>
              <w:adjustRightInd w:val="0"/>
              <w:snapToGrid w:val="0"/>
              <w:jc w:val="center"/>
              <w:rPr>
                <w:color w:val="auto"/>
                <w:sz w:val="24"/>
              </w:rPr>
            </w:pPr>
            <w:r>
              <w:rPr>
                <w:rFonts w:hint="eastAsia"/>
                <w:color w:val="auto"/>
                <w:sz w:val="24"/>
              </w:rPr>
              <w:t>庐山市乡镇卫生院整体改造提升项目（</w:t>
            </w:r>
            <w:r>
              <w:rPr>
                <w:rFonts w:hint="eastAsia"/>
                <w:color w:val="auto"/>
                <w:sz w:val="24"/>
                <w:lang w:val="en-US" w:eastAsia="zh-CN"/>
              </w:rPr>
              <w:t>庐山市</w:t>
            </w:r>
            <w:r>
              <w:rPr>
                <w:rFonts w:hint="eastAsia"/>
                <w:color w:val="auto"/>
                <w:sz w:val="24"/>
              </w:rPr>
              <w:t>华林镇卫生院）</w:t>
            </w:r>
          </w:p>
        </w:tc>
      </w:tr>
      <w:tr w14:paraId="41EBC7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1" w:type="dxa"/>
            <w:tcMar>
              <w:top w:w="16" w:type="dxa"/>
              <w:left w:w="16" w:type="dxa"/>
              <w:right w:w="16" w:type="dxa"/>
            </w:tcMar>
            <w:vAlign w:val="center"/>
          </w:tcPr>
          <w:p w14:paraId="14F503A4">
            <w:pPr>
              <w:adjustRightInd w:val="0"/>
              <w:snapToGrid w:val="0"/>
              <w:jc w:val="center"/>
              <w:rPr>
                <w:color w:val="auto"/>
                <w:sz w:val="24"/>
              </w:rPr>
            </w:pPr>
            <w:r>
              <w:rPr>
                <w:color w:val="auto"/>
                <w:sz w:val="24"/>
              </w:rPr>
              <w:t>项目代码</w:t>
            </w:r>
          </w:p>
        </w:tc>
        <w:tc>
          <w:tcPr>
            <w:tcW w:w="7769" w:type="dxa"/>
            <w:gridSpan w:val="3"/>
            <w:vAlign w:val="center"/>
          </w:tcPr>
          <w:p w14:paraId="3F99F31A">
            <w:pPr>
              <w:adjustRightInd w:val="0"/>
              <w:snapToGrid w:val="0"/>
              <w:jc w:val="center"/>
              <w:rPr>
                <w:color w:val="auto"/>
                <w:sz w:val="24"/>
              </w:rPr>
            </w:pPr>
            <w:r>
              <w:rPr>
                <w:rFonts w:hint="eastAsia"/>
                <w:color w:val="auto"/>
                <w:sz w:val="24"/>
              </w:rPr>
              <w:t>2202-360483-04-01-331038</w:t>
            </w:r>
          </w:p>
        </w:tc>
      </w:tr>
      <w:tr w14:paraId="7BA5B7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1" w:type="dxa"/>
            <w:tcMar>
              <w:top w:w="16" w:type="dxa"/>
              <w:left w:w="16" w:type="dxa"/>
              <w:right w:w="16" w:type="dxa"/>
            </w:tcMar>
            <w:vAlign w:val="center"/>
          </w:tcPr>
          <w:p w14:paraId="5784C877">
            <w:pPr>
              <w:adjustRightInd w:val="0"/>
              <w:snapToGrid w:val="0"/>
              <w:jc w:val="center"/>
              <w:rPr>
                <w:color w:val="auto"/>
                <w:sz w:val="24"/>
              </w:rPr>
            </w:pPr>
            <w:r>
              <w:rPr>
                <w:color w:val="auto"/>
                <w:sz w:val="24"/>
              </w:rPr>
              <w:t>建设单位联系人</w:t>
            </w:r>
          </w:p>
        </w:tc>
        <w:tc>
          <w:tcPr>
            <w:tcW w:w="2918" w:type="dxa"/>
            <w:vAlign w:val="center"/>
          </w:tcPr>
          <w:p w14:paraId="68A1B81C">
            <w:pPr>
              <w:adjustRightInd w:val="0"/>
              <w:snapToGrid w:val="0"/>
              <w:jc w:val="center"/>
              <w:rPr>
                <w:rFonts w:hint="default" w:eastAsia="宋体"/>
                <w:color w:val="auto"/>
                <w:sz w:val="24"/>
                <w:lang w:val="en-US" w:eastAsia="zh-CN"/>
              </w:rPr>
            </w:pPr>
            <w:r>
              <w:rPr>
                <w:rFonts w:hint="eastAsia"/>
                <w:color w:val="auto"/>
                <w:sz w:val="24"/>
                <w:lang w:val="en-US" w:eastAsia="zh-CN"/>
              </w:rPr>
              <w:t>陈碧琦</w:t>
            </w:r>
          </w:p>
        </w:tc>
        <w:tc>
          <w:tcPr>
            <w:tcW w:w="2212" w:type="dxa"/>
            <w:vAlign w:val="center"/>
          </w:tcPr>
          <w:p w14:paraId="7162615D">
            <w:pPr>
              <w:adjustRightInd w:val="0"/>
              <w:snapToGrid w:val="0"/>
              <w:jc w:val="center"/>
              <w:rPr>
                <w:color w:val="auto"/>
                <w:sz w:val="24"/>
              </w:rPr>
            </w:pPr>
            <w:r>
              <w:rPr>
                <w:color w:val="auto"/>
                <w:sz w:val="24"/>
              </w:rPr>
              <w:t>联系方式</w:t>
            </w:r>
          </w:p>
        </w:tc>
        <w:tc>
          <w:tcPr>
            <w:tcW w:w="2639" w:type="dxa"/>
            <w:vAlign w:val="center"/>
          </w:tcPr>
          <w:p w14:paraId="15BBCCEC">
            <w:pPr>
              <w:adjustRightInd w:val="0"/>
              <w:snapToGrid w:val="0"/>
              <w:jc w:val="center"/>
              <w:rPr>
                <w:rFonts w:hint="default" w:eastAsia="宋体"/>
                <w:color w:val="auto"/>
                <w:sz w:val="24"/>
                <w:lang w:val="en-US" w:eastAsia="zh-CN"/>
              </w:rPr>
            </w:pPr>
            <w:r>
              <w:rPr>
                <w:rFonts w:hint="eastAsia"/>
                <w:color w:val="auto"/>
                <w:sz w:val="24"/>
                <w:lang w:val="en-US" w:eastAsia="zh-CN"/>
              </w:rPr>
              <w:t>151****2391</w:t>
            </w:r>
          </w:p>
        </w:tc>
      </w:tr>
      <w:tr w14:paraId="7BC8E5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1" w:type="dxa"/>
            <w:tcMar>
              <w:top w:w="16" w:type="dxa"/>
              <w:left w:w="16" w:type="dxa"/>
              <w:right w:w="16" w:type="dxa"/>
            </w:tcMar>
            <w:vAlign w:val="center"/>
          </w:tcPr>
          <w:p w14:paraId="6B29C28D">
            <w:pPr>
              <w:adjustRightInd w:val="0"/>
              <w:snapToGrid w:val="0"/>
              <w:jc w:val="center"/>
              <w:rPr>
                <w:color w:val="auto"/>
                <w:sz w:val="24"/>
              </w:rPr>
            </w:pPr>
            <w:r>
              <w:rPr>
                <w:color w:val="auto"/>
                <w:sz w:val="24"/>
              </w:rPr>
              <w:t>建设地点</w:t>
            </w:r>
          </w:p>
        </w:tc>
        <w:tc>
          <w:tcPr>
            <w:tcW w:w="7769" w:type="dxa"/>
            <w:gridSpan w:val="3"/>
            <w:vAlign w:val="center"/>
          </w:tcPr>
          <w:p w14:paraId="36E1C858">
            <w:pPr>
              <w:adjustRightInd w:val="0"/>
              <w:snapToGrid w:val="0"/>
              <w:jc w:val="center"/>
              <w:rPr>
                <w:rFonts w:hint="eastAsia" w:eastAsia="宋体"/>
                <w:color w:val="auto"/>
                <w:sz w:val="24"/>
                <w:lang w:eastAsia="zh-CN"/>
              </w:rPr>
            </w:pPr>
            <w:r>
              <w:rPr>
                <w:rFonts w:ascii="Helvetica" w:hAnsi="Helvetica" w:eastAsia="Helvetica" w:cs="Helvetica"/>
                <w:color w:val="auto"/>
                <w:sz w:val="24"/>
                <w:shd w:val="clear" w:color="auto" w:fill="FFFFFF"/>
              </w:rPr>
              <w:t>江西省九江市庐山市</w:t>
            </w:r>
            <w:r>
              <w:rPr>
                <w:rFonts w:hint="eastAsia" w:ascii="Helvetica" w:hAnsi="Helvetica" w:eastAsia="宋体" w:cs="Helvetica"/>
                <w:color w:val="auto"/>
                <w:sz w:val="24"/>
                <w:shd w:val="clear" w:color="auto" w:fill="FFFFFF"/>
                <w:lang w:eastAsia="zh-CN"/>
              </w:rPr>
              <w:t>华林镇华林街西南侧</w:t>
            </w:r>
          </w:p>
        </w:tc>
      </w:tr>
      <w:tr w14:paraId="006931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1" w:type="dxa"/>
            <w:tcMar>
              <w:top w:w="16" w:type="dxa"/>
              <w:left w:w="16" w:type="dxa"/>
              <w:right w:w="16" w:type="dxa"/>
            </w:tcMar>
            <w:vAlign w:val="center"/>
          </w:tcPr>
          <w:p w14:paraId="4E74F573">
            <w:pPr>
              <w:adjustRightInd w:val="0"/>
              <w:snapToGrid w:val="0"/>
              <w:jc w:val="center"/>
              <w:rPr>
                <w:color w:val="auto"/>
                <w:sz w:val="24"/>
              </w:rPr>
            </w:pPr>
            <w:r>
              <w:rPr>
                <w:color w:val="auto"/>
                <w:sz w:val="24"/>
              </w:rPr>
              <w:t>地理坐标</w:t>
            </w:r>
          </w:p>
        </w:tc>
        <w:tc>
          <w:tcPr>
            <w:tcW w:w="7769" w:type="dxa"/>
            <w:gridSpan w:val="3"/>
            <w:vAlign w:val="center"/>
          </w:tcPr>
          <w:p w14:paraId="06D737DE">
            <w:pPr>
              <w:jc w:val="center"/>
              <w:rPr>
                <w:color w:val="auto"/>
                <w:sz w:val="24"/>
              </w:rPr>
            </w:pPr>
            <w:r>
              <w:rPr>
                <w:color w:val="auto"/>
                <w:sz w:val="24"/>
              </w:rPr>
              <w:t>经度：115°5</w:t>
            </w:r>
            <w:r>
              <w:rPr>
                <w:rFonts w:hint="eastAsia"/>
                <w:color w:val="auto"/>
                <w:sz w:val="24"/>
              </w:rPr>
              <w:t>6</w:t>
            </w:r>
            <w:r>
              <w:rPr>
                <w:color w:val="auto"/>
                <w:sz w:val="24"/>
              </w:rPr>
              <w:t>′</w:t>
            </w:r>
            <w:r>
              <w:rPr>
                <w:rFonts w:hint="eastAsia"/>
                <w:color w:val="auto"/>
                <w:sz w:val="24"/>
                <w:lang w:eastAsia="zh-CN"/>
              </w:rPr>
              <w:t>57.709</w:t>
            </w:r>
            <w:r>
              <w:rPr>
                <w:color w:val="auto"/>
                <w:sz w:val="24"/>
              </w:rPr>
              <w:t>"，纬度：29°</w:t>
            </w:r>
            <w:r>
              <w:rPr>
                <w:rFonts w:hint="eastAsia"/>
                <w:color w:val="auto"/>
                <w:sz w:val="24"/>
              </w:rPr>
              <w:t>22</w:t>
            </w:r>
            <w:r>
              <w:rPr>
                <w:color w:val="auto"/>
                <w:sz w:val="24"/>
              </w:rPr>
              <w:t>′</w:t>
            </w:r>
            <w:r>
              <w:rPr>
                <w:rFonts w:hint="eastAsia"/>
                <w:color w:val="auto"/>
                <w:sz w:val="24"/>
              </w:rPr>
              <w:t>2.946</w:t>
            </w:r>
            <w:r>
              <w:rPr>
                <w:color w:val="auto"/>
                <w:sz w:val="24"/>
              </w:rPr>
              <w:t>"</w:t>
            </w:r>
          </w:p>
        </w:tc>
      </w:tr>
      <w:tr w14:paraId="3B2308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101" w:type="dxa"/>
            <w:tcMar>
              <w:top w:w="16" w:type="dxa"/>
              <w:left w:w="16" w:type="dxa"/>
              <w:right w:w="16" w:type="dxa"/>
            </w:tcMar>
            <w:vAlign w:val="center"/>
          </w:tcPr>
          <w:p w14:paraId="29A8B9C5">
            <w:pPr>
              <w:adjustRightInd w:val="0"/>
              <w:snapToGrid w:val="0"/>
              <w:jc w:val="center"/>
              <w:rPr>
                <w:color w:val="auto"/>
                <w:sz w:val="24"/>
              </w:rPr>
            </w:pPr>
            <w:r>
              <w:rPr>
                <w:color w:val="auto"/>
                <w:sz w:val="24"/>
              </w:rPr>
              <w:t>国民经济</w:t>
            </w:r>
          </w:p>
          <w:p w14:paraId="6DE1FCC2">
            <w:pPr>
              <w:adjustRightInd w:val="0"/>
              <w:snapToGrid w:val="0"/>
              <w:jc w:val="center"/>
              <w:rPr>
                <w:color w:val="auto"/>
                <w:sz w:val="24"/>
              </w:rPr>
            </w:pPr>
            <w:r>
              <w:rPr>
                <w:color w:val="auto"/>
                <w:sz w:val="24"/>
              </w:rPr>
              <w:t>行业类别</w:t>
            </w:r>
          </w:p>
        </w:tc>
        <w:tc>
          <w:tcPr>
            <w:tcW w:w="2918" w:type="dxa"/>
            <w:vAlign w:val="center"/>
          </w:tcPr>
          <w:p w14:paraId="5A8E7B10">
            <w:pPr>
              <w:adjustRightInd w:val="0"/>
              <w:snapToGrid w:val="0"/>
              <w:jc w:val="center"/>
              <w:rPr>
                <w:color w:val="auto"/>
                <w:sz w:val="24"/>
              </w:rPr>
            </w:pPr>
            <w:r>
              <w:rPr>
                <w:color w:val="auto"/>
                <w:sz w:val="24"/>
              </w:rPr>
              <w:t>Q84</w:t>
            </w:r>
            <w:r>
              <w:rPr>
                <w:rFonts w:hint="eastAsia"/>
                <w:color w:val="auto"/>
                <w:sz w:val="24"/>
              </w:rPr>
              <w:t>23</w:t>
            </w:r>
            <w:r>
              <w:rPr>
                <w:color w:val="auto"/>
                <w:sz w:val="24"/>
              </w:rPr>
              <w:t xml:space="preserve"> </w:t>
            </w:r>
            <w:r>
              <w:rPr>
                <w:rFonts w:hint="eastAsia"/>
                <w:color w:val="auto"/>
                <w:sz w:val="24"/>
              </w:rPr>
              <w:t>乡镇卫生院</w:t>
            </w:r>
          </w:p>
        </w:tc>
        <w:tc>
          <w:tcPr>
            <w:tcW w:w="2212" w:type="dxa"/>
            <w:vAlign w:val="center"/>
          </w:tcPr>
          <w:p w14:paraId="1A73BC3B">
            <w:pPr>
              <w:adjustRightInd w:val="0"/>
              <w:snapToGrid w:val="0"/>
              <w:jc w:val="center"/>
              <w:rPr>
                <w:color w:val="auto"/>
                <w:sz w:val="24"/>
              </w:rPr>
            </w:pPr>
            <w:bookmarkStart w:id="3" w:name="_Hlk49843745"/>
            <w:r>
              <w:rPr>
                <w:color w:val="auto"/>
                <w:sz w:val="24"/>
              </w:rPr>
              <w:t>建设项目</w:t>
            </w:r>
          </w:p>
          <w:p w14:paraId="174D44E7">
            <w:pPr>
              <w:adjustRightInd w:val="0"/>
              <w:snapToGrid w:val="0"/>
              <w:jc w:val="center"/>
              <w:rPr>
                <w:color w:val="auto"/>
                <w:sz w:val="24"/>
              </w:rPr>
            </w:pPr>
            <w:r>
              <w:rPr>
                <w:color w:val="auto"/>
                <w:sz w:val="24"/>
              </w:rPr>
              <w:t>行业类别</w:t>
            </w:r>
            <w:bookmarkEnd w:id="3"/>
          </w:p>
        </w:tc>
        <w:tc>
          <w:tcPr>
            <w:tcW w:w="2639" w:type="dxa"/>
            <w:vAlign w:val="center"/>
          </w:tcPr>
          <w:p w14:paraId="31A89B41">
            <w:pPr>
              <w:adjustRightInd w:val="0"/>
              <w:snapToGrid w:val="0"/>
              <w:rPr>
                <w:color w:val="auto"/>
                <w:sz w:val="24"/>
              </w:rPr>
            </w:pPr>
            <w:r>
              <w:rPr>
                <w:color w:val="auto"/>
                <w:sz w:val="24"/>
              </w:rPr>
              <w:t>四十九、卫生84</w:t>
            </w:r>
            <w:r>
              <w:rPr>
                <w:rFonts w:hint="eastAsia"/>
                <w:color w:val="auto"/>
                <w:sz w:val="24"/>
              </w:rPr>
              <w:t>；</w:t>
            </w:r>
            <w:r>
              <w:rPr>
                <w:color w:val="auto"/>
                <w:sz w:val="24"/>
              </w:rPr>
              <w:t>基层医疗卫生服务842</w:t>
            </w:r>
            <w:r>
              <w:rPr>
                <w:rFonts w:hint="eastAsia"/>
                <w:color w:val="auto"/>
                <w:sz w:val="24"/>
              </w:rPr>
              <w:t>；</w:t>
            </w:r>
            <w:r>
              <w:rPr>
                <w:color w:val="auto"/>
                <w:sz w:val="24"/>
              </w:rPr>
              <w:t>其他（住院床位20张以下的除外）</w:t>
            </w:r>
          </w:p>
        </w:tc>
      </w:tr>
      <w:tr w14:paraId="618C25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01" w:type="dxa"/>
            <w:tcMar>
              <w:top w:w="16" w:type="dxa"/>
              <w:left w:w="16" w:type="dxa"/>
              <w:right w:w="16" w:type="dxa"/>
            </w:tcMar>
            <w:vAlign w:val="center"/>
          </w:tcPr>
          <w:p w14:paraId="5059D10A">
            <w:pPr>
              <w:adjustRightInd w:val="0"/>
              <w:snapToGrid w:val="0"/>
              <w:jc w:val="center"/>
              <w:rPr>
                <w:color w:val="auto"/>
                <w:sz w:val="24"/>
              </w:rPr>
            </w:pPr>
            <w:r>
              <w:rPr>
                <w:color w:val="auto"/>
                <w:sz w:val="24"/>
              </w:rPr>
              <w:t>建设性质</w:t>
            </w:r>
          </w:p>
        </w:tc>
        <w:tc>
          <w:tcPr>
            <w:tcW w:w="2918" w:type="dxa"/>
            <w:vAlign w:val="center"/>
          </w:tcPr>
          <w:p w14:paraId="53DC0051">
            <w:pPr>
              <w:jc w:val="left"/>
              <w:rPr>
                <w:color w:val="auto"/>
                <w:sz w:val="24"/>
              </w:rPr>
            </w:pPr>
            <w:r>
              <w:rPr>
                <w:color w:val="auto"/>
                <w:sz w:val="24"/>
              </w:rPr>
              <w:sym w:font="Wingdings 2" w:char="0052"/>
            </w:r>
            <w:r>
              <w:rPr>
                <w:color w:val="auto"/>
                <w:sz w:val="24"/>
              </w:rPr>
              <w:t>新建（迁建）</w:t>
            </w:r>
          </w:p>
          <w:p w14:paraId="4A3A6AFC">
            <w:pPr>
              <w:jc w:val="left"/>
              <w:rPr>
                <w:color w:val="auto"/>
                <w:sz w:val="24"/>
              </w:rPr>
            </w:pPr>
            <w:r>
              <w:rPr>
                <w:color w:val="auto"/>
                <w:sz w:val="24"/>
              </w:rPr>
              <w:sym w:font="Wingdings 2" w:char="00A3"/>
            </w:r>
            <w:r>
              <w:rPr>
                <w:color w:val="auto"/>
                <w:sz w:val="24"/>
              </w:rPr>
              <w:t>改建</w:t>
            </w:r>
          </w:p>
          <w:p w14:paraId="49F55A72">
            <w:pPr>
              <w:jc w:val="left"/>
              <w:rPr>
                <w:color w:val="auto"/>
                <w:sz w:val="24"/>
              </w:rPr>
            </w:pPr>
            <w:r>
              <w:rPr>
                <w:color w:val="auto"/>
                <w:sz w:val="24"/>
              </w:rPr>
              <w:sym w:font="Wingdings 2" w:char="00A3"/>
            </w:r>
            <w:r>
              <w:rPr>
                <w:color w:val="auto"/>
                <w:sz w:val="24"/>
              </w:rPr>
              <w:t>扩建</w:t>
            </w:r>
          </w:p>
          <w:p w14:paraId="4DAD4D08">
            <w:pPr>
              <w:jc w:val="left"/>
              <w:rPr>
                <w:color w:val="auto"/>
                <w:sz w:val="24"/>
              </w:rPr>
            </w:pPr>
            <w:r>
              <w:rPr>
                <w:color w:val="auto"/>
                <w:sz w:val="24"/>
              </w:rPr>
              <w:sym w:font="Wingdings 2" w:char="00A3"/>
            </w:r>
            <w:r>
              <w:rPr>
                <w:color w:val="auto"/>
                <w:sz w:val="24"/>
              </w:rPr>
              <w:t>技术改造</w:t>
            </w:r>
          </w:p>
        </w:tc>
        <w:tc>
          <w:tcPr>
            <w:tcW w:w="2212" w:type="dxa"/>
            <w:vAlign w:val="center"/>
          </w:tcPr>
          <w:p w14:paraId="3628455F">
            <w:pPr>
              <w:adjustRightInd w:val="0"/>
              <w:snapToGrid w:val="0"/>
              <w:jc w:val="center"/>
              <w:rPr>
                <w:color w:val="auto"/>
                <w:sz w:val="24"/>
              </w:rPr>
            </w:pPr>
            <w:r>
              <w:rPr>
                <w:color w:val="auto"/>
                <w:sz w:val="24"/>
              </w:rPr>
              <w:t>建设项目</w:t>
            </w:r>
          </w:p>
          <w:p w14:paraId="1AED0234">
            <w:pPr>
              <w:adjustRightInd w:val="0"/>
              <w:snapToGrid w:val="0"/>
              <w:jc w:val="center"/>
              <w:rPr>
                <w:color w:val="auto"/>
                <w:sz w:val="24"/>
              </w:rPr>
            </w:pPr>
            <w:r>
              <w:rPr>
                <w:color w:val="auto"/>
                <w:sz w:val="24"/>
              </w:rPr>
              <w:t>申报情形</w:t>
            </w:r>
          </w:p>
        </w:tc>
        <w:tc>
          <w:tcPr>
            <w:tcW w:w="2639" w:type="dxa"/>
            <w:vAlign w:val="center"/>
          </w:tcPr>
          <w:p w14:paraId="01D59377">
            <w:pPr>
              <w:jc w:val="left"/>
              <w:rPr>
                <w:color w:val="auto"/>
                <w:sz w:val="24"/>
              </w:rPr>
            </w:pPr>
            <w:r>
              <w:rPr>
                <w:color w:val="auto"/>
                <w:sz w:val="24"/>
              </w:rPr>
              <w:sym w:font="Wingdings 2" w:char="0052"/>
            </w:r>
            <w:r>
              <w:rPr>
                <w:color w:val="auto"/>
                <w:sz w:val="24"/>
              </w:rPr>
              <w:t xml:space="preserve">首次申报项目             </w:t>
            </w:r>
          </w:p>
          <w:p w14:paraId="3C4FC931">
            <w:pPr>
              <w:jc w:val="left"/>
              <w:rPr>
                <w:color w:val="auto"/>
                <w:sz w:val="24"/>
              </w:rPr>
            </w:pPr>
            <w:r>
              <w:rPr>
                <w:color w:val="auto"/>
                <w:sz w:val="24"/>
              </w:rPr>
              <w:sym w:font="Wingdings 2" w:char="00A3"/>
            </w:r>
            <w:r>
              <w:rPr>
                <w:color w:val="auto"/>
                <w:sz w:val="24"/>
              </w:rPr>
              <w:t>不予批准后再次申报项目</w:t>
            </w:r>
          </w:p>
          <w:p w14:paraId="1BF5C59E">
            <w:pPr>
              <w:jc w:val="left"/>
              <w:rPr>
                <w:color w:val="auto"/>
                <w:sz w:val="24"/>
              </w:rPr>
            </w:pPr>
            <w:r>
              <w:rPr>
                <w:color w:val="auto"/>
                <w:sz w:val="24"/>
              </w:rPr>
              <w:sym w:font="Wingdings 2" w:char="00A3"/>
            </w:r>
            <w:r>
              <w:rPr>
                <w:color w:val="auto"/>
                <w:sz w:val="24"/>
              </w:rPr>
              <w:t xml:space="preserve">超五年重新审核项目     </w:t>
            </w:r>
          </w:p>
          <w:p w14:paraId="686E2308">
            <w:pPr>
              <w:jc w:val="left"/>
              <w:rPr>
                <w:color w:val="auto"/>
                <w:sz w:val="24"/>
              </w:rPr>
            </w:pPr>
            <w:r>
              <w:rPr>
                <w:color w:val="auto"/>
                <w:sz w:val="24"/>
              </w:rPr>
              <w:sym w:font="Wingdings 2" w:char="00A3"/>
            </w:r>
            <w:r>
              <w:rPr>
                <w:color w:val="auto"/>
                <w:sz w:val="24"/>
              </w:rPr>
              <w:t>重大变动重新报批项目</w:t>
            </w:r>
          </w:p>
        </w:tc>
      </w:tr>
      <w:tr w14:paraId="1694A7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101" w:type="dxa"/>
            <w:tcMar>
              <w:top w:w="16" w:type="dxa"/>
              <w:left w:w="16" w:type="dxa"/>
              <w:right w:w="16" w:type="dxa"/>
            </w:tcMar>
            <w:vAlign w:val="center"/>
          </w:tcPr>
          <w:p w14:paraId="567D8108">
            <w:pPr>
              <w:adjustRightInd w:val="0"/>
              <w:snapToGrid w:val="0"/>
              <w:jc w:val="center"/>
              <w:rPr>
                <w:color w:val="auto"/>
                <w:sz w:val="24"/>
              </w:rPr>
            </w:pPr>
            <w:r>
              <w:rPr>
                <w:color w:val="auto"/>
                <w:sz w:val="24"/>
              </w:rPr>
              <w:t>项目审批（核准/</w:t>
            </w:r>
          </w:p>
          <w:p w14:paraId="7EEBCFD7">
            <w:pPr>
              <w:adjustRightInd w:val="0"/>
              <w:snapToGrid w:val="0"/>
              <w:jc w:val="center"/>
              <w:rPr>
                <w:color w:val="auto"/>
                <w:sz w:val="24"/>
              </w:rPr>
            </w:pPr>
            <w:r>
              <w:rPr>
                <w:color w:val="auto"/>
                <w:sz w:val="24"/>
              </w:rPr>
              <w:t>备案）部门（选填）</w:t>
            </w:r>
          </w:p>
        </w:tc>
        <w:tc>
          <w:tcPr>
            <w:tcW w:w="2918" w:type="dxa"/>
            <w:vAlign w:val="center"/>
          </w:tcPr>
          <w:p w14:paraId="22373CF9">
            <w:pPr>
              <w:adjustRightInd w:val="0"/>
              <w:snapToGrid w:val="0"/>
              <w:jc w:val="center"/>
              <w:rPr>
                <w:color w:val="auto"/>
                <w:sz w:val="24"/>
              </w:rPr>
            </w:pPr>
            <w:r>
              <w:rPr>
                <w:rFonts w:hint="eastAsia"/>
                <w:color w:val="auto"/>
                <w:sz w:val="24"/>
              </w:rPr>
              <w:t>庐山市发展和改革委员会</w:t>
            </w:r>
          </w:p>
        </w:tc>
        <w:tc>
          <w:tcPr>
            <w:tcW w:w="2212" w:type="dxa"/>
            <w:vAlign w:val="center"/>
          </w:tcPr>
          <w:p w14:paraId="4C07336E">
            <w:pPr>
              <w:adjustRightInd w:val="0"/>
              <w:snapToGrid w:val="0"/>
              <w:jc w:val="center"/>
              <w:rPr>
                <w:color w:val="auto"/>
                <w:sz w:val="24"/>
              </w:rPr>
            </w:pPr>
            <w:r>
              <w:rPr>
                <w:color w:val="auto"/>
                <w:sz w:val="24"/>
              </w:rPr>
              <w:t>项目审批（核准/</w:t>
            </w:r>
          </w:p>
          <w:p w14:paraId="29230C7B">
            <w:pPr>
              <w:adjustRightInd w:val="0"/>
              <w:snapToGrid w:val="0"/>
              <w:jc w:val="center"/>
              <w:rPr>
                <w:color w:val="auto"/>
                <w:sz w:val="24"/>
              </w:rPr>
            </w:pPr>
            <w:r>
              <w:rPr>
                <w:color w:val="auto"/>
                <w:sz w:val="24"/>
              </w:rPr>
              <w:t>备案）文号（选填）</w:t>
            </w:r>
          </w:p>
        </w:tc>
        <w:tc>
          <w:tcPr>
            <w:tcW w:w="2639" w:type="dxa"/>
            <w:vAlign w:val="center"/>
          </w:tcPr>
          <w:p w14:paraId="671D9D20">
            <w:pPr>
              <w:adjustRightInd w:val="0"/>
              <w:snapToGrid w:val="0"/>
              <w:jc w:val="center"/>
              <w:rPr>
                <w:color w:val="auto"/>
                <w:sz w:val="24"/>
              </w:rPr>
            </w:pPr>
            <w:r>
              <w:rPr>
                <w:rFonts w:hint="eastAsia"/>
                <w:color w:val="auto"/>
                <w:sz w:val="24"/>
              </w:rPr>
              <w:t>庐发改审批字[</w:t>
            </w:r>
            <w:r>
              <w:rPr>
                <w:color w:val="auto"/>
                <w:sz w:val="24"/>
              </w:rPr>
              <w:t>2022]</w:t>
            </w:r>
            <w:r>
              <w:rPr>
                <w:rFonts w:hint="eastAsia"/>
                <w:color w:val="auto"/>
                <w:sz w:val="24"/>
              </w:rPr>
              <w:t>291</w:t>
            </w:r>
            <w:r>
              <w:rPr>
                <w:color w:val="auto"/>
                <w:sz w:val="24"/>
              </w:rPr>
              <w:t>号</w:t>
            </w:r>
          </w:p>
        </w:tc>
      </w:tr>
      <w:tr w14:paraId="06F888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1" w:type="dxa"/>
            <w:tcMar>
              <w:top w:w="16" w:type="dxa"/>
              <w:left w:w="16" w:type="dxa"/>
              <w:right w:w="16" w:type="dxa"/>
            </w:tcMar>
            <w:vAlign w:val="center"/>
          </w:tcPr>
          <w:p w14:paraId="0C3571FD">
            <w:pPr>
              <w:adjustRightInd w:val="0"/>
              <w:snapToGrid w:val="0"/>
              <w:jc w:val="center"/>
              <w:rPr>
                <w:color w:val="auto"/>
                <w:sz w:val="24"/>
              </w:rPr>
            </w:pPr>
            <w:r>
              <w:rPr>
                <w:color w:val="auto"/>
                <w:sz w:val="24"/>
              </w:rPr>
              <w:t>总投资（万元）</w:t>
            </w:r>
          </w:p>
        </w:tc>
        <w:tc>
          <w:tcPr>
            <w:tcW w:w="2918" w:type="dxa"/>
            <w:vAlign w:val="center"/>
          </w:tcPr>
          <w:p w14:paraId="649FE5DB">
            <w:pPr>
              <w:adjustRightInd w:val="0"/>
              <w:snapToGrid w:val="0"/>
              <w:jc w:val="center"/>
              <w:rPr>
                <w:color w:val="auto"/>
                <w:sz w:val="24"/>
              </w:rPr>
            </w:pPr>
            <w:r>
              <w:rPr>
                <w:rFonts w:hint="eastAsia"/>
                <w:color w:val="auto"/>
                <w:sz w:val="24"/>
              </w:rPr>
              <w:t>176.31</w:t>
            </w:r>
          </w:p>
        </w:tc>
        <w:tc>
          <w:tcPr>
            <w:tcW w:w="2212" w:type="dxa"/>
            <w:tcMar>
              <w:top w:w="16" w:type="dxa"/>
              <w:left w:w="16" w:type="dxa"/>
              <w:right w:w="16" w:type="dxa"/>
            </w:tcMar>
            <w:vAlign w:val="center"/>
          </w:tcPr>
          <w:p w14:paraId="35E05029">
            <w:pPr>
              <w:adjustRightInd w:val="0"/>
              <w:snapToGrid w:val="0"/>
              <w:jc w:val="center"/>
              <w:rPr>
                <w:color w:val="auto"/>
                <w:sz w:val="24"/>
              </w:rPr>
            </w:pPr>
            <w:r>
              <w:rPr>
                <w:color w:val="auto"/>
                <w:sz w:val="24"/>
              </w:rPr>
              <w:t>环保投资（万元）</w:t>
            </w:r>
          </w:p>
        </w:tc>
        <w:tc>
          <w:tcPr>
            <w:tcW w:w="2639" w:type="dxa"/>
            <w:vAlign w:val="center"/>
          </w:tcPr>
          <w:p w14:paraId="029B6404">
            <w:pPr>
              <w:adjustRightInd w:val="0"/>
              <w:snapToGrid w:val="0"/>
              <w:jc w:val="center"/>
              <w:rPr>
                <w:rFonts w:hint="default" w:eastAsia="宋体"/>
                <w:color w:val="auto"/>
                <w:sz w:val="24"/>
                <w:lang w:val="en-US" w:eastAsia="zh-CN"/>
              </w:rPr>
            </w:pPr>
            <w:r>
              <w:rPr>
                <w:rFonts w:hint="eastAsia"/>
                <w:color w:val="auto"/>
                <w:sz w:val="24"/>
                <w:lang w:val="en-US" w:eastAsia="zh-CN"/>
              </w:rPr>
              <w:t>23</w:t>
            </w:r>
          </w:p>
        </w:tc>
      </w:tr>
      <w:tr w14:paraId="16021B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1" w:type="dxa"/>
            <w:tcMar>
              <w:top w:w="16" w:type="dxa"/>
              <w:left w:w="16" w:type="dxa"/>
              <w:right w:w="16" w:type="dxa"/>
            </w:tcMar>
            <w:vAlign w:val="center"/>
          </w:tcPr>
          <w:p w14:paraId="68E3E11F">
            <w:pPr>
              <w:adjustRightInd w:val="0"/>
              <w:snapToGrid w:val="0"/>
              <w:jc w:val="center"/>
              <w:rPr>
                <w:color w:val="auto"/>
                <w:sz w:val="24"/>
              </w:rPr>
            </w:pPr>
            <w:r>
              <w:rPr>
                <w:color w:val="auto"/>
                <w:sz w:val="24"/>
              </w:rPr>
              <w:t>环保投资占比（%）</w:t>
            </w:r>
          </w:p>
        </w:tc>
        <w:tc>
          <w:tcPr>
            <w:tcW w:w="2918" w:type="dxa"/>
            <w:vAlign w:val="center"/>
          </w:tcPr>
          <w:p w14:paraId="32066EC8">
            <w:pPr>
              <w:adjustRightInd w:val="0"/>
              <w:snapToGrid w:val="0"/>
              <w:jc w:val="center"/>
              <w:rPr>
                <w:rFonts w:hint="default" w:eastAsia="宋体"/>
                <w:color w:val="auto"/>
                <w:sz w:val="24"/>
                <w:lang w:val="en-US" w:eastAsia="zh-CN"/>
              </w:rPr>
            </w:pPr>
            <w:r>
              <w:rPr>
                <w:rFonts w:hint="eastAsia"/>
                <w:color w:val="auto"/>
                <w:sz w:val="24"/>
                <w:lang w:val="en-US" w:eastAsia="zh-CN"/>
              </w:rPr>
              <w:t>13.05</w:t>
            </w:r>
          </w:p>
        </w:tc>
        <w:tc>
          <w:tcPr>
            <w:tcW w:w="2212" w:type="dxa"/>
            <w:tcMar>
              <w:top w:w="16" w:type="dxa"/>
              <w:left w:w="16" w:type="dxa"/>
              <w:right w:w="16" w:type="dxa"/>
            </w:tcMar>
            <w:vAlign w:val="center"/>
          </w:tcPr>
          <w:p w14:paraId="34B4198A">
            <w:pPr>
              <w:adjustRightInd w:val="0"/>
              <w:snapToGrid w:val="0"/>
              <w:jc w:val="center"/>
              <w:rPr>
                <w:color w:val="auto"/>
                <w:sz w:val="24"/>
              </w:rPr>
            </w:pPr>
            <w:r>
              <w:rPr>
                <w:color w:val="auto"/>
                <w:sz w:val="24"/>
              </w:rPr>
              <w:t>施工工期</w:t>
            </w:r>
          </w:p>
        </w:tc>
        <w:tc>
          <w:tcPr>
            <w:tcW w:w="2639" w:type="dxa"/>
            <w:vAlign w:val="center"/>
          </w:tcPr>
          <w:p w14:paraId="0B8048AA">
            <w:pPr>
              <w:adjustRightInd w:val="0"/>
              <w:snapToGrid w:val="0"/>
              <w:jc w:val="center"/>
              <w:rPr>
                <w:color w:val="auto"/>
                <w:sz w:val="24"/>
              </w:rPr>
            </w:pPr>
            <w:r>
              <w:rPr>
                <w:rFonts w:hint="eastAsia"/>
                <w:color w:val="auto"/>
                <w:sz w:val="24"/>
              </w:rPr>
              <w:t>3个月</w:t>
            </w:r>
          </w:p>
        </w:tc>
      </w:tr>
      <w:tr w14:paraId="79B918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1" w:type="dxa"/>
            <w:tcMar>
              <w:top w:w="16" w:type="dxa"/>
              <w:left w:w="16" w:type="dxa"/>
              <w:right w:w="16" w:type="dxa"/>
            </w:tcMar>
            <w:vAlign w:val="center"/>
          </w:tcPr>
          <w:p w14:paraId="43C8CC2E">
            <w:pPr>
              <w:adjustRightInd w:val="0"/>
              <w:snapToGrid w:val="0"/>
              <w:jc w:val="center"/>
              <w:rPr>
                <w:color w:val="auto"/>
                <w:sz w:val="24"/>
              </w:rPr>
            </w:pPr>
            <w:r>
              <w:rPr>
                <w:color w:val="auto"/>
                <w:sz w:val="24"/>
              </w:rPr>
              <w:t>是否开工建设</w:t>
            </w:r>
          </w:p>
        </w:tc>
        <w:tc>
          <w:tcPr>
            <w:tcW w:w="2918" w:type="dxa"/>
            <w:vAlign w:val="center"/>
          </w:tcPr>
          <w:p w14:paraId="66F63483">
            <w:pPr>
              <w:adjustRightInd w:val="0"/>
              <w:snapToGrid w:val="0"/>
              <w:rPr>
                <w:color w:val="auto"/>
                <w:sz w:val="24"/>
              </w:rPr>
            </w:pPr>
            <w:r>
              <w:rPr>
                <w:color w:val="auto"/>
                <w:sz w:val="24"/>
              </w:rPr>
              <w:sym w:font="Wingdings 2" w:char="00A3"/>
            </w:r>
            <w:r>
              <w:rPr>
                <w:color w:val="auto"/>
                <w:sz w:val="24"/>
              </w:rPr>
              <w:t>否</w:t>
            </w:r>
          </w:p>
          <w:p w14:paraId="0CDC44ED">
            <w:pPr>
              <w:adjustRightInd w:val="0"/>
              <w:snapToGrid w:val="0"/>
              <w:rPr>
                <w:rFonts w:hint="default" w:eastAsia="宋体"/>
                <w:color w:val="auto"/>
                <w:sz w:val="24"/>
                <w:lang w:val="en-US" w:eastAsia="zh-CN"/>
              </w:rPr>
            </w:pPr>
            <w:r>
              <w:rPr>
                <w:color w:val="auto"/>
                <w:sz w:val="24"/>
              </w:rPr>
              <w:sym w:font="Wingdings 2" w:char="0052"/>
            </w:r>
            <w:r>
              <w:rPr>
                <w:color w:val="auto"/>
                <w:sz w:val="24"/>
              </w:rPr>
              <w:t>是：</w:t>
            </w:r>
            <w:r>
              <w:rPr>
                <w:rFonts w:hint="eastAsia" w:ascii="Times New Roman" w:hAnsi="Times New Roman" w:eastAsia="宋体" w:cs="Times New Roman"/>
                <w:color w:val="auto"/>
                <w:kern w:val="2"/>
                <w:sz w:val="24"/>
                <w:szCs w:val="24"/>
                <w:u w:val="single"/>
                <w:lang w:val="en-US" w:eastAsia="zh-CN" w:bidi="ar-SA"/>
              </w:rPr>
              <w:t>由于卫生院建设时期较早，未办理环评相关手续。目前处于停业状态，</w:t>
            </w:r>
            <w:r>
              <w:rPr>
                <w:rFonts w:hint="eastAsia" w:cs="Times New Roman"/>
                <w:color w:val="auto"/>
                <w:kern w:val="2"/>
                <w:sz w:val="24"/>
                <w:szCs w:val="24"/>
                <w:u w:val="single"/>
                <w:lang w:val="en-US" w:eastAsia="zh-CN" w:bidi="ar-SA"/>
              </w:rPr>
              <w:t>改造工程未进行，</w:t>
            </w:r>
            <w:r>
              <w:rPr>
                <w:rFonts w:hint="eastAsia" w:cs="Times New Roman"/>
                <w:color w:val="7030A0"/>
                <w:kern w:val="2"/>
                <w:sz w:val="24"/>
                <w:szCs w:val="24"/>
                <w:u w:val="single"/>
                <w:lang w:val="en-US" w:eastAsia="zh-CN" w:bidi="ar-SA"/>
              </w:rPr>
              <w:t>已缴纳罚款</w:t>
            </w:r>
            <w:r>
              <w:rPr>
                <w:rFonts w:hint="eastAsia" w:cs="Times New Roman"/>
                <w:color w:val="auto"/>
                <w:kern w:val="2"/>
                <w:sz w:val="24"/>
                <w:szCs w:val="24"/>
                <w:u w:val="single"/>
                <w:lang w:val="en-US" w:eastAsia="zh-CN" w:bidi="ar-SA"/>
              </w:rPr>
              <w:t>。</w:t>
            </w:r>
          </w:p>
        </w:tc>
        <w:tc>
          <w:tcPr>
            <w:tcW w:w="2212" w:type="dxa"/>
            <w:tcMar>
              <w:top w:w="16" w:type="dxa"/>
              <w:left w:w="16" w:type="dxa"/>
              <w:right w:w="16" w:type="dxa"/>
            </w:tcMar>
            <w:vAlign w:val="center"/>
          </w:tcPr>
          <w:p w14:paraId="4E1CB712">
            <w:pPr>
              <w:adjustRightInd w:val="0"/>
              <w:snapToGrid w:val="0"/>
              <w:jc w:val="center"/>
              <w:rPr>
                <w:color w:val="auto"/>
                <w:spacing w:val="-6"/>
                <w:sz w:val="24"/>
              </w:rPr>
            </w:pPr>
            <w:r>
              <w:rPr>
                <w:color w:val="auto"/>
                <w:spacing w:val="-6"/>
                <w:sz w:val="24"/>
              </w:rPr>
              <w:t>用地（用海）</w:t>
            </w:r>
          </w:p>
          <w:p w14:paraId="752C6955">
            <w:pPr>
              <w:adjustRightInd w:val="0"/>
              <w:snapToGrid w:val="0"/>
              <w:jc w:val="center"/>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2639" w:type="dxa"/>
            <w:vAlign w:val="center"/>
          </w:tcPr>
          <w:p w14:paraId="10620D31">
            <w:pPr>
              <w:adjustRightInd w:val="0"/>
              <w:snapToGrid w:val="0"/>
              <w:jc w:val="center"/>
              <w:rPr>
                <w:color w:val="auto"/>
                <w:sz w:val="24"/>
              </w:rPr>
            </w:pPr>
            <w:r>
              <w:rPr>
                <w:rFonts w:hint="eastAsia"/>
                <w:color w:val="auto"/>
                <w:sz w:val="24"/>
              </w:rPr>
              <w:t>2903</w:t>
            </w:r>
          </w:p>
        </w:tc>
      </w:tr>
      <w:tr w14:paraId="24AE85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01" w:type="dxa"/>
            <w:vAlign w:val="center"/>
          </w:tcPr>
          <w:p w14:paraId="10C865FD">
            <w:pPr>
              <w:autoSpaceDE w:val="0"/>
              <w:autoSpaceDN w:val="0"/>
              <w:adjustRightInd w:val="0"/>
              <w:snapToGrid w:val="0"/>
              <w:jc w:val="center"/>
              <w:rPr>
                <w:color w:val="auto"/>
                <w:kern w:val="0"/>
                <w:sz w:val="24"/>
              </w:rPr>
            </w:pPr>
            <w:r>
              <w:rPr>
                <w:color w:val="auto"/>
                <w:kern w:val="0"/>
                <w:sz w:val="24"/>
              </w:rPr>
              <w:t>专项评价设置情况</w:t>
            </w:r>
          </w:p>
        </w:tc>
        <w:tc>
          <w:tcPr>
            <w:tcW w:w="7769" w:type="dxa"/>
            <w:gridSpan w:val="3"/>
            <w:vAlign w:val="center"/>
          </w:tcPr>
          <w:p w14:paraId="2923A5A0">
            <w:pPr>
              <w:autoSpaceDE w:val="0"/>
              <w:autoSpaceDN w:val="0"/>
              <w:adjustRightInd w:val="0"/>
              <w:snapToGrid w:val="0"/>
              <w:spacing w:line="360" w:lineRule="auto"/>
              <w:jc w:val="center"/>
              <w:rPr>
                <w:b/>
                <w:bCs/>
                <w:color w:val="auto"/>
                <w:kern w:val="0"/>
                <w:sz w:val="22"/>
                <w:szCs w:val="22"/>
              </w:rPr>
            </w:pPr>
            <w:r>
              <w:rPr>
                <w:rFonts w:hint="eastAsia"/>
                <w:b/>
                <w:bCs/>
                <w:color w:val="auto"/>
                <w:kern w:val="0"/>
                <w:sz w:val="22"/>
                <w:szCs w:val="22"/>
              </w:rPr>
              <w:t>表1</w:t>
            </w:r>
            <w:r>
              <w:rPr>
                <w:b/>
                <w:bCs/>
                <w:color w:val="auto"/>
                <w:kern w:val="0"/>
                <w:sz w:val="22"/>
                <w:szCs w:val="22"/>
              </w:rPr>
              <w:t xml:space="preserve">-1  </w:t>
            </w:r>
            <w:r>
              <w:rPr>
                <w:rFonts w:hint="eastAsia"/>
                <w:b/>
                <w:bCs/>
                <w:color w:val="auto"/>
                <w:kern w:val="0"/>
                <w:sz w:val="22"/>
                <w:szCs w:val="22"/>
              </w:rPr>
              <w:t>专项评价设置原则表</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1"/>
              <w:gridCol w:w="5108"/>
              <w:gridCol w:w="1661"/>
            </w:tblGrid>
            <w:tr w14:paraId="6337EA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Align w:val="center"/>
                </w:tcPr>
                <w:p w14:paraId="5C8E6901">
                  <w:pPr>
                    <w:autoSpaceDE w:val="0"/>
                    <w:autoSpaceDN w:val="0"/>
                    <w:adjustRightInd w:val="0"/>
                    <w:snapToGrid w:val="0"/>
                    <w:jc w:val="center"/>
                    <w:rPr>
                      <w:b/>
                      <w:bCs/>
                      <w:color w:val="auto"/>
                    </w:rPr>
                  </w:pPr>
                  <w:r>
                    <w:rPr>
                      <w:rFonts w:hint="eastAsia"/>
                      <w:b/>
                      <w:bCs/>
                      <w:color w:val="auto"/>
                    </w:rPr>
                    <w:t>类别</w:t>
                  </w:r>
                </w:p>
              </w:tc>
              <w:tc>
                <w:tcPr>
                  <w:tcW w:w="5108" w:type="dxa"/>
                  <w:vAlign w:val="center"/>
                </w:tcPr>
                <w:p w14:paraId="4153D1E8">
                  <w:pPr>
                    <w:autoSpaceDE w:val="0"/>
                    <w:autoSpaceDN w:val="0"/>
                    <w:adjustRightInd w:val="0"/>
                    <w:snapToGrid w:val="0"/>
                    <w:jc w:val="center"/>
                    <w:rPr>
                      <w:b/>
                      <w:bCs/>
                      <w:color w:val="auto"/>
                    </w:rPr>
                  </w:pPr>
                  <w:r>
                    <w:rPr>
                      <w:rFonts w:hint="eastAsia"/>
                      <w:b/>
                      <w:bCs/>
                      <w:color w:val="auto"/>
                    </w:rPr>
                    <w:t>设置原则</w:t>
                  </w:r>
                </w:p>
              </w:tc>
              <w:tc>
                <w:tcPr>
                  <w:tcW w:w="1661" w:type="dxa"/>
                  <w:vAlign w:val="center"/>
                </w:tcPr>
                <w:p w14:paraId="311249A8">
                  <w:pPr>
                    <w:autoSpaceDE w:val="0"/>
                    <w:autoSpaceDN w:val="0"/>
                    <w:adjustRightInd w:val="0"/>
                    <w:snapToGrid w:val="0"/>
                    <w:jc w:val="center"/>
                    <w:rPr>
                      <w:b/>
                      <w:bCs/>
                      <w:color w:val="auto"/>
                    </w:rPr>
                  </w:pPr>
                  <w:r>
                    <w:rPr>
                      <w:rFonts w:hint="eastAsia"/>
                      <w:b/>
                      <w:bCs/>
                      <w:color w:val="auto"/>
                    </w:rPr>
                    <w:t>本项目情况</w:t>
                  </w:r>
                </w:p>
              </w:tc>
            </w:tr>
            <w:tr w14:paraId="3316F6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Align w:val="center"/>
                </w:tcPr>
                <w:p w14:paraId="323958BC">
                  <w:pPr>
                    <w:autoSpaceDE w:val="0"/>
                    <w:autoSpaceDN w:val="0"/>
                    <w:adjustRightInd w:val="0"/>
                    <w:snapToGrid w:val="0"/>
                    <w:jc w:val="center"/>
                    <w:rPr>
                      <w:color w:val="auto"/>
                    </w:rPr>
                  </w:pPr>
                  <w:r>
                    <w:rPr>
                      <w:rFonts w:hint="eastAsia"/>
                      <w:color w:val="auto"/>
                    </w:rPr>
                    <w:t>大气</w:t>
                  </w:r>
                </w:p>
              </w:tc>
              <w:tc>
                <w:tcPr>
                  <w:tcW w:w="5108" w:type="dxa"/>
                  <w:vAlign w:val="center"/>
                </w:tcPr>
                <w:p w14:paraId="3ED60795">
                  <w:pPr>
                    <w:autoSpaceDE w:val="0"/>
                    <w:autoSpaceDN w:val="0"/>
                    <w:adjustRightInd w:val="0"/>
                    <w:snapToGrid w:val="0"/>
                    <w:rPr>
                      <w:color w:val="auto"/>
                    </w:rPr>
                  </w:pPr>
                  <w:r>
                    <w:rPr>
                      <w:rFonts w:hint="eastAsia"/>
                      <w:color w:val="auto"/>
                    </w:rPr>
                    <w:t>排放废气含有毒有害污染物</w:t>
                  </w:r>
                  <w:r>
                    <w:rPr>
                      <w:rFonts w:hint="eastAsia"/>
                      <w:color w:val="auto"/>
                      <w:vertAlign w:val="superscript"/>
                    </w:rPr>
                    <w:t>[1]</w:t>
                  </w:r>
                  <w:r>
                    <w:rPr>
                      <w:rFonts w:hint="eastAsia"/>
                      <w:color w:val="auto"/>
                    </w:rPr>
                    <w:t>、二噁英、苯并[a]芘、氰化物、氯气且厂界外500米范围内有环境空气保护目标</w:t>
                  </w:r>
                  <w:r>
                    <w:rPr>
                      <w:rFonts w:hint="eastAsia"/>
                      <w:color w:val="auto"/>
                      <w:vertAlign w:val="superscript"/>
                    </w:rPr>
                    <w:t>[2]</w:t>
                  </w:r>
                  <w:r>
                    <w:rPr>
                      <w:rFonts w:hint="eastAsia"/>
                      <w:color w:val="auto"/>
                    </w:rPr>
                    <w:t>的建设项目</w:t>
                  </w:r>
                </w:p>
              </w:tc>
              <w:tc>
                <w:tcPr>
                  <w:tcW w:w="1661" w:type="dxa"/>
                  <w:vAlign w:val="center"/>
                </w:tcPr>
                <w:p w14:paraId="0409EC4A">
                  <w:pPr>
                    <w:autoSpaceDE w:val="0"/>
                    <w:autoSpaceDN w:val="0"/>
                    <w:adjustRightInd w:val="0"/>
                    <w:snapToGrid w:val="0"/>
                    <w:jc w:val="center"/>
                    <w:rPr>
                      <w:color w:val="auto"/>
                    </w:rPr>
                  </w:pPr>
                  <w:r>
                    <w:rPr>
                      <w:rFonts w:hint="eastAsia"/>
                      <w:color w:val="auto"/>
                    </w:rPr>
                    <w:t>无需设置</w:t>
                  </w:r>
                </w:p>
              </w:tc>
            </w:tr>
            <w:tr w14:paraId="0D0498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Align w:val="center"/>
                </w:tcPr>
                <w:p w14:paraId="37B00321">
                  <w:pPr>
                    <w:autoSpaceDE w:val="0"/>
                    <w:autoSpaceDN w:val="0"/>
                    <w:adjustRightInd w:val="0"/>
                    <w:snapToGrid w:val="0"/>
                    <w:jc w:val="center"/>
                    <w:rPr>
                      <w:color w:val="auto"/>
                    </w:rPr>
                  </w:pPr>
                  <w:r>
                    <w:rPr>
                      <w:rFonts w:hint="eastAsia"/>
                      <w:color w:val="auto"/>
                    </w:rPr>
                    <w:t>地表水</w:t>
                  </w:r>
                </w:p>
              </w:tc>
              <w:tc>
                <w:tcPr>
                  <w:tcW w:w="5108" w:type="dxa"/>
                  <w:vAlign w:val="center"/>
                </w:tcPr>
                <w:p w14:paraId="37DBC59E">
                  <w:pPr>
                    <w:autoSpaceDE w:val="0"/>
                    <w:autoSpaceDN w:val="0"/>
                    <w:adjustRightInd w:val="0"/>
                    <w:snapToGrid w:val="0"/>
                    <w:rPr>
                      <w:color w:val="auto"/>
                    </w:rPr>
                  </w:pPr>
                  <w:r>
                    <w:rPr>
                      <w:rFonts w:hint="eastAsia"/>
                      <w:color w:val="auto"/>
                    </w:rPr>
                    <w:t>新增工业废水直排建设项目（槽罐车外送污水处理厂的除外）；新增废水直排的污水集中处理厂</w:t>
                  </w:r>
                </w:p>
              </w:tc>
              <w:tc>
                <w:tcPr>
                  <w:tcW w:w="1661" w:type="dxa"/>
                  <w:vAlign w:val="center"/>
                </w:tcPr>
                <w:p w14:paraId="516452A8">
                  <w:pPr>
                    <w:autoSpaceDE w:val="0"/>
                    <w:autoSpaceDN w:val="0"/>
                    <w:adjustRightInd w:val="0"/>
                    <w:snapToGrid w:val="0"/>
                    <w:jc w:val="center"/>
                    <w:rPr>
                      <w:color w:val="auto"/>
                    </w:rPr>
                  </w:pPr>
                  <w:r>
                    <w:rPr>
                      <w:rFonts w:hint="eastAsia"/>
                      <w:color w:val="auto"/>
                    </w:rPr>
                    <w:t>无需设置</w:t>
                  </w:r>
                </w:p>
              </w:tc>
            </w:tr>
            <w:tr w14:paraId="3EC1C8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Align w:val="center"/>
                </w:tcPr>
                <w:p w14:paraId="2C36B850">
                  <w:pPr>
                    <w:autoSpaceDE w:val="0"/>
                    <w:autoSpaceDN w:val="0"/>
                    <w:adjustRightInd w:val="0"/>
                    <w:snapToGrid w:val="0"/>
                    <w:jc w:val="center"/>
                    <w:rPr>
                      <w:color w:val="auto"/>
                    </w:rPr>
                  </w:pPr>
                  <w:r>
                    <w:rPr>
                      <w:rFonts w:hint="eastAsia"/>
                      <w:color w:val="auto"/>
                    </w:rPr>
                    <w:t>环境风险</w:t>
                  </w:r>
                </w:p>
              </w:tc>
              <w:tc>
                <w:tcPr>
                  <w:tcW w:w="5108" w:type="dxa"/>
                  <w:vAlign w:val="center"/>
                </w:tcPr>
                <w:p w14:paraId="428FBF0F">
                  <w:pPr>
                    <w:autoSpaceDE w:val="0"/>
                    <w:autoSpaceDN w:val="0"/>
                    <w:adjustRightInd w:val="0"/>
                    <w:snapToGrid w:val="0"/>
                    <w:rPr>
                      <w:color w:val="auto"/>
                    </w:rPr>
                  </w:pPr>
                  <w:r>
                    <w:rPr>
                      <w:rFonts w:hint="eastAsia"/>
                      <w:color w:val="auto"/>
                    </w:rPr>
                    <w:t>有毒有害和易燃易爆危险物质存储量超过临界量</w:t>
                  </w:r>
                  <w:r>
                    <w:rPr>
                      <w:rFonts w:hint="eastAsia"/>
                      <w:color w:val="auto"/>
                      <w:vertAlign w:val="superscript"/>
                    </w:rPr>
                    <w:t>[3]</w:t>
                  </w:r>
                  <w:r>
                    <w:rPr>
                      <w:rFonts w:hint="eastAsia"/>
                      <w:color w:val="auto"/>
                    </w:rPr>
                    <w:t>的建设项目</w:t>
                  </w:r>
                </w:p>
              </w:tc>
              <w:tc>
                <w:tcPr>
                  <w:tcW w:w="1661" w:type="dxa"/>
                  <w:vAlign w:val="center"/>
                </w:tcPr>
                <w:p w14:paraId="101B25C2">
                  <w:pPr>
                    <w:autoSpaceDE w:val="0"/>
                    <w:autoSpaceDN w:val="0"/>
                    <w:adjustRightInd w:val="0"/>
                    <w:snapToGrid w:val="0"/>
                    <w:jc w:val="center"/>
                    <w:rPr>
                      <w:color w:val="auto"/>
                    </w:rPr>
                  </w:pPr>
                  <w:r>
                    <w:rPr>
                      <w:rFonts w:hint="eastAsia"/>
                      <w:color w:val="auto"/>
                    </w:rPr>
                    <w:t>无需设置</w:t>
                  </w:r>
                </w:p>
              </w:tc>
            </w:tr>
            <w:tr w14:paraId="5B3671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Align w:val="center"/>
                </w:tcPr>
                <w:p w14:paraId="33520BAF">
                  <w:pPr>
                    <w:autoSpaceDE w:val="0"/>
                    <w:autoSpaceDN w:val="0"/>
                    <w:adjustRightInd w:val="0"/>
                    <w:snapToGrid w:val="0"/>
                    <w:jc w:val="center"/>
                    <w:rPr>
                      <w:color w:val="auto"/>
                    </w:rPr>
                  </w:pPr>
                  <w:r>
                    <w:rPr>
                      <w:rFonts w:hint="eastAsia"/>
                      <w:color w:val="auto"/>
                    </w:rPr>
                    <w:t>生态</w:t>
                  </w:r>
                </w:p>
              </w:tc>
              <w:tc>
                <w:tcPr>
                  <w:tcW w:w="5108" w:type="dxa"/>
                  <w:vAlign w:val="center"/>
                </w:tcPr>
                <w:p w14:paraId="50D69F00">
                  <w:pPr>
                    <w:autoSpaceDE w:val="0"/>
                    <w:autoSpaceDN w:val="0"/>
                    <w:adjustRightInd w:val="0"/>
                    <w:snapToGrid w:val="0"/>
                    <w:rPr>
                      <w:color w:val="auto"/>
                    </w:rPr>
                  </w:pPr>
                  <w:r>
                    <w:rPr>
                      <w:rFonts w:hint="eastAsia"/>
                      <w:color w:val="auto"/>
                    </w:rPr>
                    <w:t>取水口下游500米范围内有重要水生生物的自然产卵场、索饵场、越冬场和 洄游通道的新增河道取水的污染类建设项目</w:t>
                  </w:r>
                </w:p>
              </w:tc>
              <w:tc>
                <w:tcPr>
                  <w:tcW w:w="1661" w:type="dxa"/>
                  <w:vAlign w:val="center"/>
                </w:tcPr>
                <w:p w14:paraId="537A3390">
                  <w:pPr>
                    <w:autoSpaceDE w:val="0"/>
                    <w:autoSpaceDN w:val="0"/>
                    <w:adjustRightInd w:val="0"/>
                    <w:snapToGrid w:val="0"/>
                    <w:jc w:val="center"/>
                    <w:rPr>
                      <w:color w:val="auto"/>
                    </w:rPr>
                  </w:pPr>
                  <w:r>
                    <w:rPr>
                      <w:rFonts w:hint="eastAsia"/>
                      <w:color w:val="auto"/>
                    </w:rPr>
                    <w:t>不涉及</w:t>
                  </w:r>
                </w:p>
              </w:tc>
            </w:tr>
            <w:tr w14:paraId="54C61A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Align w:val="center"/>
                </w:tcPr>
                <w:p w14:paraId="1D0C5731">
                  <w:pPr>
                    <w:autoSpaceDE w:val="0"/>
                    <w:autoSpaceDN w:val="0"/>
                    <w:adjustRightInd w:val="0"/>
                    <w:snapToGrid w:val="0"/>
                    <w:jc w:val="center"/>
                    <w:rPr>
                      <w:color w:val="auto"/>
                    </w:rPr>
                  </w:pPr>
                  <w:r>
                    <w:rPr>
                      <w:rFonts w:hint="eastAsia"/>
                      <w:color w:val="auto"/>
                    </w:rPr>
                    <w:t>海洋</w:t>
                  </w:r>
                </w:p>
              </w:tc>
              <w:tc>
                <w:tcPr>
                  <w:tcW w:w="5108" w:type="dxa"/>
                  <w:vAlign w:val="center"/>
                </w:tcPr>
                <w:p w14:paraId="27D1F957">
                  <w:pPr>
                    <w:autoSpaceDE w:val="0"/>
                    <w:autoSpaceDN w:val="0"/>
                    <w:adjustRightInd w:val="0"/>
                    <w:snapToGrid w:val="0"/>
                    <w:rPr>
                      <w:color w:val="auto"/>
                    </w:rPr>
                  </w:pPr>
                  <w:r>
                    <w:rPr>
                      <w:rFonts w:hint="eastAsia"/>
                      <w:color w:val="auto"/>
                    </w:rPr>
                    <w:t>直接向海排放污染物的海洋工程建设项目</w:t>
                  </w:r>
                </w:p>
              </w:tc>
              <w:tc>
                <w:tcPr>
                  <w:tcW w:w="1661" w:type="dxa"/>
                  <w:vAlign w:val="center"/>
                </w:tcPr>
                <w:p w14:paraId="0EC9D447">
                  <w:pPr>
                    <w:autoSpaceDE w:val="0"/>
                    <w:autoSpaceDN w:val="0"/>
                    <w:adjustRightInd w:val="0"/>
                    <w:snapToGrid w:val="0"/>
                    <w:jc w:val="center"/>
                    <w:rPr>
                      <w:color w:val="auto"/>
                    </w:rPr>
                  </w:pPr>
                  <w:r>
                    <w:rPr>
                      <w:rFonts w:hint="eastAsia"/>
                      <w:color w:val="auto"/>
                    </w:rPr>
                    <w:t>不涉及</w:t>
                  </w:r>
                </w:p>
              </w:tc>
            </w:tr>
          </w:tbl>
          <w:p w14:paraId="7FED7D7C">
            <w:pPr>
              <w:autoSpaceDE w:val="0"/>
              <w:autoSpaceDN w:val="0"/>
              <w:adjustRightInd w:val="0"/>
              <w:snapToGrid w:val="0"/>
              <w:ind w:firstLine="420" w:firstLineChars="200"/>
              <w:jc w:val="left"/>
              <w:rPr>
                <w:color w:val="auto"/>
                <w:kern w:val="0"/>
                <w:szCs w:val="21"/>
              </w:rPr>
            </w:pPr>
            <w:r>
              <w:rPr>
                <w:color w:val="auto"/>
                <w:kern w:val="0"/>
                <w:szCs w:val="21"/>
              </w:rPr>
              <w:t>注：1.废气中有毒有害污染物指纳入《有毒有害大气污染物名录》的污染物（不包括无排放标准的污染物）。</w:t>
            </w:r>
          </w:p>
          <w:p w14:paraId="1E814B42">
            <w:pPr>
              <w:autoSpaceDE w:val="0"/>
              <w:autoSpaceDN w:val="0"/>
              <w:adjustRightInd w:val="0"/>
              <w:snapToGrid w:val="0"/>
              <w:ind w:firstLine="420" w:firstLineChars="200"/>
              <w:jc w:val="left"/>
              <w:rPr>
                <w:color w:val="auto"/>
                <w:kern w:val="0"/>
                <w:szCs w:val="21"/>
              </w:rPr>
            </w:pPr>
            <w:r>
              <w:rPr>
                <w:color w:val="auto"/>
                <w:kern w:val="0"/>
                <w:szCs w:val="21"/>
              </w:rPr>
              <w:t>2.环境空气保护目标指自然保护区、风景名胜区、居住区、文化区和农村地区中人群较集中的区域。</w:t>
            </w:r>
          </w:p>
          <w:p w14:paraId="33A05CDE">
            <w:pPr>
              <w:autoSpaceDE w:val="0"/>
              <w:autoSpaceDN w:val="0"/>
              <w:adjustRightInd w:val="0"/>
              <w:snapToGrid w:val="0"/>
              <w:spacing w:after="120" w:afterLines="50"/>
              <w:ind w:firstLine="420" w:firstLineChars="200"/>
              <w:jc w:val="left"/>
              <w:rPr>
                <w:color w:val="auto"/>
                <w:kern w:val="0"/>
                <w:szCs w:val="21"/>
              </w:rPr>
            </w:pPr>
            <w:r>
              <w:rPr>
                <w:color w:val="auto"/>
                <w:kern w:val="0"/>
                <w:szCs w:val="21"/>
              </w:rPr>
              <w:t>3.临界量及其计算方法可参考《建设项目环境风险评价技术导则》（HJ169）附录B、附录C。</w:t>
            </w:r>
          </w:p>
          <w:p w14:paraId="104D129D">
            <w:pPr>
              <w:autoSpaceDE w:val="0"/>
              <w:autoSpaceDN w:val="0"/>
              <w:adjustRightInd w:val="0"/>
              <w:snapToGrid w:val="0"/>
              <w:spacing w:line="360" w:lineRule="auto"/>
              <w:ind w:firstLine="480" w:firstLineChars="200"/>
              <w:jc w:val="left"/>
              <w:rPr>
                <w:color w:val="auto"/>
                <w:kern w:val="0"/>
                <w:sz w:val="24"/>
              </w:rPr>
            </w:pPr>
            <w:r>
              <w:rPr>
                <w:rFonts w:hint="eastAsia"/>
                <w:color w:val="auto"/>
                <w:kern w:val="0"/>
                <w:sz w:val="24"/>
              </w:rPr>
              <w:t>综上所述，本项目不设置专项评价。</w:t>
            </w:r>
          </w:p>
        </w:tc>
      </w:tr>
      <w:tr w14:paraId="79C676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01" w:type="dxa"/>
            <w:vAlign w:val="center"/>
          </w:tcPr>
          <w:p w14:paraId="22889393">
            <w:pPr>
              <w:autoSpaceDE w:val="0"/>
              <w:autoSpaceDN w:val="0"/>
              <w:adjustRightInd w:val="0"/>
              <w:snapToGrid w:val="0"/>
              <w:jc w:val="center"/>
              <w:rPr>
                <w:color w:val="auto"/>
                <w:kern w:val="0"/>
                <w:sz w:val="24"/>
              </w:rPr>
            </w:pPr>
            <w:r>
              <w:rPr>
                <w:color w:val="auto"/>
                <w:sz w:val="24"/>
              </w:rPr>
              <w:t>规划情况</w:t>
            </w:r>
          </w:p>
        </w:tc>
        <w:tc>
          <w:tcPr>
            <w:tcW w:w="7769" w:type="dxa"/>
            <w:gridSpan w:val="3"/>
            <w:vAlign w:val="center"/>
          </w:tcPr>
          <w:p w14:paraId="16759EB5">
            <w:pPr>
              <w:numPr>
                <w:ilvl w:val="0"/>
                <w:numId w:val="0"/>
              </w:numPr>
              <w:spacing w:line="360" w:lineRule="auto"/>
              <w:rPr>
                <w:rFonts w:hint="eastAsia"/>
                <w:color w:val="auto"/>
                <w:kern w:val="0"/>
                <w:sz w:val="24"/>
              </w:rPr>
            </w:pPr>
            <w:r>
              <w:rPr>
                <w:rFonts w:hint="eastAsia"/>
                <w:color w:val="auto"/>
                <w:kern w:val="0"/>
                <w:sz w:val="24"/>
              </w:rPr>
              <w:t>规划名称：</w:t>
            </w:r>
          </w:p>
          <w:p w14:paraId="2C115234">
            <w:pPr>
              <w:numPr>
                <w:ilvl w:val="0"/>
                <w:numId w:val="0"/>
              </w:numPr>
              <w:spacing w:line="360" w:lineRule="auto"/>
              <w:rPr>
                <w:rFonts w:hint="eastAsia"/>
                <w:color w:val="auto"/>
                <w:kern w:val="0"/>
                <w:sz w:val="24"/>
              </w:rPr>
            </w:pPr>
            <w:r>
              <w:rPr>
                <w:rFonts w:hint="eastAsia"/>
                <w:color w:val="auto"/>
                <w:kern w:val="0"/>
                <w:sz w:val="24"/>
              </w:rPr>
              <w:t>《庐山市国土空间总体规划（2020-2035年）》</w:t>
            </w:r>
          </w:p>
          <w:p w14:paraId="6F57C2A4">
            <w:pPr>
              <w:numPr>
                <w:ilvl w:val="0"/>
                <w:numId w:val="0"/>
              </w:numPr>
              <w:spacing w:line="360" w:lineRule="auto"/>
              <w:rPr>
                <w:rFonts w:hint="eastAsia"/>
                <w:b w:val="0"/>
                <w:bCs w:val="0"/>
                <w:color w:val="auto"/>
                <w:kern w:val="0"/>
                <w:sz w:val="24"/>
              </w:rPr>
            </w:pPr>
            <w:r>
              <w:rPr>
                <w:rFonts w:hint="eastAsia"/>
                <w:b w:val="0"/>
                <w:bCs w:val="0"/>
                <w:color w:val="auto"/>
                <w:sz w:val="24"/>
              </w:rPr>
              <w:t>《庐山市城市总体规划》（2017-2035年）</w:t>
            </w:r>
          </w:p>
          <w:p w14:paraId="1AE9EF72">
            <w:pPr>
              <w:autoSpaceDE w:val="0"/>
              <w:autoSpaceDN w:val="0"/>
              <w:adjustRightInd w:val="0"/>
              <w:snapToGrid w:val="0"/>
              <w:spacing w:line="360" w:lineRule="auto"/>
              <w:jc w:val="left"/>
              <w:rPr>
                <w:color w:val="auto"/>
                <w:kern w:val="0"/>
                <w:sz w:val="24"/>
              </w:rPr>
            </w:pPr>
            <w:r>
              <w:rPr>
                <w:rFonts w:hint="eastAsia"/>
                <w:color w:val="auto"/>
                <w:kern w:val="0"/>
                <w:sz w:val="24"/>
              </w:rPr>
              <w:t>《庐山市“十四五”医疗卫生服务体系规划》（庐府字〔2022〕55号）</w:t>
            </w:r>
          </w:p>
        </w:tc>
      </w:tr>
      <w:tr w14:paraId="3BD08C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01" w:type="dxa"/>
            <w:vAlign w:val="center"/>
          </w:tcPr>
          <w:p w14:paraId="22E50AA2">
            <w:pPr>
              <w:adjustRightInd w:val="0"/>
              <w:snapToGrid w:val="0"/>
              <w:jc w:val="center"/>
              <w:rPr>
                <w:color w:val="auto"/>
                <w:sz w:val="24"/>
              </w:rPr>
            </w:pPr>
            <w:r>
              <w:rPr>
                <w:color w:val="auto"/>
                <w:sz w:val="24"/>
              </w:rPr>
              <w:t>规划环境影响</w:t>
            </w:r>
          </w:p>
          <w:p w14:paraId="5BE117D8">
            <w:pPr>
              <w:adjustRightInd w:val="0"/>
              <w:snapToGrid w:val="0"/>
              <w:jc w:val="center"/>
              <w:rPr>
                <w:color w:val="auto"/>
                <w:kern w:val="0"/>
                <w:sz w:val="24"/>
              </w:rPr>
            </w:pPr>
            <w:r>
              <w:rPr>
                <w:color w:val="auto"/>
                <w:sz w:val="24"/>
              </w:rPr>
              <w:t>评价情况</w:t>
            </w:r>
          </w:p>
        </w:tc>
        <w:tc>
          <w:tcPr>
            <w:tcW w:w="7769" w:type="dxa"/>
            <w:gridSpan w:val="3"/>
            <w:vAlign w:val="center"/>
          </w:tcPr>
          <w:p w14:paraId="321A7937">
            <w:pPr>
              <w:autoSpaceDE w:val="0"/>
              <w:autoSpaceDN w:val="0"/>
              <w:adjustRightInd w:val="0"/>
              <w:snapToGrid w:val="0"/>
              <w:spacing w:line="360" w:lineRule="auto"/>
              <w:jc w:val="center"/>
              <w:rPr>
                <w:color w:val="auto"/>
                <w:kern w:val="0"/>
                <w:sz w:val="24"/>
              </w:rPr>
            </w:pPr>
            <w:r>
              <w:rPr>
                <w:rFonts w:hint="eastAsia"/>
                <w:color w:val="auto"/>
                <w:kern w:val="0"/>
                <w:sz w:val="24"/>
              </w:rPr>
              <w:t>/</w:t>
            </w:r>
          </w:p>
        </w:tc>
      </w:tr>
      <w:tr w14:paraId="4E055A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01" w:type="dxa"/>
            <w:vAlign w:val="center"/>
          </w:tcPr>
          <w:p w14:paraId="46DAB785">
            <w:pPr>
              <w:autoSpaceDE w:val="0"/>
              <w:autoSpaceDN w:val="0"/>
              <w:adjustRightInd w:val="0"/>
              <w:snapToGrid w:val="0"/>
              <w:jc w:val="center"/>
              <w:rPr>
                <w:color w:val="auto"/>
                <w:kern w:val="0"/>
                <w:sz w:val="24"/>
              </w:rPr>
            </w:pPr>
            <w:r>
              <w:rPr>
                <w:color w:val="auto"/>
                <w:kern w:val="0"/>
                <w:sz w:val="24"/>
              </w:rPr>
              <w:t>规划及规划环境影响评价符合性分析</w:t>
            </w:r>
          </w:p>
        </w:tc>
        <w:tc>
          <w:tcPr>
            <w:tcW w:w="7769" w:type="dxa"/>
            <w:gridSpan w:val="3"/>
            <w:vAlign w:val="center"/>
          </w:tcPr>
          <w:p w14:paraId="1CA45618">
            <w:pPr>
              <w:numPr>
                <w:ilvl w:val="0"/>
                <w:numId w:val="3"/>
              </w:numPr>
              <w:spacing w:line="360" w:lineRule="auto"/>
              <w:ind w:firstLine="482" w:firstLineChars="200"/>
              <w:rPr>
                <w:rFonts w:hint="eastAsia"/>
                <w:b/>
                <w:bCs/>
                <w:color w:val="auto"/>
                <w:kern w:val="0"/>
                <w:sz w:val="24"/>
              </w:rPr>
            </w:pPr>
            <w:r>
              <w:rPr>
                <w:rFonts w:hint="eastAsia"/>
                <w:b/>
                <w:bCs/>
                <w:color w:val="auto"/>
                <w:kern w:val="0"/>
                <w:sz w:val="24"/>
              </w:rPr>
              <w:t>《庐山市国土空间总体规划（2020-2035年）》</w:t>
            </w:r>
          </w:p>
          <w:p w14:paraId="080539B7">
            <w:pPr>
              <w:autoSpaceDE w:val="0"/>
              <w:autoSpaceDN w:val="0"/>
              <w:adjustRightInd w:val="0"/>
              <w:snapToGrid w:val="0"/>
              <w:spacing w:line="360" w:lineRule="auto"/>
              <w:ind w:firstLine="480" w:firstLineChars="200"/>
              <w:jc w:val="left"/>
              <w:rPr>
                <w:color w:val="auto"/>
                <w:kern w:val="0"/>
                <w:sz w:val="24"/>
              </w:rPr>
            </w:pPr>
            <w:r>
              <w:rPr>
                <w:rFonts w:hint="eastAsia"/>
                <w:color w:val="auto"/>
                <w:kern w:val="0"/>
                <w:sz w:val="24"/>
              </w:rPr>
              <w:t>（1）主体功能区划</w:t>
            </w:r>
          </w:p>
          <w:p w14:paraId="6324CBA2">
            <w:pPr>
              <w:autoSpaceDE w:val="0"/>
              <w:autoSpaceDN w:val="0"/>
              <w:adjustRightInd w:val="0"/>
              <w:snapToGrid w:val="0"/>
              <w:spacing w:line="360" w:lineRule="auto"/>
              <w:ind w:firstLine="480" w:firstLineChars="200"/>
              <w:jc w:val="both"/>
              <w:rPr>
                <w:color w:val="auto"/>
                <w:kern w:val="0"/>
                <w:sz w:val="24"/>
              </w:rPr>
            </w:pPr>
            <w:r>
              <w:rPr>
                <w:rFonts w:hint="eastAsia"/>
                <w:color w:val="auto"/>
                <w:kern w:val="0"/>
                <w:sz w:val="24"/>
              </w:rPr>
              <w:t>①重点生态功能区：加强生态空间保护，严格控制城镇建设。牯岭镇和东牯山林场为重点生态保护区，海会镇和沙湖山管理处为生态经济区。</w:t>
            </w:r>
          </w:p>
          <w:p w14:paraId="52DB038C">
            <w:pPr>
              <w:autoSpaceDE w:val="0"/>
              <w:autoSpaceDN w:val="0"/>
              <w:adjustRightInd w:val="0"/>
              <w:snapToGrid w:val="0"/>
              <w:spacing w:line="360" w:lineRule="auto"/>
              <w:ind w:firstLine="480" w:firstLineChars="200"/>
              <w:jc w:val="both"/>
              <w:rPr>
                <w:color w:val="auto"/>
                <w:kern w:val="0"/>
                <w:sz w:val="24"/>
              </w:rPr>
            </w:pPr>
            <w:r>
              <w:rPr>
                <w:rFonts w:hint="eastAsia"/>
                <w:color w:val="auto"/>
                <w:kern w:val="0"/>
                <w:sz w:val="24"/>
              </w:rPr>
              <w:t>②城市化发展区：提升城镇服务能力和创新能力，合理控制开发强度。南康镇为城镇化优化区，白鹿镇、温泉镇和星子镇为城镇化促进区。</w:t>
            </w:r>
          </w:p>
          <w:p w14:paraId="5420B81E">
            <w:pPr>
              <w:autoSpaceDE w:val="0"/>
              <w:autoSpaceDN w:val="0"/>
              <w:adjustRightInd w:val="0"/>
              <w:snapToGrid w:val="0"/>
              <w:spacing w:line="360" w:lineRule="auto"/>
              <w:ind w:firstLine="480" w:firstLineChars="200"/>
              <w:jc w:val="both"/>
              <w:rPr>
                <w:color w:val="auto"/>
                <w:kern w:val="0"/>
                <w:sz w:val="24"/>
              </w:rPr>
            </w:pPr>
            <w:r>
              <w:rPr>
                <w:rFonts w:hint="eastAsia"/>
                <w:color w:val="auto"/>
                <w:kern w:val="0"/>
                <w:sz w:val="24"/>
              </w:rPr>
              <w:t>③农产品主产区：稳定提高粮食生产能力，积极支持特色农业发展。蛟塘镇、横塘镇、蓼南乡为农业主产功能区，华林镇为农业特色功能区。</w:t>
            </w:r>
          </w:p>
          <w:p w14:paraId="37237401">
            <w:pPr>
              <w:autoSpaceDE w:val="0"/>
              <w:autoSpaceDN w:val="0"/>
              <w:adjustRightInd w:val="0"/>
              <w:snapToGrid w:val="0"/>
              <w:spacing w:line="360" w:lineRule="auto"/>
              <w:ind w:firstLine="480" w:firstLineChars="200"/>
              <w:jc w:val="both"/>
              <w:rPr>
                <w:color w:val="auto"/>
                <w:kern w:val="0"/>
                <w:sz w:val="24"/>
              </w:rPr>
            </w:pPr>
            <w:r>
              <w:rPr>
                <w:rFonts w:hint="eastAsia"/>
                <w:color w:val="auto"/>
                <w:kern w:val="0"/>
                <w:sz w:val="24"/>
              </w:rPr>
              <w:t>（2）总体格局</w:t>
            </w:r>
          </w:p>
          <w:p w14:paraId="530A2BC1">
            <w:pPr>
              <w:autoSpaceDE w:val="0"/>
              <w:autoSpaceDN w:val="0"/>
              <w:adjustRightInd w:val="0"/>
              <w:snapToGrid w:val="0"/>
              <w:spacing w:line="360" w:lineRule="auto"/>
              <w:ind w:firstLine="480" w:firstLineChars="200"/>
              <w:jc w:val="both"/>
              <w:rPr>
                <w:color w:val="auto"/>
                <w:kern w:val="0"/>
                <w:sz w:val="24"/>
              </w:rPr>
            </w:pPr>
            <w:r>
              <w:rPr>
                <w:rFonts w:hint="eastAsia"/>
                <w:color w:val="auto"/>
                <w:kern w:val="0"/>
                <w:sz w:val="24"/>
              </w:rPr>
              <w:t>①双心引领区域旅游发展：同步打造山下综合服务中心和山上人文休闲核心，增强城市服务功能，提升旅游服务品质，让人民群众共享高质量发展成果。</w:t>
            </w:r>
          </w:p>
          <w:p w14:paraId="3C232B04">
            <w:pPr>
              <w:autoSpaceDE w:val="0"/>
              <w:autoSpaceDN w:val="0"/>
              <w:adjustRightInd w:val="0"/>
              <w:snapToGrid w:val="0"/>
              <w:spacing w:line="360" w:lineRule="auto"/>
              <w:ind w:firstLine="480" w:firstLineChars="200"/>
              <w:jc w:val="both"/>
              <w:rPr>
                <w:color w:val="auto"/>
                <w:kern w:val="0"/>
                <w:sz w:val="24"/>
              </w:rPr>
            </w:pPr>
            <w:r>
              <w:rPr>
                <w:rFonts w:hint="eastAsia"/>
                <w:color w:val="auto"/>
                <w:kern w:val="0"/>
                <w:sz w:val="24"/>
              </w:rPr>
              <w:t>②中轴带动山上山下融合：强化双心间的道路交通联系、生态廊道渗透、产业系统融合、组织管理协同，推进庐山山上景区与山下乡镇一体化发展。</w:t>
            </w:r>
          </w:p>
          <w:p w14:paraId="7F411C55">
            <w:pPr>
              <w:autoSpaceDE w:val="0"/>
              <w:autoSpaceDN w:val="0"/>
              <w:adjustRightInd w:val="0"/>
              <w:snapToGrid w:val="0"/>
              <w:spacing w:line="360" w:lineRule="auto"/>
              <w:ind w:firstLine="480" w:firstLineChars="200"/>
              <w:jc w:val="both"/>
              <w:rPr>
                <w:color w:val="auto"/>
                <w:kern w:val="0"/>
                <w:sz w:val="24"/>
              </w:rPr>
            </w:pPr>
            <w:r>
              <w:rPr>
                <w:rFonts w:hint="eastAsia"/>
                <w:color w:val="auto"/>
                <w:kern w:val="0"/>
                <w:sz w:val="24"/>
              </w:rPr>
              <w:t>③环带支撑山水资源串联：依托鄱湖大道打造贯通全域的滨湖发展走廊和滨湖景观岸线，促进山城湖的互联互通。</w:t>
            </w:r>
          </w:p>
          <w:p w14:paraId="038DDE5C">
            <w:pPr>
              <w:autoSpaceDE w:val="0"/>
              <w:autoSpaceDN w:val="0"/>
              <w:adjustRightInd w:val="0"/>
              <w:snapToGrid w:val="0"/>
              <w:spacing w:line="360" w:lineRule="auto"/>
              <w:ind w:firstLine="480" w:firstLineChars="200"/>
              <w:jc w:val="both"/>
              <w:rPr>
                <w:color w:val="auto"/>
                <w:kern w:val="0"/>
                <w:sz w:val="24"/>
              </w:rPr>
            </w:pPr>
            <w:r>
              <w:rPr>
                <w:rFonts w:hint="eastAsia"/>
                <w:color w:val="auto"/>
                <w:kern w:val="0"/>
                <w:sz w:val="24"/>
              </w:rPr>
              <w:t>④四区绽放特色协同功能：山上文化景观生态保护及游憩休闲区、环山休闲旅游发展区、山南基础农业及新型产业发展区、滨湖生态保护及研学旅游区。</w:t>
            </w:r>
          </w:p>
          <w:p w14:paraId="4F74083D">
            <w:pPr>
              <w:autoSpaceDE w:val="0"/>
              <w:autoSpaceDN w:val="0"/>
              <w:adjustRightInd w:val="0"/>
              <w:snapToGrid w:val="0"/>
              <w:spacing w:line="360" w:lineRule="auto"/>
              <w:ind w:firstLine="480" w:firstLineChars="200"/>
              <w:jc w:val="both"/>
              <w:rPr>
                <w:color w:val="auto"/>
                <w:kern w:val="0"/>
                <w:sz w:val="24"/>
              </w:rPr>
            </w:pPr>
            <w:r>
              <w:rPr>
                <w:rFonts w:hint="eastAsia"/>
                <w:color w:val="auto"/>
                <w:kern w:val="0"/>
                <w:sz w:val="24"/>
              </w:rPr>
              <w:t>（3）城乡职能</w:t>
            </w:r>
          </w:p>
          <w:p w14:paraId="74D7240A">
            <w:pPr>
              <w:autoSpaceDE w:val="0"/>
              <w:autoSpaceDN w:val="0"/>
              <w:adjustRightInd w:val="0"/>
              <w:snapToGrid w:val="0"/>
              <w:spacing w:line="360" w:lineRule="auto"/>
              <w:ind w:firstLine="480" w:firstLineChars="200"/>
              <w:jc w:val="both"/>
              <w:rPr>
                <w:rFonts w:hint="eastAsia"/>
                <w:color w:val="auto"/>
                <w:kern w:val="0"/>
                <w:sz w:val="24"/>
              </w:rPr>
            </w:pPr>
            <w:r>
              <w:rPr>
                <w:rFonts w:hint="eastAsia"/>
                <w:color w:val="auto"/>
                <w:kern w:val="0"/>
                <w:sz w:val="24"/>
              </w:rPr>
              <w:t>综合型——中心城区：市域综合服务中心。</w:t>
            </w:r>
          </w:p>
          <w:p w14:paraId="5E9BD1B0">
            <w:pPr>
              <w:autoSpaceDE w:val="0"/>
              <w:autoSpaceDN w:val="0"/>
              <w:adjustRightInd w:val="0"/>
              <w:snapToGrid w:val="0"/>
              <w:spacing w:line="360" w:lineRule="auto"/>
              <w:ind w:firstLine="480" w:firstLineChars="200"/>
              <w:jc w:val="both"/>
              <w:rPr>
                <w:color w:val="auto"/>
                <w:kern w:val="0"/>
                <w:sz w:val="24"/>
              </w:rPr>
            </w:pPr>
            <w:r>
              <w:rPr>
                <w:rFonts w:hint="eastAsia"/>
                <w:color w:val="auto"/>
                <w:kern w:val="0"/>
                <w:sz w:val="24"/>
              </w:rPr>
              <w:t>工贸型——星子镇：智能制造，工旅融合；横塘镇：高端制造，电商贸易。</w:t>
            </w:r>
          </w:p>
          <w:p w14:paraId="7DB9F9DB">
            <w:pPr>
              <w:autoSpaceDE w:val="0"/>
              <w:autoSpaceDN w:val="0"/>
              <w:adjustRightInd w:val="0"/>
              <w:snapToGrid w:val="0"/>
              <w:spacing w:line="360" w:lineRule="auto"/>
              <w:ind w:firstLine="480" w:firstLineChars="200"/>
              <w:jc w:val="both"/>
              <w:rPr>
                <w:color w:val="auto"/>
                <w:kern w:val="0"/>
                <w:sz w:val="24"/>
              </w:rPr>
            </w:pPr>
            <w:r>
              <w:rPr>
                <w:rFonts w:hint="eastAsia"/>
                <w:color w:val="auto"/>
                <w:kern w:val="0"/>
                <w:sz w:val="24"/>
              </w:rPr>
              <w:t>旅游型——牯岭镇：观光休闲，文化朝圣；温泉镇：温泉度假，健康养生；海会镇：山水旅游，教育培训。</w:t>
            </w:r>
          </w:p>
          <w:p w14:paraId="053DBD16">
            <w:pPr>
              <w:autoSpaceDE w:val="0"/>
              <w:autoSpaceDN w:val="0"/>
              <w:adjustRightInd w:val="0"/>
              <w:snapToGrid w:val="0"/>
              <w:spacing w:line="360" w:lineRule="auto"/>
              <w:ind w:firstLine="480" w:firstLineChars="200"/>
              <w:jc w:val="both"/>
              <w:rPr>
                <w:color w:val="auto"/>
                <w:kern w:val="0"/>
                <w:sz w:val="24"/>
              </w:rPr>
            </w:pPr>
            <w:r>
              <w:rPr>
                <w:rFonts w:hint="eastAsia"/>
                <w:color w:val="auto"/>
                <w:kern w:val="0"/>
                <w:sz w:val="24"/>
              </w:rPr>
              <w:t>农贸型——华林镇：田园景观，石材加工；蛟塘镇：商贸交易，非遗传承；蓼南乡：生态种植，自然观光；沙湖山：湿地保护，候鸟观赏。</w:t>
            </w:r>
          </w:p>
          <w:p w14:paraId="5572B41F">
            <w:pPr>
              <w:numPr>
                <w:ilvl w:val="0"/>
                <w:numId w:val="0"/>
              </w:numPr>
              <w:spacing w:line="360" w:lineRule="auto"/>
              <w:ind w:firstLine="482" w:firstLineChars="200"/>
              <w:rPr>
                <w:rFonts w:hint="eastAsia" w:ascii="Times New Roman" w:hAnsi="Times New Roman" w:eastAsia="宋体" w:cs="Times New Roman"/>
                <w:b w:val="0"/>
                <w:bCs w:val="0"/>
                <w:color w:val="auto"/>
                <w:kern w:val="0"/>
                <w:sz w:val="24"/>
                <w:szCs w:val="24"/>
                <w:lang w:val="en-US" w:eastAsia="zh-CN" w:bidi="ar-SA"/>
              </w:rPr>
            </w:pPr>
            <w:r>
              <w:rPr>
                <w:rFonts w:hint="eastAsia" w:ascii="Times New Roman" w:hAnsi="Times New Roman" w:eastAsia="宋体" w:cs="Times New Roman"/>
                <w:b/>
                <w:bCs/>
                <w:color w:val="auto"/>
                <w:kern w:val="0"/>
                <w:sz w:val="24"/>
                <w:szCs w:val="24"/>
                <w:lang w:val="en-US" w:eastAsia="zh-CN" w:bidi="ar-SA"/>
              </w:rPr>
              <w:t>相符性分析：</w:t>
            </w:r>
            <w:r>
              <w:rPr>
                <w:rFonts w:hint="eastAsia" w:ascii="Times New Roman" w:hAnsi="Times New Roman" w:eastAsia="宋体" w:cs="Times New Roman"/>
                <w:b w:val="0"/>
                <w:bCs w:val="0"/>
                <w:color w:val="auto"/>
                <w:kern w:val="0"/>
                <w:sz w:val="24"/>
                <w:szCs w:val="24"/>
                <w:lang w:val="en-US" w:eastAsia="zh-CN" w:bidi="ar-SA"/>
              </w:rPr>
              <w:t>华林镇卫生院的建设是庐山市城乡公共服务均等化的一部分，对于提升当地公共卫生安全和医疗服务水平具有重要意义。该项目的实施与《庐山市国土空间总体规划（2020-2035年）》中提出的城乡职能规划相契合，特别是在农贸型乡镇的发展定位中，华林镇被明确规划为“田园景观，石材加工”的特色区域，卫生院的建设将为该区域居民提供必要的医疗服务，增强其社会服务功能。根据建设单位提供的土地证明文件，华林镇卫生院的用地已被划分为医卫慈善用地，此外，庐山市自然资源局出具的文件进一步确认了该项目符合正在编制的《华林镇乡镇国土空间规划》（2021-2035年）的规划要求，确保了卫生院建设的合法性和合规性。综上所述，华林镇卫生院的建设不仅符合庐山市国土空间总体规划的土地利用和城乡职能布局，而且将为华林镇乃至整个庐山市的公共卫生服务体系带来积极影响，促进区域经济社会的协调发展。</w:t>
            </w:r>
          </w:p>
          <w:p w14:paraId="68FF54E4">
            <w:pPr>
              <w:numPr>
                <w:ilvl w:val="0"/>
                <w:numId w:val="0"/>
              </w:numPr>
              <w:spacing w:line="360" w:lineRule="auto"/>
              <w:ind w:firstLine="482" w:firstLineChars="200"/>
              <w:rPr>
                <w:b/>
                <w:bCs/>
                <w:color w:val="auto"/>
                <w:sz w:val="24"/>
              </w:rPr>
            </w:pPr>
            <w:r>
              <w:rPr>
                <w:rFonts w:hint="eastAsia"/>
                <w:b/>
                <w:bCs/>
                <w:color w:val="auto"/>
                <w:sz w:val="24"/>
                <w:lang w:val="en-US" w:eastAsia="zh-CN"/>
              </w:rPr>
              <w:t>2、</w:t>
            </w:r>
            <w:r>
              <w:rPr>
                <w:rFonts w:hint="eastAsia"/>
                <w:b/>
                <w:bCs/>
                <w:color w:val="auto"/>
                <w:sz w:val="24"/>
              </w:rPr>
              <w:t>《庐山市城市总体规划》（2017-2035年）</w:t>
            </w:r>
          </w:p>
          <w:p w14:paraId="2D6D8381">
            <w:pPr>
              <w:spacing w:line="360" w:lineRule="auto"/>
              <w:ind w:firstLine="480" w:firstLineChars="200"/>
              <w:rPr>
                <w:color w:val="auto"/>
                <w:sz w:val="24"/>
              </w:rPr>
            </w:pPr>
            <w:r>
              <w:rPr>
                <w:color w:val="auto"/>
                <w:sz w:val="24"/>
              </w:rPr>
              <w:t>庐山市</w:t>
            </w:r>
            <w:r>
              <w:rPr>
                <w:rFonts w:hint="eastAsia"/>
                <w:color w:val="auto"/>
                <w:sz w:val="24"/>
              </w:rPr>
              <w:t>是</w:t>
            </w:r>
            <w:r>
              <w:rPr>
                <w:color w:val="auto"/>
                <w:sz w:val="24"/>
              </w:rPr>
              <w:t>江西省县级市，地处江西省北部，九江市南部，背倚庐山，面临鄱阳湖，东与都昌县隔水为邻，西与柴桑区、德安县、共青城市接壤，北与濂溪区（原庐山区）相连，南与永修县湖洲相接。介于东经115°48′</w:t>
            </w:r>
            <w:r>
              <w:rPr>
                <w:rFonts w:hint="eastAsia"/>
                <w:color w:val="auto"/>
                <w:sz w:val="24"/>
              </w:rPr>
              <w:t>~</w:t>
            </w:r>
            <w:r>
              <w:rPr>
                <w:color w:val="auto"/>
                <w:sz w:val="24"/>
              </w:rPr>
              <w:t>116°10′、北纬29°8′</w:t>
            </w:r>
            <w:r>
              <w:rPr>
                <w:rFonts w:hint="eastAsia"/>
                <w:color w:val="auto"/>
                <w:sz w:val="24"/>
              </w:rPr>
              <w:t>~</w:t>
            </w:r>
            <w:r>
              <w:rPr>
                <w:color w:val="auto"/>
                <w:sz w:val="24"/>
              </w:rPr>
              <w:t>29°36′之间，东西宽35千米，南北长52千米，总面积913平方千米。截至2022年10月，庐山市辖9个镇、1个乡。</w:t>
            </w:r>
          </w:p>
          <w:p w14:paraId="2A88A30A">
            <w:pPr>
              <w:widowControl/>
              <w:spacing w:line="360" w:lineRule="auto"/>
              <w:ind w:firstLine="480" w:firstLineChars="200"/>
              <w:rPr>
                <w:color w:val="auto"/>
                <w:sz w:val="24"/>
              </w:rPr>
            </w:pPr>
            <w:r>
              <w:rPr>
                <w:color w:val="auto"/>
                <w:sz w:val="24"/>
              </w:rPr>
              <w:t>2018</w:t>
            </w:r>
            <w:r>
              <w:rPr>
                <w:rFonts w:hint="eastAsia"/>
                <w:color w:val="auto"/>
                <w:sz w:val="24"/>
              </w:rPr>
              <w:t>年庐山市人民政府委托上海同济城市规划设计研究院有限公司编制了《庐山市城市总体规划（</w:t>
            </w:r>
            <w:r>
              <w:rPr>
                <w:color w:val="auto"/>
                <w:sz w:val="24"/>
              </w:rPr>
              <w:t>2017-2035</w:t>
            </w:r>
            <w:r>
              <w:rPr>
                <w:rFonts w:hint="eastAsia"/>
                <w:color w:val="auto"/>
                <w:sz w:val="24"/>
              </w:rPr>
              <w:t>年）》。</w:t>
            </w:r>
          </w:p>
          <w:p w14:paraId="7BCAEB50">
            <w:pPr>
              <w:pStyle w:val="16"/>
              <w:shd w:val="clear" w:color="auto" w:fill="FFFFFF"/>
              <w:spacing w:before="0" w:beforeAutospacing="0" w:after="0" w:afterAutospacing="0" w:line="360" w:lineRule="auto"/>
              <w:ind w:firstLine="482" w:firstLineChars="200"/>
              <w:jc w:val="both"/>
              <w:rPr>
                <w:rFonts w:ascii="Times New Roman" w:hAnsi="Times New Roman"/>
                <w:color w:val="auto"/>
              </w:rPr>
            </w:pPr>
            <w:r>
              <w:rPr>
                <w:rFonts w:ascii="Times New Roman" w:hAnsi="Times New Roman"/>
                <w:b/>
                <w:bCs/>
                <w:color w:val="auto"/>
              </w:rPr>
              <w:t>规划期限</w:t>
            </w:r>
            <w:r>
              <w:rPr>
                <w:rFonts w:hint="eastAsia" w:ascii="Times New Roman" w:hAnsi="Times New Roman"/>
                <w:b/>
                <w:bCs/>
                <w:color w:val="auto"/>
              </w:rPr>
              <w:t>：</w:t>
            </w:r>
            <w:r>
              <w:rPr>
                <w:rFonts w:ascii="Times New Roman" w:hAnsi="Times New Roman"/>
                <w:color w:val="auto"/>
              </w:rPr>
              <w:t>2017</w:t>
            </w:r>
            <w:r>
              <w:rPr>
                <w:rFonts w:hint="eastAsia" w:ascii="Times New Roman" w:hAnsi="Times New Roman"/>
                <w:color w:val="auto"/>
              </w:rPr>
              <w:t>-</w:t>
            </w:r>
            <w:r>
              <w:rPr>
                <w:rFonts w:ascii="Times New Roman" w:hAnsi="Times New Roman"/>
                <w:color w:val="auto"/>
              </w:rPr>
              <w:t>2035年，其中近期为2017-2020年，远期为2021-2035年</w:t>
            </w:r>
            <w:r>
              <w:rPr>
                <w:rFonts w:hint="eastAsia" w:ascii="Times New Roman" w:hAnsi="Times New Roman"/>
                <w:color w:val="auto"/>
              </w:rPr>
              <w:t>。</w:t>
            </w:r>
          </w:p>
          <w:p w14:paraId="066D71C3">
            <w:pPr>
              <w:pStyle w:val="16"/>
              <w:shd w:val="clear" w:color="auto" w:fill="FFFFFF"/>
              <w:spacing w:before="0" w:beforeAutospacing="0" w:after="0" w:afterAutospacing="0" w:line="360" w:lineRule="auto"/>
              <w:ind w:firstLine="482" w:firstLineChars="200"/>
              <w:jc w:val="both"/>
              <w:rPr>
                <w:rFonts w:ascii="Times New Roman" w:hAnsi="Times New Roman"/>
                <w:color w:val="auto"/>
              </w:rPr>
            </w:pPr>
            <w:r>
              <w:rPr>
                <w:rFonts w:ascii="Times New Roman" w:hAnsi="Times New Roman"/>
                <w:b/>
                <w:bCs/>
                <w:color w:val="auto"/>
              </w:rPr>
              <w:t>规划范围和层次</w:t>
            </w:r>
            <w:r>
              <w:rPr>
                <w:rFonts w:hint="eastAsia" w:ascii="Times New Roman" w:hAnsi="Times New Roman"/>
                <w:b/>
                <w:bCs/>
                <w:color w:val="auto"/>
              </w:rPr>
              <w:t>：</w:t>
            </w:r>
            <w:r>
              <w:rPr>
                <w:rFonts w:hint="eastAsia" w:ascii="Times New Roman" w:hAnsi="Times New Roman"/>
                <w:color w:val="auto"/>
              </w:rPr>
              <w:t>规划范围分为市域、中心城区和城市规划区三个层次。</w:t>
            </w:r>
          </w:p>
          <w:p w14:paraId="122D4011">
            <w:pPr>
              <w:pStyle w:val="16"/>
              <w:shd w:val="clear" w:color="auto" w:fill="FFFFFF"/>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rPr>
              <w:t>（1）市域</w:t>
            </w:r>
            <w:r>
              <w:rPr>
                <w:rFonts w:hint="eastAsia" w:ascii="Times New Roman" w:hAnsi="Times New Roman"/>
                <w:color w:val="auto"/>
              </w:rPr>
              <w:t>：</w:t>
            </w:r>
            <w:r>
              <w:rPr>
                <w:rFonts w:ascii="Times New Roman" w:hAnsi="Times New Roman"/>
                <w:color w:val="auto"/>
              </w:rPr>
              <w:t>包括南康镇、牯岭镇、海会镇、白鹿镇、温泉镇、横塘镇、华林镇、星子镇、蛟塘镇、蓼南乡及东轱山林场和沙湖山管理处行政管辖范围，</w:t>
            </w:r>
            <w:r>
              <w:rPr>
                <w:rFonts w:hint="eastAsia" w:ascii="Times New Roman" w:hAnsi="Times New Roman"/>
                <w:color w:val="auto"/>
              </w:rPr>
              <w:t>总</w:t>
            </w:r>
            <w:r>
              <w:rPr>
                <w:rFonts w:ascii="Times New Roman" w:hAnsi="Times New Roman"/>
                <w:color w:val="auto"/>
              </w:rPr>
              <w:t>面积913平方公里。</w:t>
            </w:r>
          </w:p>
          <w:p w14:paraId="782581DD">
            <w:pPr>
              <w:pStyle w:val="16"/>
              <w:shd w:val="clear" w:color="auto" w:fill="FFFFFF"/>
              <w:spacing w:before="0" w:beforeAutospacing="0" w:after="0" w:afterAutospacing="0" w:line="360" w:lineRule="auto"/>
              <w:ind w:firstLine="480" w:firstLineChars="200"/>
              <w:jc w:val="both"/>
              <w:rPr>
                <w:rFonts w:ascii="Times New Roman" w:hAnsi="Times New Roman"/>
                <w:color w:val="auto"/>
              </w:rPr>
            </w:pPr>
            <w:r>
              <w:rPr>
                <w:rFonts w:hint="eastAsia" w:ascii="Times New Roman" w:hAnsi="Times New Roman"/>
                <w:color w:val="auto"/>
              </w:rPr>
              <w:t>（2）</w:t>
            </w:r>
            <w:r>
              <w:rPr>
                <w:rFonts w:ascii="Times New Roman" w:hAnsi="Times New Roman"/>
                <w:color w:val="auto"/>
              </w:rPr>
              <w:t>中心城区</w:t>
            </w:r>
            <w:r>
              <w:rPr>
                <w:rFonts w:hint="eastAsia" w:ascii="Times New Roman" w:hAnsi="Times New Roman"/>
                <w:color w:val="auto"/>
              </w:rPr>
              <w:t>：</w:t>
            </w:r>
            <w:r>
              <w:rPr>
                <w:rFonts w:ascii="Times New Roman" w:hAnsi="Times New Roman"/>
                <w:color w:val="auto"/>
              </w:rPr>
              <w:t>东南沿鄱阳湖岸线至十里湖，北至海会镇刘赤湾，西到宋家垄，面积约23.1平方公里。</w:t>
            </w:r>
          </w:p>
          <w:p w14:paraId="22B21EF4">
            <w:pPr>
              <w:pStyle w:val="16"/>
              <w:shd w:val="clear" w:color="auto" w:fill="FFFFFF"/>
              <w:spacing w:before="0" w:beforeAutospacing="0" w:after="0" w:afterAutospacing="0" w:line="360" w:lineRule="auto"/>
              <w:ind w:firstLine="480" w:firstLineChars="200"/>
              <w:jc w:val="both"/>
              <w:rPr>
                <w:rFonts w:ascii="Times New Roman" w:hAnsi="Times New Roman"/>
                <w:color w:val="auto"/>
              </w:rPr>
            </w:pPr>
            <w:r>
              <w:rPr>
                <w:rFonts w:hint="eastAsia" w:ascii="Times New Roman" w:hAnsi="Times New Roman"/>
                <w:color w:val="auto"/>
              </w:rPr>
              <w:t>（3）</w:t>
            </w:r>
            <w:r>
              <w:rPr>
                <w:rFonts w:ascii="Times New Roman" w:hAnsi="Times New Roman"/>
                <w:color w:val="auto"/>
              </w:rPr>
              <w:t>城市规划区</w:t>
            </w:r>
            <w:r>
              <w:rPr>
                <w:rFonts w:hint="eastAsia" w:ascii="Times New Roman" w:hAnsi="Times New Roman"/>
                <w:color w:val="auto"/>
              </w:rPr>
              <w:t>：</w:t>
            </w:r>
            <w:r>
              <w:rPr>
                <w:rFonts w:ascii="Times New Roman" w:hAnsi="Times New Roman"/>
                <w:color w:val="auto"/>
              </w:rPr>
              <w:t>城市规划区范围西至庐山风景名胜区范围线和南康镇域边界，北至海会镇刘赤湾和白鹿镇行政边界，东部和南部至市域边界，面积86.8平方公里。</w:t>
            </w:r>
          </w:p>
          <w:p w14:paraId="49C6B1FF">
            <w:pPr>
              <w:pStyle w:val="16"/>
              <w:shd w:val="clear" w:color="auto" w:fill="FFFFFF"/>
              <w:spacing w:before="0" w:beforeAutospacing="0" w:after="0" w:afterAutospacing="0" w:line="360" w:lineRule="auto"/>
              <w:ind w:firstLine="482" w:firstLineChars="200"/>
              <w:jc w:val="both"/>
              <w:rPr>
                <w:rFonts w:ascii="Times New Roman" w:hAnsi="Times New Roman"/>
                <w:color w:val="auto"/>
              </w:rPr>
            </w:pPr>
            <w:r>
              <w:rPr>
                <w:rFonts w:hint="eastAsia" w:ascii="Times New Roman" w:hAnsi="Times New Roman"/>
                <w:b/>
                <w:bCs/>
                <w:color w:val="auto"/>
              </w:rPr>
              <w:t>城市定位：</w:t>
            </w:r>
            <w:r>
              <w:rPr>
                <w:rFonts w:hint="eastAsia" w:ascii="Times New Roman" w:hAnsi="Times New Roman"/>
                <w:color w:val="auto"/>
              </w:rPr>
              <w:t>国际著名的山水文化休闲旅游城市，长江经济带上重要的文旅创新基地。</w:t>
            </w:r>
          </w:p>
          <w:p w14:paraId="5B1E2539">
            <w:pPr>
              <w:pStyle w:val="16"/>
              <w:shd w:val="clear" w:color="auto" w:fill="FFFFFF"/>
              <w:spacing w:before="0" w:beforeAutospacing="0" w:after="0" w:afterAutospacing="0" w:line="360" w:lineRule="auto"/>
              <w:ind w:firstLine="482" w:firstLineChars="200"/>
              <w:jc w:val="both"/>
              <w:rPr>
                <w:rFonts w:ascii="Times New Roman" w:hAnsi="Times New Roman"/>
                <w:color w:val="auto"/>
              </w:rPr>
            </w:pPr>
            <w:r>
              <w:rPr>
                <w:rFonts w:hint="eastAsia" w:ascii="Times New Roman" w:hAnsi="Times New Roman"/>
                <w:b/>
                <w:bCs/>
                <w:color w:val="auto"/>
              </w:rPr>
              <w:t>目标愿景：</w:t>
            </w:r>
            <w:r>
              <w:rPr>
                <w:rFonts w:hint="eastAsia" w:ascii="Times New Roman" w:hAnsi="Times New Roman"/>
                <w:color w:val="auto"/>
              </w:rPr>
              <w:t>构建</w:t>
            </w:r>
            <w:r>
              <w:rPr>
                <w:rFonts w:ascii="Times New Roman" w:hAnsi="Times New Roman"/>
                <w:color w:val="auto"/>
              </w:rPr>
              <w:t>“悠然天下，山湖致城”的城市形象，将庐山市打造成为生态福地、人文圣地、悠游娱地。</w:t>
            </w:r>
            <w:r>
              <w:rPr>
                <w:rFonts w:hint="eastAsia" w:ascii="Times New Roman" w:hAnsi="Times New Roman"/>
                <w:color w:val="auto"/>
              </w:rPr>
              <w:t>近期至</w:t>
            </w:r>
            <w:r>
              <w:rPr>
                <w:rFonts w:ascii="Times New Roman" w:hAnsi="Times New Roman"/>
                <w:color w:val="auto"/>
              </w:rPr>
              <w:t>2020年，专业化旅游城市的建设和城景一体化发展的绿色转型策略初显成效，城市风貌显著提升，经济实力显著增强。</w:t>
            </w:r>
            <w:r>
              <w:rPr>
                <w:rFonts w:hint="eastAsia" w:ascii="Times New Roman" w:hAnsi="Times New Roman"/>
                <w:color w:val="auto"/>
              </w:rPr>
              <w:t>远期至</w:t>
            </w:r>
            <w:r>
              <w:rPr>
                <w:rFonts w:ascii="Times New Roman" w:hAnsi="Times New Roman"/>
                <w:color w:val="auto"/>
              </w:rPr>
              <w:t>2035年，初步实现文化旅游产业创新基地和山水文化休闲旅游名城的建设。城市可持续发展水平显著提升，构建山水相映、文化彰显、宜居宜游、和谐共享的开放新发展格局。</w:t>
            </w:r>
          </w:p>
          <w:p w14:paraId="355F4969">
            <w:pPr>
              <w:pStyle w:val="16"/>
              <w:shd w:val="clear" w:color="auto" w:fill="FFFFFF"/>
              <w:spacing w:before="0" w:beforeAutospacing="0" w:after="0" w:afterAutospacing="0" w:line="360" w:lineRule="auto"/>
              <w:ind w:firstLine="482" w:firstLineChars="200"/>
              <w:jc w:val="both"/>
              <w:rPr>
                <w:rFonts w:ascii="Times New Roman" w:hAnsi="Times New Roman"/>
                <w:color w:val="auto"/>
              </w:rPr>
            </w:pPr>
            <w:r>
              <w:rPr>
                <w:rFonts w:ascii="Times New Roman" w:hAnsi="Times New Roman"/>
                <w:b/>
                <w:bCs/>
                <w:color w:val="auto"/>
              </w:rPr>
              <w:t>市域空间格局</w:t>
            </w:r>
            <w:r>
              <w:rPr>
                <w:rFonts w:hint="eastAsia" w:ascii="Times New Roman" w:hAnsi="Times New Roman"/>
                <w:b/>
                <w:bCs/>
                <w:color w:val="auto"/>
              </w:rPr>
              <w:t>：</w:t>
            </w:r>
            <w:r>
              <w:rPr>
                <w:rFonts w:ascii="Times New Roman" w:hAnsi="Times New Roman"/>
                <w:color w:val="auto"/>
              </w:rPr>
              <w:t>落实市域公共资源全面保护，强化三类空间指引</w:t>
            </w:r>
            <w:r>
              <w:rPr>
                <w:rFonts w:hint="eastAsia" w:ascii="Times New Roman" w:hAnsi="Times New Roman"/>
                <w:color w:val="auto"/>
              </w:rPr>
              <w:t>。</w:t>
            </w:r>
            <w:r>
              <w:rPr>
                <w:rFonts w:ascii="Times New Roman" w:hAnsi="Times New Roman"/>
                <w:color w:val="auto"/>
              </w:rPr>
              <w:t>严格落实庐山风景名胜区、鄱阳湖生态经济区保护要求，全面保护自然生态资源，加强文化遗产的保护与利用，合理利用优质景观区域。规划划定生态空间占市域总面积约78%、农业空间占约17%、城镇空间占约5%。划定生态保护红线约289平方公里、永久基本农田边界约97平方公里、城镇开发边界线约37平方公里。</w:t>
            </w:r>
          </w:p>
          <w:p w14:paraId="3163B4FB">
            <w:pPr>
              <w:pStyle w:val="16"/>
              <w:shd w:val="clear" w:color="auto" w:fill="FFFFFF"/>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rPr>
              <w:t>转变发展方式，形成以景区为中心的市域城镇空间格局。规划形成“双心引领、中线带动、廊带支撑、三区协同”的空间结构。</w:t>
            </w:r>
          </w:p>
          <w:p w14:paraId="2F0E5B14">
            <w:pPr>
              <w:pStyle w:val="16"/>
              <w:shd w:val="clear" w:color="auto" w:fill="FFFFFF"/>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rPr>
              <w:t>“双心引领”</w:t>
            </w:r>
            <w:r>
              <w:rPr>
                <w:rFonts w:hint="eastAsia" w:ascii="Times New Roman" w:hAnsi="Times New Roman"/>
                <w:color w:val="auto"/>
              </w:rPr>
              <w:t>。</w:t>
            </w:r>
            <w:r>
              <w:rPr>
                <w:rFonts w:ascii="Times New Roman" w:hAnsi="Times New Roman"/>
                <w:color w:val="auto"/>
              </w:rPr>
              <w:t>打造庐山中心城区综合服务中心和山上牯岭人文休闲核心。</w:t>
            </w:r>
          </w:p>
          <w:p w14:paraId="09EEF6EB">
            <w:pPr>
              <w:pStyle w:val="16"/>
              <w:shd w:val="clear" w:color="auto" w:fill="FFFFFF"/>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rPr>
              <w:t>“中线带动”</w:t>
            </w:r>
            <w:r>
              <w:rPr>
                <w:rFonts w:hint="eastAsia" w:ascii="Times New Roman" w:hAnsi="Times New Roman"/>
                <w:color w:val="auto"/>
              </w:rPr>
              <w:t>。</w:t>
            </w:r>
            <w:r>
              <w:rPr>
                <w:rFonts w:ascii="Times New Roman" w:hAnsi="Times New Roman"/>
                <w:color w:val="auto"/>
              </w:rPr>
              <w:t>依托三叠泉、庐岳古道等景点的游览观光道，强化山上山下的交通联系、生态渗透、产业融合、管理协同，构建山上山下联动发展轴。</w:t>
            </w:r>
          </w:p>
          <w:p w14:paraId="020A41BA">
            <w:pPr>
              <w:pStyle w:val="16"/>
              <w:shd w:val="clear" w:color="auto" w:fill="FFFFFF"/>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rPr>
              <w:t>“廊带支撑”。形成山南特色城镇走廊和滨湖城镇联动发展带。</w:t>
            </w:r>
          </w:p>
          <w:p w14:paraId="0AC99CA3">
            <w:pPr>
              <w:pStyle w:val="16"/>
              <w:shd w:val="clear" w:color="auto" w:fill="FFFFFF"/>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rPr>
              <w:t>“三区协同”。规划庐山生态文化保护区、山下城镇特色发展区、鄱阳湖生态保护区三个特色片区，协同一体发展。</w:t>
            </w:r>
          </w:p>
          <w:p w14:paraId="793A6D13">
            <w:pPr>
              <w:pStyle w:val="16"/>
              <w:shd w:val="clear" w:color="auto" w:fill="FFFFFF"/>
              <w:spacing w:before="0" w:beforeAutospacing="0" w:after="0" w:afterAutospacing="0" w:line="360" w:lineRule="auto"/>
              <w:ind w:firstLine="482" w:firstLineChars="200"/>
              <w:jc w:val="both"/>
              <w:rPr>
                <w:rFonts w:ascii="Times New Roman" w:hAnsi="Times New Roman"/>
                <w:color w:val="auto"/>
              </w:rPr>
            </w:pPr>
            <w:r>
              <w:rPr>
                <w:rFonts w:ascii="Times New Roman" w:hAnsi="Times New Roman"/>
                <w:b/>
                <w:bCs/>
                <w:color w:val="auto"/>
              </w:rPr>
              <w:t>中心城区空间结构</w:t>
            </w:r>
            <w:r>
              <w:rPr>
                <w:rFonts w:hint="eastAsia" w:ascii="Times New Roman" w:hAnsi="Times New Roman"/>
                <w:b/>
                <w:bCs/>
                <w:color w:val="auto"/>
              </w:rPr>
              <w:t>：</w:t>
            </w:r>
            <w:r>
              <w:rPr>
                <w:rFonts w:ascii="Times New Roman" w:hAnsi="Times New Roman"/>
                <w:color w:val="auto"/>
              </w:rPr>
              <w:t>以国际化旅游城市为目标，保护自然基底和山水廊道，推动组团化发展，打造山湖小城，形成“一主两副促发展，一轴两带联组团，三园四区融自然”的中心城区用地布局结构。</w:t>
            </w:r>
          </w:p>
          <w:p w14:paraId="7AF21F7E">
            <w:pPr>
              <w:pStyle w:val="16"/>
              <w:shd w:val="clear" w:color="auto" w:fill="FFFFFF"/>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rPr>
              <w:t>一主两副：老城旅游发展主核，及西部旅游服务中心、北部旅游服务中心。</w:t>
            </w:r>
          </w:p>
          <w:p w14:paraId="17B0FC3E">
            <w:pPr>
              <w:pStyle w:val="16"/>
              <w:shd w:val="clear" w:color="auto" w:fill="FFFFFF"/>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rPr>
              <w:t>一轴两带：环庐山联动发展轴，及滨湖景观游憩带、文化休闲体验带。</w:t>
            </w:r>
          </w:p>
          <w:p w14:paraId="11DBCB74">
            <w:pPr>
              <w:pStyle w:val="16"/>
              <w:shd w:val="clear" w:color="auto" w:fill="FFFFFF"/>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rPr>
              <w:t>三园：石雕公园、玉京山生态园、庐山诗画田园。</w:t>
            </w:r>
          </w:p>
          <w:p w14:paraId="240B263E">
            <w:pPr>
              <w:pStyle w:val="16"/>
              <w:shd w:val="clear" w:color="auto" w:fill="FFFFFF"/>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rPr>
              <w:t>四区：峰德新区、老城区、神灵湖新区和大排岭旅游功能区。</w:t>
            </w:r>
          </w:p>
          <w:p w14:paraId="55D525C4">
            <w:pPr>
              <w:pStyle w:val="16"/>
              <w:shd w:val="clear" w:color="auto" w:fill="FFFFFF"/>
              <w:spacing w:before="0" w:beforeAutospacing="0" w:after="0" w:afterAutospacing="0" w:line="360" w:lineRule="auto"/>
              <w:ind w:firstLine="482" w:firstLineChars="200"/>
              <w:jc w:val="both"/>
              <w:rPr>
                <w:rFonts w:ascii="Times New Roman" w:hAnsi="Times New Roman"/>
                <w:color w:val="auto"/>
              </w:rPr>
            </w:pPr>
            <w:r>
              <w:rPr>
                <w:rFonts w:ascii="Times New Roman" w:hAnsi="Times New Roman"/>
                <w:b/>
                <w:bCs/>
                <w:color w:val="auto"/>
              </w:rPr>
              <w:t>产业发展目标</w:t>
            </w:r>
            <w:r>
              <w:rPr>
                <w:rFonts w:hint="eastAsia" w:ascii="Times New Roman" w:hAnsi="Times New Roman"/>
                <w:b/>
                <w:bCs/>
                <w:color w:val="auto"/>
              </w:rPr>
              <w:t>：</w:t>
            </w:r>
            <w:r>
              <w:rPr>
                <w:rFonts w:ascii="Times New Roman" w:hAnsi="Times New Roman"/>
                <w:color w:val="auto"/>
              </w:rPr>
              <w:t>积极承接九江产业分工，聚焦旅游服务功能，以打造全域化国际旅游目的地为目标，强化旅游对经济的核心带动作用，优化产业结构和布局。构建以休闲旅游产业为核心，融合生态农业、观光农业等、旅游产品制造、科技型产业、文创产业等综合发展，三次产业相互联系、相互配合、相互融合的“六次产业”集群体系。</w:t>
            </w:r>
          </w:p>
          <w:p w14:paraId="57CE80A9">
            <w:pPr>
              <w:pStyle w:val="16"/>
              <w:shd w:val="clear" w:color="auto" w:fill="FFFFFF"/>
              <w:spacing w:before="0" w:beforeAutospacing="0" w:after="0" w:afterAutospacing="0" w:line="360" w:lineRule="auto"/>
              <w:ind w:firstLine="482" w:firstLineChars="200"/>
              <w:jc w:val="both"/>
              <w:rPr>
                <w:rFonts w:ascii="Times New Roman" w:hAnsi="Times New Roman"/>
                <w:color w:val="auto"/>
              </w:rPr>
            </w:pPr>
            <w:r>
              <w:rPr>
                <w:rFonts w:ascii="Times New Roman" w:hAnsi="Times New Roman"/>
                <w:b/>
                <w:bCs/>
                <w:color w:val="auto"/>
              </w:rPr>
              <w:t>产业总体空间布局</w:t>
            </w:r>
            <w:r>
              <w:rPr>
                <w:rFonts w:hint="eastAsia" w:ascii="Times New Roman" w:hAnsi="Times New Roman"/>
                <w:b/>
                <w:bCs/>
                <w:color w:val="auto"/>
              </w:rPr>
              <w:t>：</w:t>
            </w:r>
            <w:r>
              <w:rPr>
                <w:rFonts w:ascii="Times New Roman" w:hAnsi="Times New Roman"/>
                <w:color w:val="auto"/>
              </w:rPr>
              <w:t>规划形成“两带、三区”的产业空间布局。构建滨湖文创智造产业带，沿鄱阳湖发展文化创意与特色加工产业。打造山南生态文化休闲带，庐山南麓重点建设休闲度假产业集群。庐山风景名胜区形成庐山自然文化旅游片区，华林镇、蛟塘镇、蓼南乡形成生态农业休闲片区，横塘镇形成特色工贸产业片区。</w:t>
            </w:r>
          </w:p>
          <w:p w14:paraId="7BCE427A">
            <w:pPr>
              <w:pStyle w:val="16"/>
              <w:shd w:val="clear" w:color="auto" w:fill="FFFFFF"/>
              <w:spacing w:before="0" w:beforeAutospacing="0" w:after="0" w:afterAutospacing="0" w:line="360" w:lineRule="auto"/>
              <w:ind w:firstLine="482" w:firstLineChars="200"/>
              <w:jc w:val="both"/>
              <w:rPr>
                <w:rFonts w:ascii="Times New Roman" w:hAnsi="Times New Roman"/>
                <w:color w:val="auto"/>
              </w:rPr>
            </w:pPr>
            <w:r>
              <w:rPr>
                <w:rFonts w:ascii="Times New Roman" w:hAnsi="Times New Roman"/>
                <w:b/>
                <w:bCs/>
                <w:color w:val="auto"/>
              </w:rPr>
              <w:t>公共服务中心体系</w:t>
            </w:r>
            <w:r>
              <w:rPr>
                <w:rFonts w:hint="eastAsia" w:ascii="Times New Roman" w:hAnsi="Times New Roman"/>
                <w:b/>
                <w:bCs/>
                <w:color w:val="auto"/>
              </w:rPr>
              <w:t>：</w:t>
            </w:r>
            <w:r>
              <w:rPr>
                <w:rFonts w:ascii="Times New Roman" w:hAnsi="Times New Roman"/>
                <w:color w:val="auto"/>
              </w:rPr>
              <w:t>以提高城市公共服务设施和旅游接待的服务水平为目标，规划形成由市级中心、片区级中心两级带动发展的格局，实现空间布局的全面优化和均衡发展。市级公共服务中心1个。位于老城区，是庐山市多功能复合的综合性公共服务中心，为全市服务。片区级公共服务中心3个。包括大排岭旅游功能区中心、神灵湖新区中心、峰德新区中心。</w:t>
            </w:r>
          </w:p>
          <w:p w14:paraId="2FCEDCEA">
            <w:pPr>
              <w:pStyle w:val="16"/>
              <w:shd w:val="clear" w:color="auto" w:fill="FFFFFF"/>
              <w:spacing w:before="0" w:beforeAutospacing="0" w:after="0" w:afterAutospacing="0" w:line="360" w:lineRule="auto"/>
              <w:ind w:firstLine="482" w:firstLineChars="200"/>
              <w:jc w:val="both"/>
              <w:rPr>
                <w:rFonts w:ascii="Times New Roman" w:hAnsi="Times New Roman"/>
                <w:color w:val="auto"/>
              </w:rPr>
            </w:pPr>
            <w:r>
              <w:rPr>
                <w:rFonts w:ascii="Times New Roman" w:hAnsi="Times New Roman"/>
                <w:b/>
                <w:bCs/>
                <w:color w:val="auto"/>
              </w:rPr>
              <w:t>城乡公共服务体系</w:t>
            </w:r>
            <w:r>
              <w:rPr>
                <w:rFonts w:hint="eastAsia" w:ascii="Times New Roman" w:hAnsi="Times New Roman"/>
                <w:b/>
                <w:bCs/>
                <w:color w:val="auto"/>
              </w:rPr>
              <w:t>：</w:t>
            </w:r>
            <w:r>
              <w:rPr>
                <w:rFonts w:ascii="Times New Roman" w:hAnsi="Times New Roman"/>
                <w:color w:val="auto"/>
              </w:rPr>
              <w:t>建设庐山市“市级公共服务中心--镇级公共服务中心--社区（村）级公共服务中心”三级公共服务设施体系。市级公共服务中心1个。位于庐山市中心城区，作为面向全市的大型、高标准公共设施。镇级公共服务中心7个。位于牯岭镇、海会镇、温泉镇、星子镇、横塘镇、华林镇、蛟塘镇，强化对旅游的服务。社区（村）级公共服务中心2个。分别位于蓼南乡、沙湖山管理处，服务半径宜在500米左右。</w:t>
            </w:r>
          </w:p>
          <w:p w14:paraId="23847329">
            <w:pPr>
              <w:pStyle w:val="16"/>
              <w:shd w:val="clear" w:color="auto" w:fill="FFFFFF"/>
              <w:spacing w:before="0" w:beforeAutospacing="0" w:after="0" w:afterAutospacing="0" w:line="360" w:lineRule="auto"/>
              <w:ind w:firstLine="482" w:firstLineChars="200"/>
              <w:jc w:val="both"/>
              <w:rPr>
                <w:color w:val="auto"/>
              </w:rPr>
            </w:pPr>
            <w:r>
              <w:rPr>
                <w:rFonts w:ascii="Times New Roman" w:hAnsi="Times New Roman"/>
                <w:b/>
                <w:bCs/>
                <w:color w:val="auto"/>
              </w:rPr>
              <w:t>医疗卫生用地</w:t>
            </w:r>
            <w:r>
              <w:rPr>
                <w:rFonts w:hint="eastAsia" w:ascii="Times New Roman" w:hAnsi="Times New Roman"/>
                <w:b/>
                <w:bCs/>
                <w:color w:val="auto"/>
              </w:rPr>
              <w:t>：</w:t>
            </w:r>
            <w:r>
              <w:rPr>
                <w:rFonts w:ascii="Times New Roman" w:hAnsi="Times New Roman"/>
                <w:color w:val="auto"/>
              </w:rPr>
              <w:t>规划5所市级医院。其中，峰德新区新建1所中医院，神灵湖新区新建1所神灵湖医院；扩建人民医院，妇幼保健院；保留峰德新区现状南康医院。规划2所片区级医疗设施。其中，保留峰德新区现状疾控中心；老城区新建1所庐阳社区卫生服务中心。</w:t>
            </w:r>
          </w:p>
          <w:p w14:paraId="14C6D0D1">
            <w:pPr>
              <w:numPr>
                <w:ilvl w:val="0"/>
                <w:numId w:val="0"/>
              </w:numPr>
              <w:spacing w:line="360" w:lineRule="auto"/>
              <w:ind w:firstLine="482" w:firstLineChars="200"/>
              <w:rPr>
                <w:rFonts w:hint="eastAsia" w:ascii="Times New Roman" w:hAnsi="Times New Roman" w:eastAsia="宋体" w:cs="Times New Roman"/>
                <w:b/>
                <w:bCs/>
                <w:color w:val="auto"/>
                <w:kern w:val="0"/>
                <w:sz w:val="24"/>
                <w:szCs w:val="20"/>
                <w:lang w:val="en-US" w:eastAsia="zh-CN" w:bidi="ar-SA"/>
              </w:rPr>
            </w:pPr>
            <w:r>
              <w:rPr>
                <w:rFonts w:hint="eastAsia" w:ascii="Times New Roman" w:hAnsi="Times New Roman" w:eastAsia="宋体" w:cs="Times New Roman"/>
                <w:b/>
                <w:bCs/>
                <w:color w:val="auto"/>
                <w:kern w:val="0"/>
                <w:sz w:val="24"/>
                <w:szCs w:val="20"/>
                <w:lang w:val="en-US" w:eastAsia="zh-CN" w:bidi="ar-SA"/>
              </w:rPr>
              <w:t>相符性分析：</w:t>
            </w:r>
            <w:r>
              <w:rPr>
                <w:rFonts w:hint="eastAsia" w:ascii="Times New Roman" w:hAnsi="Times New Roman" w:eastAsia="宋体" w:cs="Times New Roman"/>
                <w:b w:val="0"/>
                <w:bCs w:val="0"/>
                <w:color w:val="auto"/>
                <w:kern w:val="0"/>
                <w:sz w:val="24"/>
                <w:szCs w:val="20"/>
                <w:lang w:val="en-US" w:eastAsia="zh-CN" w:bidi="ar-SA"/>
              </w:rPr>
              <w:t>乡镇卫生院是我国基层医疗卫生体系的关键组成部分，它在维护公共卫生安全和提升医疗服务水平方面发挥着重要作用。城乡公共服务体系涵盖了城市和农村的基础设施建设、医疗卫生服务、社会保障以及文化教育等多个方面，旨在为城乡居民提供全面、均衡的公共服务。因此，华林镇卫生院的建设项目不仅与《庐山市城市总体规划》中提出的建设镇级公共服务中心的目标相契合，也是推动城乡公共服务均等化的重要举措。根据建设单位提供的土地证明文件，该项目用地已被明确划分为医卫慈善用地。</w:t>
            </w:r>
          </w:p>
          <w:p w14:paraId="0CB4C1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outlineLvl w:val="9"/>
              <w:rPr>
                <w:rFonts w:hint="eastAsia" w:ascii="Times New Roman" w:hAnsi="Times New Roman" w:eastAsia="宋体" w:cs="Times New Roman"/>
                <w:b/>
                <w:bCs/>
                <w:color w:val="auto"/>
                <w:sz w:val="24"/>
                <w:lang w:val="en-US" w:eastAsia="zh-CN"/>
              </w:rPr>
            </w:pPr>
            <w:r>
              <w:rPr>
                <w:rFonts w:hint="eastAsia" w:cs="Times New Roman"/>
                <w:b/>
                <w:bCs/>
                <w:color w:val="auto"/>
                <w:sz w:val="24"/>
                <w:lang w:val="en-US" w:eastAsia="zh-CN"/>
              </w:rPr>
              <w:t>3、</w:t>
            </w:r>
            <w:r>
              <w:rPr>
                <w:rFonts w:hint="eastAsia" w:ascii="Times New Roman" w:hAnsi="Times New Roman" w:eastAsia="宋体" w:cs="Times New Roman"/>
                <w:b/>
                <w:bCs/>
                <w:color w:val="auto"/>
                <w:sz w:val="24"/>
                <w:lang w:val="en-US" w:eastAsia="zh-CN"/>
              </w:rPr>
              <w:t>与《庐山市人民政府关于印发庐山市“十四五”医疗卫生服务体系规划的通知》（庐府字〔2022〕55号）相符性分析</w:t>
            </w:r>
          </w:p>
          <w:p w14:paraId="4E077B1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outlineLvl w:val="9"/>
              <w:rPr>
                <w:rFonts w:hint="eastAsia" w:ascii="Times New Roman" w:hAnsi="Times New Roman" w:eastAsia="宋体" w:cs="宋体"/>
                <w:i w:val="0"/>
                <w:iCs w:val="0"/>
                <w:caps w:val="0"/>
                <w:color w:val="auto"/>
                <w:spacing w:val="0"/>
                <w:sz w:val="24"/>
                <w:szCs w:val="24"/>
                <w:lang w:eastAsia="zh-CN"/>
              </w:rPr>
            </w:pPr>
            <w:r>
              <w:rPr>
                <w:rFonts w:hint="eastAsia" w:ascii="Times New Roman" w:hAnsi="Times New Roman" w:eastAsia="宋体" w:cs="宋体"/>
                <w:i w:val="0"/>
                <w:iCs w:val="0"/>
                <w:caps w:val="0"/>
                <w:color w:val="auto"/>
                <w:spacing w:val="0"/>
                <w:sz w:val="24"/>
                <w:szCs w:val="24"/>
                <w:shd w:val="clear" w:color="auto" w:fill="FFFFFF"/>
                <w:lang w:val="en-US" w:eastAsia="zh-CN"/>
              </w:rPr>
              <w:t>规划中指出：“</w:t>
            </w:r>
            <w:r>
              <w:rPr>
                <w:rFonts w:hint="eastAsia" w:ascii="Times New Roman" w:hAnsi="Times New Roman" w:eastAsia="宋体" w:cs="宋体"/>
                <w:i w:val="0"/>
                <w:iCs w:val="0"/>
                <w:caps w:val="0"/>
                <w:color w:val="auto"/>
                <w:spacing w:val="0"/>
                <w:sz w:val="24"/>
                <w:szCs w:val="24"/>
                <w:shd w:val="clear" w:color="auto" w:fill="FFFFFF"/>
              </w:rPr>
              <w:t>到2025年</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基本建成能有效应对重大疫情和突发公共卫生事件的公共卫生体系</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基本建成体系完整、分工明确、功能互补、密切协作、运行高效、富有韧性的整合型医疗服务体系。完善分级诊疗体系</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基层普遍具备首诊分诊和健康守门能力</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基本形成“基层首诊、双向转诊、上下联动、急慢分治”的就医格局。全方位全周期健康服务与保障能力显著增强</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中医药服务体系更加健全</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实现优质医疗卫生资源配置均衡化、基本医疗卫生服务均质化、基本公共卫生服务均等化</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广大人民群众就近享有公平可及、系统连续、优质高效的基本医疗卫生服务</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人民健康水平持续提升。</w:t>
            </w:r>
            <w:r>
              <w:rPr>
                <w:rFonts w:hint="eastAsia" w:ascii="Times New Roman" w:hAnsi="Times New Roman" w:eastAsia="宋体" w:cs="宋体"/>
                <w:i w:val="0"/>
                <w:iCs w:val="0"/>
                <w:caps w:val="0"/>
                <w:color w:val="auto"/>
                <w:spacing w:val="0"/>
                <w:sz w:val="24"/>
                <w:szCs w:val="24"/>
                <w:shd w:val="clear" w:color="auto" w:fill="FFFFFF"/>
                <w:lang w:eastAsia="zh-CN"/>
              </w:rPr>
              <w:t>”</w:t>
            </w:r>
          </w:p>
          <w:p w14:paraId="7961459B">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leftChars="0" w:right="0" w:firstLine="420"/>
              <w:jc w:val="both"/>
              <w:textAlignment w:val="auto"/>
              <w:rPr>
                <w:rFonts w:hint="eastAsia" w:ascii="Times New Roman" w:hAnsi="Times New Roman" w:eastAsia="宋体"/>
                <w:color w:val="auto"/>
                <w:sz w:val="24"/>
                <w:lang w:val="en-US" w:eastAsia="zh-CN"/>
              </w:rPr>
            </w:pPr>
            <w:r>
              <w:rPr>
                <w:rFonts w:hint="eastAsia" w:ascii="Times New Roman" w:hAnsi="Times New Roman" w:eastAsia="宋体" w:cs="宋体"/>
                <w:i w:val="0"/>
                <w:iCs w:val="0"/>
                <w:caps w:val="0"/>
                <w:color w:val="auto"/>
                <w:spacing w:val="0"/>
                <w:sz w:val="24"/>
                <w:szCs w:val="24"/>
                <w:shd w:val="clear" w:color="auto" w:fill="FFFFFF"/>
              </w:rPr>
              <w:t>按照属地规划原则</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庐山市医疗卫生服务体系包括市、乡、村三级资源梯度配置</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主要由公共卫生服务、医疗服务、基层医疗卫生服务、中医药服务、全方位全周期健康服务等五大体系构成</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是以专业公共卫生机构、医院、基层医疗卫生机构为主体</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以老年人、妇幼儿童等特殊人群健康照护等新型服务机构为补充</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面向全人群</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提供疾病预防、保健、治疗、护理、康复、健康促进等生命全周期、健康全过程的服务体系</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是全面推进健康庐山建设</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积极应对人口老龄化</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维护公共卫生安全的物质基础和设施保障。基层医疗卫生机构包括乡镇卫生院、社区卫生服务中心(站)、村卫生室、医务室、门诊部和诊所等</w:t>
            </w:r>
            <w:r>
              <w:rPr>
                <w:rFonts w:hint="eastAsia" w:ascii="Times New Roman" w:hAnsi="Times New Roman" w:eastAsia="宋体" w:cs="宋体"/>
                <w:i w:val="0"/>
                <w:iCs w:val="0"/>
                <w:caps w:val="0"/>
                <w:color w:val="auto"/>
                <w:spacing w:val="0"/>
                <w:sz w:val="24"/>
                <w:szCs w:val="24"/>
                <w:shd w:val="clear" w:color="auto" w:fill="FFFFFF"/>
                <w:lang w:eastAsia="zh-CN"/>
              </w:rPr>
              <w:t>。</w:t>
            </w:r>
          </w:p>
          <w:p w14:paraId="0EA5C6C7">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leftChars="0" w:right="0" w:firstLine="420"/>
              <w:jc w:val="both"/>
              <w:textAlignment w:val="auto"/>
              <w:rPr>
                <w:rFonts w:hint="eastAsia" w:ascii="Times New Roman" w:hAnsi="Times New Roman" w:eastAsia="宋体" w:cs="宋体"/>
                <w:i w:val="0"/>
                <w:iCs w:val="0"/>
                <w:caps w:val="0"/>
                <w:color w:val="auto"/>
                <w:spacing w:val="0"/>
                <w:sz w:val="24"/>
                <w:szCs w:val="24"/>
              </w:rPr>
            </w:pPr>
            <w:r>
              <w:rPr>
                <w:rFonts w:hint="eastAsia" w:ascii="Times New Roman" w:hAnsi="Times New Roman" w:eastAsia="宋体" w:cs="宋体"/>
                <w:i w:val="0"/>
                <w:iCs w:val="0"/>
                <w:caps w:val="0"/>
                <w:color w:val="auto"/>
                <w:spacing w:val="0"/>
                <w:sz w:val="24"/>
                <w:szCs w:val="24"/>
                <w:shd w:val="clear" w:color="auto" w:fill="FFFFFF"/>
              </w:rPr>
              <w:t>1.乡镇卫生院、社区卫生服务中心。在每个乡镇办好1所标准化建设的乡镇卫生院</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或城区每3</w:t>
            </w:r>
            <w:r>
              <w:rPr>
                <w:rFonts w:hint="eastAsia" w:ascii="Times New Roman" w:hAnsi="Times New Roman" w:eastAsia="宋体" w:cs="宋体"/>
                <w:i w:val="0"/>
                <w:iCs w:val="0"/>
                <w:caps w:val="0"/>
                <w:color w:val="auto"/>
                <w:spacing w:val="0"/>
                <w:sz w:val="24"/>
                <w:szCs w:val="24"/>
                <w:shd w:val="clear" w:color="auto" w:fill="FFFFFF"/>
                <w:lang w:val="en-US" w:eastAsia="zh-CN"/>
              </w:rPr>
              <w:t>~</w:t>
            </w:r>
            <w:r>
              <w:rPr>
                <w:rFonts w:hint="eastAsia" w:ascii="Times New Roman" w:hAnsi="Times New Roman" w:eastAsia="宋体" w:cs="宋体"/>
                <w:i w:val="0"/>
                <w:iCs w:val="0"/>
                <w:caps w:val="0"/>
                <w:color w:val="auto"/>
                <w:spacing w:val="0"/>
                <w:sz w:val="24"/>
                <w:szCs w:val="24"/>
                <w:shd w:val="clear" w:color="auto" w:fill="FFFFFF"/>
              </w:rPr>
              <w:t>10万居民规划设置1所社区卫生服务中心。综合考虑城镇化、地理位置、人口聚集程度等因素</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可以选择1/3左右的乡镇卫生院提升服务能力和水平</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建设中心卫生院。有条件的中心卫生院可以建设成为市本级医院分院或按二级医院标准开展建设。城区部分一级公立医院可以根据需要</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通过结构和功能改造转为社区卫生服务中心。规划期内</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共设乡镇卫生院12个</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社区卫生服务中心1个</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乡镇卫生院的发热诊室尽量做到“应建尽建”。</w:t>
            </w:r>
          </w:p>
          <w:p w14:paraId="07281C7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leftChars="0" w:right="0" w:firstLine="420"/>
              <w:jc w:val="both"/>
              <w:textAlignment w:val="auto"/>
              <w:rPr>
                <w:rFonts w:hint="eastAsia" w:ascii="Times New Roman" w:hAnsi="Times New Roman" w:eastAsia="宋体" w:cs="宋体"/>
                <w:i w:val="0"/>
                <w:iCs w:val="0"/>
                <w:caps w:val="0"/>
                <w:color w:val="auto"/>
                <w:spacing w:val="0"/>
                <w:sz w:val="24"/>
                <w:szCs w:val="24"/>
              </w:rPr>
            </w:pPr>
            <w:r>
              <w:rPr>
                <w:rFonts w:hint="eastAsia" w:ascii="Times New Roman" w:hAnsi="Times New Roman" w:eastAsia="宋体" w:cs="宋体"/>
                <w:i w:val="0"/>
                <w:iCs w:val="0"/>
                <w:caps w:val="0"/>
                <w:color w:val="auto"/>
                <w:spacing w:val="0"/>
                <w:sz w:val="24"/>
                <w:szCs w:val="24"/>
                <w:shd w:val="clear" w:color="auto" w:fill="FFFFFF"/>
              </w:rPr>
              <w:t>2.村卫生室、社区卫生服务站。根据村级人口分布特点</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调整优化行政村卫生室设置</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原则上每个行政村应当设置1个村卫生室</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城区按3-5个居委会的地域或1</w:t>
            </w:r>
            <w:r>
              <w:rPr>
                <w:rFonts w:hint="eastAsia" w:ascii="Times New Roman" w:hAnsi="Times New Roman" w:eastAsia="宋体" w:cs="宋体"/>
                <w:i w:val="0"/>
                <w:iCs w:val="0"/>
                <w:caps w:val="0"/>
                <w:color w:val="auto"/>
                <w:spacing w:val="0"/>
                <w:sz w:val="24"/>
                <w:szCs w:val="24"/>
                <w:shd w:val="clear" w:color="auto" w:fill="FFFFFF"/>
                <w:lang w:val="en-US" w:eastAsia="zh-CN"/>
              </w:rPr>
              <w:t>~</w:t>
            </w:r>
            <w:r>
              <w:rPr>
                <w:rFonts w:hint="eastAsia" w:ascii="Times New Roman" w:hAnsi="Times New Roman" w:eastAsia="宋体" w:cs="宋体"/>
                <w:i w:val="0"/>
                <w:iCs w:val="0"/>
                <w:caps w:val="0"/>
                <w:color w:val="auto"/>
                <w:spacing w:val="0"/>
                <w:sz w:val="24"/>
                <w:szCs w:val="24"/>
                <w:shd w:val="clear" w:color="auto" w:fill="FFFFFF"/>
              </w:rPr>
              <w:t>2万人口设1个服务站。规划期内</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共设村卫生室82个</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社区卫生服务站4个。</w:t>
            </w:r>
          </w:p>
          <w:p w14:paraId="7FD32D1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leftChars="0" w:right="0" w:firstLine="420"/>
              <w:jc w:val="both"/>
              <w:textAlignment w:val="auto"/>
              <w:rPr>
                <w:rFonts w:hint="eastAsia" w:ascii="Times New Roman" w:hAnsi="Times New Roman" w:eastAsia="宋体" w:cs="宋体"/>
                <w:i w:val="0"/>
                <w:iCs w:val="0"/>
                <w:caps w:val="0"/>
                <w:color w:val="auto"/>
                <w:spacing w:val="0"/>
                <w:sz w:val="24"/>
                <w:szCs w:val="24"/>
                <w:shd w:val="clear" w:color="auto" w:fill="FFFFFF"/>
              </w:rPr>
            </w:pPr>
            <w:r>
              <w:rPr>
                <w:rFonts w:hint="eastAsia" w:ascii="Times New Roman" w:hAnsi="Times New Roman" w:eastAsia="宋体" w:cs="宋体"/>
                <w:i w:val="0"/>
                <w:iCs w:val="0"/>
                <w:caps w:val="0"/>
                <w:color w:val="auto"/>
                <w:spacing w:val="0"/>
                <w:sz w:val="24"/>
                <w:szCs w:val="24"/>
                <w:shd w:val="clear" w:color="auto" w:fill="FFFFFF"/>
              </w:rPr>
              <w:t>3.门诊部、诊所等基层医疗卫生机构。设置不受规划布局限制</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实行市场调节的管理方式。</w:t>
            </w:r>
          </w:p>
          <w:p w14:paraId="74BE5E0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imes New Roman" w:hAnsi="Times New Roman" w:eastAsia="宋体" w:cs="宋体"/>
                <w:i w:val="0"/>
                <w:iCs w:val="0"/>
                <w:caps w:val="0"/>
                <w:color w:val="auto"/>
                <w:spacing w:val="0"/>
                <w:sz w:val="24"/>
                <w:szCs w:val="24"/>
              </w:rPr>
            </w:pPr>
            <w:r>
              <w:rPr>
                <w:rFonts w:hint="eastAsia" w:ascii="Times New Roman" w:hAnsi="Times New Roman" w:eastAsia="宋体" w:cs="宋体"/>
                <w:i w:val="0"/>
                <w:iCs w:val="0"/>
                <w:caps w:val="0"/>
                <w:color w:val="auto"/>
                <w:spacing w:val="0"/>
                <w:sz w:val="24"/>
                <w:szCs w:val="24"/>
                <w:shd w:val="clear" w:color="auto" w:fill="FFFFFF"/>
              </w:rPr>
              <w:t>规划期内</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完成“庐山市人民医院迁建项目”、“庐山市中医医院新建项目”、“庐山市妇幼保健院迁建项目”、“庐山市乡镇卫生院整体改造提升项目”。根据常住人口分布和结构</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合理配置各级公立医院床位规模</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重在提高床位使用质量。公立综合医院床位使用率低于75%、平均住院日高于9天的</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原则上不再新增床位。公立医院资源过剩</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结合实际优化结构和布局</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根据需要积极稳妥地将部分公立医院转为康复、老年护理等接续性医疗机构或社区卫生服务机构。中医类医院床位数按照每千常住人口不少于0.97张配置。</w:t>
            </w:r>
          </w:p>
          <w:p w14:paraId="6CD7187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Chars="0" w:right="0" w:firstLine="480" w:firstLineChars="200"/>
              <w:jc w:val="both"/>
              <w:textAlignment w:val="auto"/>
              <w:rPr>
                <w:rFonts w:hint="eastAsia" w:ascii="Times New Roman" w:hAnsi="Times New Roman" w:eastAsia="宋体" w:cs="宋体"/>
                <w:i w:val="0"/>
                <w:iCs w:val="0"/>
                <w:caps w:val="0"/>
                <w:color w:val="auto"/>
                <w:spacing w:val="0"/>
                <w:sz w:val="24"/>
                <w:szCs w:val="24"/>
              </w:rPr>
            </w:pPr>
            <w:r>
              <w:rPr>
                <w:rFonts w:hint="eastAsia" w:ascii="Times New Roman" w:hAnsi="Times New Roman" w:eastAsia="宋体" w:cs="宋体"/>
                <w:i w:val="0"/>
                <w:iCs w:val="0"/>
                <w:caps w:val="0"/>
                <w:color w:val="auto"/>
                <w:spacing w:val="0"/>
                <w:sz w:val="24"/>
                <w:szCs w:val="24"/>
                <w:shd w:val="clear" w:color="auto" w:fill="FFFFFF"/>
              </w:rPr>
              <w:t>规划期内</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九江学院附属医院和江西省庐山人民医院深度合作建立医共体。至少组建1个县域医共体</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全市公立医疗卫生机构均应参加紧密型医共体</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鼓励中医医院牵头组建多种形式的医共体。鼓励社会力量办医疗卫生机构按照自愿原则参加医共体。鼓励二级及以上公立医疗机构提供互联网医疗服务</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实现智慧医院建设。拓展社会办医空间</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社会办医区域总量和空间不做规划限制。诊所设置不受规划布局限制</w:t>
            </w:r>
            <w:r>
              <w:rPr>
                <w:rFonts w:hint="eastAsia" w:ascii="Times New Roman" w:hAnsi="Times New Roman" w:eastAsia="宋体" w:cs="宋体"/>
                <w:i w:val="0"/>
                <w:iCs w:val="0"/>
                <w:caps w:val="0"/>
                <w:color w:val="auto"/>
                <w:spacing w:val="0"/>
                <w:sz w:val="24"/>
                <w:szCs w:val="24"/>
                <w:shd w:val="clear" w:color="auto" w:fill="FFFFFF"/>
                <w:lang w:eastAsia="zh-CN"/>
              </w:rPr>
              <w:t>，</w:t>
            </w:r>
            <w:r>
              <w:rPr>
                <w:rFonts w:hint="eastAsia" w:ascii="Times New Roman" w:hAnsi="Times New Roman" w:eastAsia="宋体" w:cs="宋体"/>
                <w:i w:val="0"/>
                <w:iCs w:val="0"/>
                <w:caps w:val="0"/>
                <w:color w:val="auto"/>
                <w:spacing w:val="0"/>
                <w:sz w:val="24"/>
                <w:szCs w:val="24"/>
                <w:shd w:val="clear" w:color="auto" w:fill="FFFFFF"/>
              </w:rPr>
              <w:t>实行备案制管理。</w:t>
            </w:r>
          </w:p>
          <w:p w14:paraId="5B830909">
            <w:pPr>
              <w:autoSpaceDE w:val="0"/>
              <w:autoSpaceDN w:val="0"/>
              <w:adjustRightInd w:val="0"/>
              <w:snapToGrid w:val="0"/>
              <w:spacing w:line="360" w:lineRule="auto"/>
              <w:ind w:firstLine="482" w:firstLineChars="200"/>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pPr>
            <w:r>
              <w:rPr>
                <w:rFonts w:hint="eastAsia"/>
                <w:b/>
                <w:bCs/>
                <w:color w:val="auto"/>
                <w:kern w:val="0"/>
                <w:sz w:val="24"/>
              </w:rPr>
              <w:t>规划符合性分析：</w:t>
            </w:r>
            <w:r>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t>江西省庐山市华林镇的华林卫生院，作为乡镇卫生院提升改造项目的一部分，其目标是增强华林镇的医疗服务能力。这个项目将改善医疗服务水平，满足居民的健康需求。改造后的卫生院将有助于完善城乡公共服务体系，提升基层医疗服务水平，实现规划目标，提高居民的健康水平，并且提升医疗服务水平。该项目用地性质为医卫慈善用地，符合相关规划要求。因此，华林卫生院的建设完全符合《庐山市人民政府关于印发庐山市“十四五”医疗卫生服务体系规划的通知》（庐府字〔2022〕55号）的相关规定。</w:t>
            </w:r>
          </w:p>
          <w:p w14:paraId="026B6409">
            <w:pPr>
              <w:pStyle w:val="9"/>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pPr>
          </w:p>
          <w:p w14:paraId="1047498E">
            <w:pPr>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pPr>
          </w:p>
          <w:p w14:paraId="70C6B787">
            <w:pPr>
              <w:pStyle w:val="9"/>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pPr>
          </w:p>
          <w:p w14:paraId="533978B2">
            <w:pPr>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pPr>
          </w:p>
          <w:p w14:paraId="23903A58">
            <w:pPr>
              <w:pStyle w:val="9"/>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pPr>
          </w:p>
          <w:p w14:paraId="4CC31280">
            <w:pPr>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pPr>
          </w:p>
          <w:p w14:paraId="43B60676">
            <w:pPr>
              <w:pStyle w:val="9"/>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pPr>
          </w:p>
          <w:p w14:paraId="70FFA05D">
            <w:pPr>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pPr>
          </w:p>
          <w:p w14:paraId="315177EE">
            <w:pPr>
              <w:pStyle w:val="9"/>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pPr>
          </w:p>
          <w:p w14:paraId="70F0F39C">
            <w:pPr>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pPr>
          </w:p>
          <w:p w14:paraId="2C812AE2">
            <w:pPr>
              <w:pStyle w:val="9"/>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pPr>
          </w:p>
          <w:p w14:paraId="541C69BE">
            <w:pPr>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pPr>
          </w:p>
          <w:p w14:paraId="2FEE15B6">
            <w:pPr>
              <w:pStyle w:val="9"/>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pPr>
          </w:p>
          <w:p w14:paraId="699B553E">
            <w:pPr>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pPr>
          </w:p>
          <w:p w14:paraId="640F828C">
            <w:pPr>
              <w:pStyle w:val="9"/>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pPr>
          </w:p>
          <w:p w14:paraId="29549D7A">
            <w:pPr>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pPr>
          </w:p>
          <w:p w14:paraId="2A1DF8CC">
            <w:pPr>
              <w:pStyle w:val="9"/>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pPr>
          </w:p>
          <w:p w14:paraId="3BBBE049">
            <w:pPr>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pPr>
          </w:p>
          <w:p w14:paraId="49C16AF1">
            <w:pPr>
              <w:pStyle w:val="9"/>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pPr>
          </w:p>
          <w:p w14:paraId="4CB588A8">
            <w:pPr>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pPr>
          </w:p>
          <w:p w14:paraId="02094297">
            <w:pPr>
              <w:pStyle w:val="9"/>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pPr>
          </w:p>
          <w:p w14:paraId="32DFB4A3">
            <w:pPr>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pPr>
          </w:p>
          <w:p w14:paraId="46A00C01">
            <w:pPr>
              <w:pStyle w:val="9"/>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pPr>
          </w:p>
          <w:p w14:paraId="5EAFF2A4">
            <w:pPr>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pPr>
          </w:p>
          <w:p w14:paraId="09AC8D6E">
            <w:pPr>
              <w:pStyle w:val="9"/>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pPr>
          </w:p>
          <w:p w14:paraId="27E20928">
            <w:pPr>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pPr>
          </w:p>
          <w:p w14:paraId="562F649C">
            <w:pPr>
              <w:pStyle w:val="9"/>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pPr>
          </w:p>
          <w:p w14:paraId="0120FA43">
            <w:pPr>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pPr>
          </w:p>
          <w:p w14:paraId="1CB2C9F2">
            <w:pPr>
              <w:pStyle w:val="9"/>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pPr>
          </w:p>
          <w:p w14:paraId="65D6FC6C">
            <w:pPr>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pPr>
          </w:p>
          <w:p w14:paraId="29D80234">
            <w:pPr>
              <w:pStyle w:val="9"/>
              <w:rPr>
                <w:rFonts w:hint="eastAsia" w:ascii="Times New Roman" w:hAnsi="Times New Roman" w:eastAsia="宋体" w:cs="宋体"/>
                <w:i w:val="0"/>
                <w:iCs w:val="0"/>
                <w:caps w:val="0"/>
                <w:color w:val="auto"/>
                <w:spacing w:val="0"/>
                <w:kern w:val="0"/>
                <w:sz w:val="24"/>
                <w:szCs w:val="24"/>
                <w:shd w:val="clear" w:color="auto" w:fill="FFFFFF"/>
                <w:lang w:val="en-US" w:eastAsia="zh-CN" w:bidi="ar-SA"/>
              </w:rPr>
            </w:pPr>
          </w:p>
          <w:p w14:paraId="2C9A25A4">
            <w:pPr>
              <w:rPr>
                <w:color w:val="auto"/>
              </w:rPr>
            </w:pPr>
          </w:p>
        </w:tc>
      </w:tr>
      <w:tr w14:paraId="7CE7CD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68" w:hRule="atLeast"/>
          <w:jc w:val="center"/>
        </w:trPr>
        <w:tc>
          <w:tcPr>
            <w:tcW w:w="1101" w:type="dxa"/>
            <w:vAlign w:val="center"/>
          </w:tcPr>
          <w:p w14:paraId="47C6A8A8">
            <w:pPr>
              <w:autoSpaceDE w:val="0"/>
              <w:autoSpaceDN w:val="0"/>
              <w:adjustRightInd w:val="0"/>
              <w:snapToGrid w:val="0"/>
              <w:jc w:val="center"/>
              <w:rPr>
                <w:color w:val="auto"/>
                <w:kern w:val="0"/>
                <w:sz w:val="24"/>
              </w:rPr>
            </w:pPr>
            <w:r>
              <w:rPr>
                <w:color w:val="auto"/>
                <w:kern w:val="0"/>
                <w:sz w:val="24"/>
              </w:rPr>
              <w:t>其他符合性分析</w:t>
            </w:r>
          </w:p>
        </w:tc>
        <w:tc>
          <w:tcPr>
            <w:tcW w:w="7769" w:type="dxa"/>
            <w:gridSpan w:val="3"/>
            <w:vAlign w:val="center"/>
          </w:tcPr>
          <w:p w14:paraId="701B88F7">
            <w:pPr>
              <w:autoSpaceDE w:val="0"/>
              <w:autoSpaceDN w:val="0"/>
              <w:adjustRightInd w:val="0"/>
              <w:snapToGrid w:val="0"/>
              <w:spacing w:before="120" w:beforeLines="50" w:line="360" w:lineRule="auto"/>
              <w:ind w:firstLine="482" w:firstLineChars="200"/>
              <w:jc w:val="left"/>
              <w:rPr>
                <w:b/>
                <w:color w:val="auto"/>
                <w:kern w:val="0"/>
                <w:sz w:val="24"/>
              </w:rPr>
            </w:pPr>
            <w:r>
              <w:rPr>
                <w:rFonts w:hint="eastAsia"/>
                <w:b/>
                <w:color w:val="auto"/>
                <w:kern w:val="0"/>
                <w:sz w:val="24"/>
              </w:rPr>
              <w:t>1、产业政策相符性</w:t>
            </w:r>
          </w:p>
          <w:p w14:paraId="7BC60012">
            <w:pPr>
              <w:autoSpaceDE w:val="0"/>
              <w:autoSpaceDN w:val="0"/>
              <w:adjustRightInd w:val="0"/>
              <w:snapToGrid w:val="0"/>
              <w:spacing w:line="360" w:lineRule="auto"/>
              <w:ind w:firstLine="480" w:firstLineChars="200"/>
              <w:jc w:val="left"/>
              <w:rPr>
                <w:color w:val="auto"/>
                <w:kern w:val="0"/>
                <w:sz w:val="24"/>
              </w:rPr>
            </w:pPr>
            <w:r>
              <w:rPr>
                <w:rFonts w:hint="eastAsia"/>
                <w:color w:val="auto"/>
                <w:kern w:val="0"/>
                <w:sz w:val="24"/>
              </w:rPr>
              <w:t>本项目为基</w:t>
            </w:r>
            <w:r>
              <w:rPr>
                <w:color w:val="auto"/>
                <w:kern w:val="0"/>
                <w:sz w:val="24"/>
              </w:rPr>
              <w:t>层医疗卫生服务</w:t>
            </w:r>
            <w:r>
              <w:rPr>
                <w:rFonts w:hint="eastAsia"/>
                <w:color w:val="auto"/>
                <w:kern w:val="0"/>
                <w:sz w:val="24"/>
              </w:rPr>
              <w:t>，根据《产业结构调整指导目录》（20</w:t>
            </w:r>
            <w:r>
              <w:rPr>
                <w:color w:val="auto"/>
                <w:kern w:val="0"/>
                <w:sz w:val="24"/>
              </w:rPr>
              <w:t>2</w:t>
            </w:r>
            <w:r>
              <w:rPr>
                <w:rFonts w:hint="eastAsia"/>
                <w:color w:val="auto"/>
                <w:kern w:val="0"/>
                <w:sz w:val="24"/>
              </w:rPr>
              <w:t>4年修订本），</w:t>
            </w:r>
            <w:r>
              <w:rPr>
                <w:color w:val="auto"/>
                <w:kern w:val="0"/>
                <w:sz w:val="24"/>
              </w:rPr>
              <w:t>本项目</w:t>
            </w:r>
            <w:r>
              <w:rPr>
                <w:rFonts w:hint="eastAsia"/>
                <w:color w:val="auto"/>
                <w:kern w:val="0"/>
                <w:sz w:val="24"/>
              </w:rPr>
              <w:t>符合第三十七条“教育健康”第一条：</w:t>
            </w:r>
            <w:r>
              <w:rPr>
                <w:rFonts w:hint="eastAsia" w:ascii="宋体" w:hAnsi="宋体" w:cs="宋体"/>
                <w:color w:val="auto"/>
                <w:kern w:val="0"/>
                <w:sz w:val="24"/>
              </w:rPr>
              <w:t>医疗卫生服务设施建设，</w:t>
            </w:r>
            <w:r>
              <w:rPr>
                <w:rFonts w:hint="eastAsia"/>
                <w:color w:val="auto"/>
                <w:kern w:val="0"/>
                <w:sz w:val="24"/>
              </w:rPr>
              <w:t>属于鼓励类</w:t>
            </w:r>
            <w:r>
              <w:rPr>
                <w:color w:val="auto"/>
                <w:kern w:val="0"/>
                <w:sz w:val="24"/>
              </w:rPr>
              <w:t>。</w:t>
            </w:r>
            <w:r>
              <w:rPr>
                <w:rFonts w:hint="eastAsia"/>
                <w:color w:val="auto"/>
                <w:kern w:val="0"/>
                <w:sz w:val="24"/>
              </w:rPr>
              <w:t>项目已取得庐山市发展和改革委员会的立项批复（庐发改审批字[</w:t>
            </w:r>
            <w:r>
              <w:rPr>
                <w:color w:val="auto"/>
                <w:kern w:val="0"/>
                <w:sz w:val="24"/>
              </w:rPr>
              <w:t>2022]</w:t>
            </w:r>
            <w:r>
              <w:rPr>
                <w:rFonts w:hint="eastAsia"/>
                <w:color w:val="auto"/>
                <w:kern w:val="0"/>
                <w:sz w:val="24"/>
              </w:rPr>
              <w:t>291号），并获得庐山市卫生健康委员会颁发的医疗机构职业许可证（登记号</w:t>
            </w:r>
            <w:r>
              <w:rPr>
                <w:color w:val="auto"/>
                <w:kern w:val="0"/>
                <w:sz w:val="24"/>
              </w:rPr>
              <w:t>491</w:t>
            </w:r>
            <w:r>
              <w:rPr>
                <w:rFonts w:hint="eastAsia"/>
                <w:color w:val="auto"/>
                <w:kern w:val="0"/>
                <w:sz w:val="24"/>
              </w:rPr>
              <w:t>54083636042711C2201），因此本项目符合国家及地方产业政策要求。</w:t>
            </w:r>
          </w:p>
          <w:p w14:paraId="5A2C755B">
            <w:pPr>
              <w:autoSpaceDE w:val="0"/>
              <w:autoSpaceDN w:val="0"/>
              <w:adjustRightInd w:val="0"/>
              <w:snapToGrid w:val="0"/>
              <w:spacing w:before="120" w:beforeLines="50" w:line="360" w:lineRule="auto"/>
              <w:ind w:firstLine="480" w:firstLineChars="200"/>
              <w:jc w:val="left"/>
              <w:rPr>
                <w:b/>
                <w:color w:val="auto"/>
                <w:kern w:val="0"/>
                <w:sz w:val="24"/>
              </w:rPr>
            </w:pPr>
            <w:r>
              <w:rPr>
                <w:rFonts w:hint="eastAsia"/>
                <w:color w:val="auto"/>
                <w:kern w:val="0"/>
                <w:sz w:val="24"/>
              </w:rPr>
              <w:t>2、</w:t>
            </w:r>
            <w:r>
              <w:rPr>
                <w:rFonts w:hint="eastAsia"/>
                <w:b/>
                <w:color w:val="auto"/>
                <w:kern w:val="0"/>
                <w:sz w:val="24"/>
              </w:rPr>
              <w:t>项目选址可行性分析</w:t>
            </w:r>
          </w:p>
          <w:p w14:paraId="02FDD2C3">
            <w:pPr>
              <w:autoSpaceDE w:val="0"/>
              <w:autoSpaceDN w:val="0"/>
              <w:adjustRightInd w:val="0"/>
              <w:snapToGrid w:val="0"/>
              <w:spacing w:line="360" w:lineRule="auto"/>
              <w:ind w:firstLine="480" w:firstLineChars="200"/>
              <w:jc w:val="both"/>
              <w:rPr>
                <w:snapToGrid w:val="0"/>
                <w:color w:val="auto"/>
                <w:kern w:val="32"/>
                <w:sz w:val="24"/>
              </w:rPr>
            </w:pPr>
            <w:r>
              <w:rPr>
                <w:rFonts w:hint="eastAsia"/>
                <w:snapToGrid w:val="0"/>
                <w:color w:val="auto"/>
                <w:kern w:val="32"/>
                <w:sz w:val="24"/>
              </w:rPr>
              <w:t>本项目选址位</w:t>
            </w:r>
            <w:r>
              <w:rPr>
                <w:rFonts w:hint="eastAsia" w:ascii="Times New Roman" w:hAnsi="Times New Roman" w:eastAsia="宋体" w:cs="Times New Roman"/>
                <w:snapToGrid w:val="0"/>
                <w:color w:val="auto"/>
                <w:kern w:val="32"/>
                <w:sz w:val="24"/>
              </w:rPr>
              <w:t>于庐山市</w:t>
            </w:r>
            <w:r>
              <w:rPr>
                <w:rFonts w:hint="eastAsia" w:cs="Times New Roman"/>
                <w:snapToGrid w:val="0"/>
                <w:color w:val="auto"/>
                <w:kern w:val="32"/>
                <w:sz w:val="24"/>
                <w:lang w:eastAsia="zh-CN"/>
              </w:rPr>
              <w:t>华林镇华林街西南侧</w:t>
            </w:r>
            <w:r>
              <w:rPr>
                <w:rFonts w:hint="eastAsia" w:ascii="Times New Roman" w:hAnsi="Times New Roman" w:eastAsia="宋体" w:cs="Times New Roman"/>
                <w:snapToGrid w:val="0"/>
                <w:color w:val="auto"/>
                <w:kern w:val="32"/>
                <w:sz w:val="24"/>
              </w:rPr>
              <w:t>，</w:t>
            </w:r>
            <w:r>
              <w:rPr>
                <w:rFonts w:hint="eastAsia"/>
                <w:snapToGrid w:val="0"/>
                <w:color w:val="auto"/>
                <w:kern w:val="32"/>
                <w:sz w:val="24"/>
              </w:rPr>
              <w:t>工程区域不涉及世界文化和自然遗产地等特殊生态敏感区；不位于《江西省生态空间保护红线区划》中的生态空间保护红线区内。项目周边环境主要由居民住宅</w:t>
            </w:r>
            <w:r>
              <w:rPr>
                <w:rFonts w:hint="eastAsia"/>
                <w:snapToGrid w:val="0"/>
                <w:color w:val="auto"/>
                <w:kern w:val="32"/>
                <w:sz w:val="24"/>
                <w:lang w:eastAsia="zh-CN"/>
              </w:rPr>
              <w:t>、</w:t>
            </w:r>
            <w:r>
              <w:rPr>
                <w:rFonts w:hint="eastAsia"/>
                <w:snapToGrid w:val="0"/>
                <w:color w:val="auto"/>
                <w:kern w:val="32"/>
                <w:sz w:val="24"/>
              </w:rPr>
              <w:t>教育机构</w:t>
            </w:r>
            <w:r>
              <w:rPr>
                <w:rFonts w:hint="eastAsia"/>
                <w:snapToGrid w:val="0"/>
                <w:color w:val="auto"/>
                <w:kern w:val="32"/>
                <w:sz w:val="24"/>
                <w:lang w:val="en-US" w:eastAsia="zh-CN"/>
              </w:rPr>
              <w:t>及政府机构</w:t>
            </w:r>
            <w:r>
              <w:rPr>
                <w:rFonts w:hint="eastAsia"/>
                <w:snapToGrid w:val="0"/>
                <w:color w:val="auto"/>
                <w:kern w:val="32"/>
                <w:sz w:val="24"/>
              </w:rPr>
              <w:t>组成。项目实施后，预计将提高当地的医疗服务质量，并与周边环境和谐共存。因此，在严格遵守评估标准和相关技术规范的前提下，本项目预计不会对区域的生态服务功能产生重大负面影响。综上所述，项目的选址是合理的。</w:t>
            </w:r>
          </w:p>
          <w:p w14:paraId="4839BF1B">
            <w:pPr>
              <w:autoSpaceDE w:val="0"/>
              <w:autoSpaceDN w:val="0"/>
              <w:adjustRightInd w:val="0"/>
              <w:snapToGrid w:val="0"/>
              <w:spacing w:line="360" w:lineRule="auto"/>
              <w:ind w:firstLine="482" w:firstLineChars="200"/>
              <w:jc w:val="left"/>
              <w:rPr>
                <w:b/>
                <w:color w:val="auto"/>
                <w:kern w:val="0"/>
                <w:sz w:val="24"/>
              </w:rPr>
            </w:pPr>
            <w:r>
              <w:rPr>
                <w:rFonts w:hint="eastAsia"/>
                <w:b/>
                <w:color w:val="auto"/>
                <w:kern w:val="0"/>
                <w:sz w:val="24"/>
              </w:rPr>
              <w:t>3、“三线一单”符合性分析</w:t>
            </w:r>
          </w:p>
          <w:p w14:paraId="5ABD2AD5">
            <w:pPr>
              <w:adjustRightInd w:val="0"/>
              <w:snapToGrid w:val="0"/>
              <w:spacing w:line="360" w:lineRule="auto"/>
              <w:ind w:firstLine="480" w:firstLineChars="200"/>
              <w:jc w:val="left"/>
              <w:rPr>
                <w:snapToGrid w:val="0"/>
                <w:color w:val="auto"/>
                <w:kern w:val="32"/>
                <w:sz w:val="24"/>
              </w:rPr>
            </w:pPr>
            <w:r>
              <w:rPr>
                <w:rFonts w:hint="eastAsia"/>
                <w:snapToGrid w:val="0"/>
                <w:color w:val="auto"/>
                <w:kern w:val="32"/>
                <w:sz w:val="24"/>
              </w:rPr>
              <w:t>（1）生态保护红线</w:t>
            </w:r>
          </w:p>
          <w:p w14:paraId="344F1148">
            <w:pPr>
              <w:adjustRightInd w:val="0"/>
              <w:snapToGrid w:val="0"/>
              <w:spacing w:line="360" w:lineRule="auto"/>
              <w:ind w:firstLine="480" w:firstLineChars="200"/>
              <w:jc w:val="left"/>
              <w:rPr>
                <w:snapToGrid w:val="0"/>
                <w:color w:val="auto"/>
                <w:kern w:val="32"/>
                <w:sz w:val="24"/>
              </w:rPr>
            </w:pPr>
            <w:r>
              <w:rPr>
                <w:rFonts w:hint="eastAsia"/>
                <w:snapToGrid w:val="0"/>
                <w:color w:val="auto"/>
                <w:kern w:val="32"/>
                <w:sz w:val="24"/>
              </w:rPr>
              <w:t>本项目位于</w:t>
            </w:r>
            <w:r>
              <w:rPr>
                <w:rFonts w:ascii="Helvetica" w:hAnsi="Helvetica" w:eastAsia="Helvetica" w:cs="Helvetica"/>
                <w:color w:val="auto"/>
                <w:sz w:val="24"/>
                <w:shd w:val="clear" w:color="auto" w:fill="FFFFFF"/>
              </w:rPr>
              <w:t>庐山市</w:t>
            </w:r>
            <w:r>
              <w:rPr>
                <w:rFonts w:hint="eastAsia" w:ascii="Helvetica" w:hAnsi="Helvetica" w:eastAsia="宋体" w:cs="Helvetica"/>
                <w:color w:val="auto"/>
                <w:sz w:val="24"/>
                <w:shd w:val="clear" w:color="auto" w:fill="FFFFFF"/>
                <w:lang w:eastAsia="zh-CN"/>
              </w:rPr>
              <w:t>华林镇华林街西南侧</w:t>
            </w:r>
            <w:r>
              <w:rPr>
                <w:rFonts w:hint="eastAsia"/>
                <w:snapToGrid w:val="0"/>
                <w:color w:val="auto"/>
                <w:kern w:val="32"/>
                <w:sz w:val="24"/>
              </w:rPr>
              <w:t>，本项目不在当地饮用水源、风景名胜区、自然保护区等生态保护区内，满足生态保护红线要求。</w:t>
            </w:r>
          </w:p>
          <w:p w14:paraId="6E52DB3F">
            <w:pPr>
              <w:numPr>
                <w:ilvl w:val="0"/>
                <w:numId w:val="4"/>
              </w:numPr>
              <w:adjustRightInd w:val="0"/>
              <w:snapToGrid w:val="0"/>
              <w:spacing w:line="360" w:lineRule="auto"/>
              <w:ind w:firstLine="480" w:firstLineChars="200"/>
              <w:rPr>
                <w:rFonts w:hint="eastAsia" w:ascii="Times New Roman" w:hAnsi="Times New Roman" w:eastAsia="宋体" w:cs="Times New Roman"/>
                <w:b w:val="0"/>
                <w:bCs w:val="0"/>
                <w:snapToGrid w:val="0"/>
                <w:color w:val="auto"/>
                <w:kern w:val="32"/>
                <w:sz w:val="24"/>
                <w:szCs w:val="24"/>
                <w:lang w:val="en-US" w:eastAsia="zh-CN" w:bidi="ar-SA"/>
              </w:rPr>
            </w:pPr>
            <w:r>
              <w:rPr>
                <w:rFonts w:hint="eastAsia"/>
                <w:snapToGrid w:val="0"/>
                <w:color w:val="auto"/>
                <w:kern w:val="32"/>
                <w:sz w:val="24"/>
              </w:rPr>
              <w:t>项目所在区域的环境质量底线为：</w:t>
            </w:r>
            <w:r>
              <w:rPr>
                <w:rFonts w:hint="eastAsia"/>
                <w:snapToGrid w:val="0"/>
                <w:color w:val="auto"/>
                <w:kern w:val="32"/>
                <w:sz w:val="24"/>
                <w:lang w:val="en-US" w:eastAsia="zh-CN"/>
              </w:rPr>
              <w:t>地表</w:t>
            </w:r>
            <w:r>
              <w:rPr>
                <w:rFonts w:hint="eastAsia"/>
                <w:snapToGrid w:val="0"/>
                <w:color w:val="auto"/>
                <w:kern w:val="32"/>
                <w:sz w:val="24"/>
              </w:rPr>
              <w:t>水环境质量目标为《地表水环境质量标准》（GB3838-2002）Ⅲ类标准要求；</w:t>
            </w:r>
            <w:r>
              <w:rPr>
                <w:rFonts w:hint="default" w:ascii="Times New Roman" w:hAnsi="Times New Roman" w:cs="Times New Roman"/>
                <w:snapToGrid w:val="0"/>
                <w:color w:val="auto"/>
                <w:sz w:val="24"/>
              </w:rPr>
              <w:t>地下水</w:t>
            </w:r>
            <w:r>
              <w:rPr>
                <w:rFonts w:hint="eastAsia" w:ascii="Times New Roman" w:hAnsi="Times New Roman" w:cs="Times New Roman"/>
                <w:snapToGrid w:val="0"/>
                <w:color w:val="auto"/>
                <w:sz w:val="24"/>
                <w:lang w:val="en-US" w:eastAsia="zh-CN"/>
              </w:rPr>
              <w:t>环境质量标准为</w:t>
            </w:r>
            <w:r>
              <w:rPr>
                <w:rFonts w:hint="default" w:ascii="Times New Roman" w:hAnsi="Times New Roman" w:cs="Times New Roman"/>
                <w:snapToGrid w:val="0"/>
                <w:color w:val="auto"/>
                <w:sz w:val="24"/>
              </w:rPr>
              <w:t>《地下水质量标准》（GB/T 14848-2017）III类标准</w:t>
            </w:r>
            <w:r>
              <w:rPr>
                <w:rFonts w:hint="eastAsia" w:ascii="Times New Roman" w:hAnsi="Times New Roman" w:cs="Times New Roman"/>
                <w:snapToGrid w:val="0"/>
                <w:color w:val="auto"/>
                <w:sz w:val="24"/>
                <w:lang w:eastAsia="zh-CN"/>
              </w:rPr>
              <w:t>，</w:t>
            </w:r>
            <w:r>
              <w:rPr>
                <w:rFonts w:hint="eastAsia"/>
                <w:snapToGrid w:val="0"/>
                <w:color w:val="auto"/>
                <w:kern w:val="32"/>
                <w:sz w:val="24"/>
              </w:rPr>
              <w:t>环境空气质量目标为《环境空气质量标准》（GB3095-2012）中二级标准要求；四周边界的昼间和夜间的声环境质量目标为《声环境质量标准》（GB3096-2008）</w:t>
            </w:r>
            <w:r>
              <w:rPr>
                <w:rFonts w:hint="eastAsia"/>
                <w:snapToGrid w:val="0"/>
                <w:color w:val="auto"/>
                <w:kern w:val="32"/>
                <w:sz w:val="24"/>
                <w:lang w:val="en-US" w:eastAsia="zh-CN"/>
              </w:rPr>
              <w:t>1</w:t>
            </w:r>
            <w:r>
              <w:rPr>
                <w:rFonts w:hint="eastAsia"/>
                <w:snapToGrid w:val="0"/>
                <w:color w:val="auto"/>
                <w:kern w:val="32"/>
                <w:sz w:val="24"/>
              </w:rPr>
              <w:t>类。</w:t>
            </w:r>
            <w:r>
              <w:rPr>
                <w:rFonts w:hint="eastAsia" w:ascii="Times New Roman" w:hAnsi="Times New Roman" w:eastAsia="宋体" w:cs="Times New Roman"/>
                <w:b w:val="0"/>
                <w:bCs w:val="0"/>
                <w:snapToGrid w:val="0"/>
                <w:color w:val="auto"/>
                <w:kern w:val="32"/>
                <w:sz w:val="24"/>
                <w:szCs w:val="24"/>
                <w:lang w:val="en-US" w:eastAsia="zh-CN" w:bidi="ar-SA"/>
              </w:rPr>
              <w:t>鉴于本项目周边主要是</w:t>
            </w:r>
            <w:r>
              <w:rPr>
                <w:rFonts w:hint="eastAsia" w:cs="Times New Roman"/>
                <w:b w:val="0"/>
                <w:bCs w:val="0"/>
                <w:snapToGrid w:val="0"/>
                <w:color w:val="auto"/>
                <w:kern w:val="32"/>
                <w:sz w:val="24"/>
                <w:szCs w:val="24"/>
                <w:lang w:val="en-US" w:eastAsia="zh-CN" w:bidi="ar-SA"/>
              </w:rPr>
              <w:t>学校和</w:t>
            </w:r>
            <w:r>
              <w:rPr>
                <w:rFonts w:hint="eastAsia" w:ascii="Times New Roman" w:hAnsi="Times New Roman" w:eastAsia="宋体" w:cs="Times New Roman"/>
                <w:b w:val="0"/>
                <w:bCs w:val="0"/>
                <w:snapToGrid w:val="0"/>
                <w:color w:val="auto"/>
                <w:kern w:val="32"/>
                <w:sz w:val="24"/>
                <w:szCs w:val="24"/>
                <w:lang w:val="en-US" w:eastAsia="zh-CN" w:bidi="ar-SA"/>
              </w:rPr>
              <w:t>居民区，根据</w:t>
            </w:r>
            <w:r>
              <w:rPr>
                <w:rFonts w:hint="eastAsia"/>
                <w:snapToGrid w:val="0"/>
                <w:color w:val="auto"/>
                <w:kern w:val="32"/>
                <w:sz w:val="24"/>
              </w:rPr>
              <w:t>《声环境质量标准》</w:t>
            </w:r>
            <w:r>
              <w:rPr>
                <w:rFonts w:hint="eastAsia"/>
                <w:snapToGrid w:val="0"/>
                <w:color w:val="auto"/>
                <w:kern w:val="32"/>
                <w:sz w:val="24"/>
                <w:lang w:val="en-US" w:eastAsia="zh-CN"/>
              </w:rPr>
              <w:t>声环境功能区分类，</w:t>
            </w:r>
            <w:r>
              <w:rPr>
                <w:rFonts w:hint="eastAsia" w:ascii="Times New Roman" w:hAnsi="Times New Roman" w:eastAsia="宋体" w:cs="Times New Roman"/>
                <w:b w:val="0"/>
                <w:bCs w:val="0"/>
                <w:snapToGrid w:val="0"/>
                <w:color w:val="auto"/>
                <w:kern w:val="32"/>
                <w:sz w:val="24"/>
                <w:szCs w:val="24"/>
                <w:lang w:val="en-US" w:eastAsia="zh-CN" w:bidi="ar-SA"/>
              </w:rPr>
              <w:t>1类声环境功能区主要指以居民住宅、医疗卫生、文化教育、科研设计、行政办公为主要功能，需要保持安静的区域，因此本项目执行1类区标准。</w:t>
            </w:r>
          </w:p>
          <w:p w14:paraId="580970DA">
            <w:pPr>
              <w:adjustRightInd w:val="0"/>
              <w:snapToGrid w:val="0"/>
              <w:spacing w:line="360" w:lineRule="auto"/>
              <w:ind w:firstLine="480" w:firstLineChars="200"/>
              <w:jc w:val="left"/>
              <w:rPr>
                <w:snapToGrid w:val="0"/>
                <w:color w:val="auto"/>
                <w:kern w:val="32"/>
                <w:sz w:val="24"/>
              </w:rPr>
            </w:pPr>
            <w:r>
              <w:rPr>
                <w:rFonts w:hint="eastAsia"/>
                <w:snapToGrid w:val="0"/>
                <w:color w:val="auto"/>
                <w:kern w:val="32"/>
                <w:sz w:val="24"/>
              </w:rPr>
              <w:t>本项目对产生的废气、废水均采取相应的治理措施后达标排放，固废做到无害化处置，采取本环评提出的相关防治措施后，本项目排放的污染物不会突破区域环境质量底线要求。</w:t>
            </w:r>
          </w:p>
          <w:p w14:paraId="449FF889">
            <w:pPr>
              <w:adjustRightInd w:val="0"/>
              <w:snapToGrid w:val="0"/>
              <w:spacing w:line="360" w:lineRule="auto"/>
              <w:ind w:firstLine="480" w:firstLineChars="200"/>
              <w:jc w:val="left"/>
              <w:rPr>
                <w:snapToGrid w:val="0"/>
                <w:color w:val="auto"/>
                <w:kern w:val="32"/>
                <w:sz w:val="24"/>
              </w:rPr>
            </w:pPr>
            <w:r>
              <w:rPr>
                <w:rFonts w:hint="eastAsia"/>
                <w:snapToGrid w:val="0"/>
                <w:color w:val="auto"/>
                <w:kern w:val="32"/>
                <w:sz w:val="24"/>
              </w:rPr>
              <w:t>（3）资源利用上线</w:t>
            </w:r>
          </w:p>
          <w:p w14:paraId="017EC00C">
            <w:pPr>
              <w:adjustRightInd w:val="0"/>
              <w:snapToGrid w:val="0"/>
              <w:spacing w:line="360" w:lineRule="auto"/>
              <w:ind w:firstLine="480" w:firstLineChars="200"/>
              <w:rPr>
                <w:snapToGrid w:val="0"/>
                <w:color w:val="auto"/>
                <w:kern w:val="32"/>
                <w:sz w:val="24"/>
              </w:rPr>
            </w:pPr>
            <w:r>
              <w:rPr>
                <w:rFonts w:hint="eastAsia"/>
                <w:snapToGrid w:val="0"/>
                <w:color w:val="auto"/>
                <w:kern w:val="32"/>
                <w:sz w:val="24"/>
              </w:rPr>
              <w:t>本项目用水来市政供水管网，用电来自市政供电，原辅材料外购。本项目建成后通过内部管理、原辅材料的选用和管理、废物回收利用和污染治理等多方面采取合理可行的防治措施，以“节能、降耗、减污”为目标，有效控制污染，项目的水气电等资源利用不会突破区域的资源利用上线要求。</w:t>
            </w:r>
          </w:p>
          <w:p w14:paraId="68609736">
            <w:pPr>
              <w:adjustRightInd w:val="0"/>
              <w:snapToGrid w:val="0"/>
              <w:spacing w:line="360" w:lineRule="auto"/>
              <w:ind w:firstLine="480" w:firstLineChars="200"/>
              <w:jc w:val="left"/>
              <w:rPr>
                <w:snapToGrid w:val="0"/>
                <w:color w:val="auto"/>
                <w:kern w:val="32"/>
                <w:sz w:val="24"/>
              </w:rPr>
            </w:pPr>
            <w:r>
              <w:rPr>
                <w:rFonts w:hint="eastAsia"/>
                <w:snapToGrid w:val="0"/>
                <w:color w:val="auto"/>
                <w:kern w:val="32"/>
                <w:sz w:val="24"/>
              </w:rPr>
              <w:t>（4）负面清单</w:t>
            </w:r>
          </w:p>
          <w:p w14:paraId="1B3188C2">
            <w:pPr>
              <w:adjustRightInd w:val="0"/>
              <w:snapToGrid w:val="0"/>
              <w:spacing w:line="360" w:lineRule="auto"/>
              <w:ind w:firstLine="480" w:firstLineChars="200"/>
              <w:rPr>
                <w:rFonts w:hint="eastAsia"/>
                <w:snapToGrid w:val="0"/>
                <w:color w:val="auto"/>
                <w:kern w:val="32"/>
                <w:sz w:val="24"/>
              </w:rPr>
            </w:pPr>
            <w:r>
              <w:rPr>
                <w:rFonts w:hint="eastAsia"/>
                <w:snapToGrid w:val="0"/>
                <w:color w:val="auto"/>
                <w:kern w:val="32"/>
                <w:sz w:val="24"/>
              </w:rPr>
              <w:t>根据《2023年九江市生态环境分区管控成果动态更新研究报告》，以县（市、区）为单位，动态更新后，九江市共划定环境管控单元141个，其中优先保护单元、重点管控单元、一般管控单元分别30个、83和和28个。从面积分布看优先保护单元、重点管控单元、一般管控单元面积分别为8091.07、4154.65和6831.41平方公里，分别占全市国土面积的42.41%、21.78%、35.81%。</w:t>
            </w:r>
          </w:p>
          <w:p w14:paraId="1A8EBB8A">
            <w:pPr>
              <w:adjustRightInd w:val="0"/>
              <w:snapToGrid w:val="0"/>
              <w:spacing w:line="360" w:lineRule="auto"/>
              <w:ind w:firstLine="480" w:firstLineChars="200"/>
              <w:rPr>
                <w:snapToGrid w:val="0"/>
                <w:color w:val="auto"/>
                <w:kern w:val="32"/>
                <w:sz w:val="24"/>
              </w:rPr>
            </w:pPr>
            <w:r>
              <w:rPr>
                <w:rFonts w:hint="eastAsia"/>
                <w:snapToGrid w:val="0"/>
                <w:color w:val="auto"/>
                <w:kern w:val="32"/>
                <w:sz w:val="24"/>
              </w:rPr>
              <w:t>各设区市按照省级管控要求，结合本区域发展格局、生态环境问题及生态环境目标，制定设区市级管控要求和具体管控单元的生态环境准入清单。本项目与“九江市生态环境总体准入清单”的相符性分析详见表1-2，本项目与“九江市“三线一单”分区管控单元生态环境准入清单”相符性分析详见表1-3。</w:t>
            </w:r>
          </w:p>
          <w:p w14:paraId="5CEE9323">
            <w:pPr>
              <w:jc w:val="center"/>
              <w:rPr>
                <w:b/>
                <w:bCs/>
                <w:color w:val="auto"/>
                <w:szCs w:val="21"/>
                <w:lang w:val="zh-CN"/>
              </w:rPr>
            </w:pPr>
            <w:r>
              <w:rPr>
                <w:rFonts w:hint="eastAsia"/>
                <w:b/>
                <w:bCs/>
                <w:color w:val="auto"/>
                <w:szCs w:val="21"/>
                <w:lang w:val="zh-CN"/>
              </w:rPr>
              <w:t>表1-</w:t>
            </w:r>
            <w:r>
              <w:rPr>
                <w:rFonts w:hint="eastAsia"/>
                <w:b/>
                <w:bCs/>
                <w:color w:val="auto"/>
                <w:szCs w:val="21"/>
              </w:rPr>
              <w:t>2</w:t>
            </w:r>
            <w:r>
              <w:rPr>
                <w:rFonts w:hint="eastAsia"/>
                <w:b/>
                <w:bCs/>
                <w:color w:val="auto"/>
                <w:szCs w:val="21"/>
                <w:lang w:val="zh-CN"/>
              </w:rPr>
              <w:t xml:space="preserve">  本项目与“九江市生态环境总体准入清单”符合性分析</w:t>
            </w:r>
          </w:p>
          <w:tbl>
            <w:tblPr>
              <w:tblStyle w:val="17"/>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423"/>
              <w:gridCol w:w="4616"/>
              <w:gridCol w:w="1690"/>
              <w:gridCol w:w="821"/>
            </w:tblGrid>
            <w:tr w14:paraId="749AF93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57" w:hRule="atLeast"/>
                <w:jc w:val="center"/>
              </w:trPr>
              <w:tc>
                <w:tcPr>
                  <w:tcW w:w="280" w:type="pct"/>
                  <w:tcBorders>
                    <w:right w:val="single" w:color="auto" w:sz="4" w:space="0"/>
                  </w:tcBorders>
                  <w:vAlign w:val="center"/>
                </w:tcPr>
                <w:p w14:paraId="0C98E2CE">
                  <w:pPr>
                    <w:jc w:val="center"/>
                    <w:rPr>
                      <w:b/>
                      <w:color w:val="auto"/>
                      <w:szCs w:val="21"/>
                    </w:rPr>
                  </w:pPr>
                  <w:r>
                    <w:rPr>
                      <w:b/>
                      <w:color w:val="auto"/>
                      <w:szCs w:val="21"/>
                    </w:rPr>
                    <w:t>维度</w:t>
                  </w:r>
                </w:p>
              </w:tc>
              <w:tc>
                <w:tcPr>
                  <w:tcW w:w="3056" w:type="pct"/>
                  <w:vAlign w:val="center"/>
                </w:tcPr>
                <w:p w14:paraId="4FBD730D">
                  <w:pPr>
                    <w:jc w:val="center"/>
                    <w:rPr>
                      <w:b/>
                      <w:color w:val="auto"/>
                      <w:szCs w:val="21"/>
                    </w:rPr>
                  </w:pPr>
                  <w:r>
                    <w:rPr>
                      <w:b/>
                      <w:color w:val="auto"/>
                      <w:szCs w:val="21"/>
                    </w:rPr>
                    <w:t>生态环境准入要求</w:t>
                  </w:r>
                </w:p>
              </w:tc>
              <w:tc>
                <w:tcPr>
                  <w:tcW w:w="1119" w:type="pct"/>
                  <w:vAlign w:val="center"/>
                </w:tcPr>
                <w:p w14:paraId="1F85EACA">
                  <w:pPr>
                    <w:jc w:val="center"/>
                    <w:rPr>
                      <w:b/>
                      <w:color w:val="auto"/>
                      <w:szCs w:val="21"/>
                    </w:rPr>
                  </w:pPr>
                  <w:r>
                    <w:rPr>
                      <w:b/>
                      <w:color w:val="auto"/>
                      <w:szCs w:val="21"/>
                    </w:rPr>
                    <w:t>符合性分析</w:t>
                  </w:r>
                </w:p>
              </w:tc>
              <w:tc>
                <w:tcPr>
                  <w:tcW w:w="544" w:type="pct"/>
                  <w:vAlign w:val="center"/>
                </w:tcPr>
                <w:p w14:paraId="74D9C92F">
                  <w:pPr>
                    <w:jc w:val="center"/>
                    <w:rPr>
                      <w:b/>
                      <w:color w:val="auto"/>
                      <w:szCs w:val="21"/>
                    </w:rPr>
                  </w:pPr>
                  <w:r>
                    <w:rPr>
                      <w:b/>
                      <w:color w:val="auto"/>
                      <w:szCs w:val="21"/>
                    </w:rPr>
                    <w:t>是否符合</w:t>
                  </w:r>
                </w:p>
              </w:tc>
            </w:tr>
            <w:tr w14:paraId="6FC1C3E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030" w:hRule="atLeast"/>
                <w:jc w:val="center"/>
              </w:trPr>
              <w:tc>
                <w:tcPr>
                  <w:tcW w:w="280" w:type="pct"/>
                  <w:vMerge w:val="restart"/>
                  <w:tcBorders>
                    <w:right w:val="single" w:color="auto" w:sz="4" w:space="0"/>
                  </w:tcBorders>
                  <w:vAlign w:val="center"/>
                </w:tcPr>
                <w:p w14:paraId="757053D4">
                  <w:pPr>
                    <w:rPr>
                      <w:color w:val="auto"/>
                      <w:szCs w:val="21"/>
                    </w:rPr>
                  </w:pPr>
                  <w:r>
                    <w:rPr>
                      <w:color w:val="auto"/>
                      <w:szCs w:val="21"/>
                    </w:rPr>
                    <w:t>空间布局约束</w:t>
                  </w:r>
                </w:p>
              </w:tc>
              <w:tc>
                <w:tcPr>
                  <w:tcW w:w="3056" w:type="pct"/>
                  <w:vAlign w:val="center"/>
                </w:tcPr>
                <w:p w14:paraId="4F358D82">
                  <w:pPr>
                    <w:rPr>
                      <w:color w:val="auto"/>
                      <w:szCs w:val="21"/>
                    </w:rPr>
                  </w:pPr>
                  <w:r>
                    <w:rPr>
                      <w:color w:val="auto"/>
                      <w:szCs w:val="21"/>
                    </w:rPr>
                    <w:t>1、</w:t>
                  </w:r>
                  <w:r>
                    <w:rPr>
                      <w:color w:val="auto"/>
                      <w:szCs w:val="21"/>
                      <w:lang w:val="zh-CN"/>
                    </w:rPr>
                    <w:t>强化燃煤锅炉废气精细管控，不再审批35蒸吨/小时以下燃煤锅炉，不再新增燃煤导热油炉，鼓励现有燃煤锅炉、导热油炉改为清洁能源。</w:t>
                  </w:r>
                </w:p>
              </w:tc>
              <w:tc>
                <w:tcPr>
                  <w:tcW w:w="1119" w:type="pct"/>
                  <w:vAlign w:val="center"/>
                </w:tcPr>
                <w:p w14:paraId="44AD54DA">
                  <w:pPr>
                    <w:jc w:val="center"/>
                    <w:rPr>
                      <w:color w:val="auto"/>
                      <w:szCs w:val="21"/>
                    </w:rPr>
                  </w:pPr>
                  <w:r>
                    <w:rPr>
                      <w:color w:val="auto"/>
                      <w:szCs w:val="21"/>
                    </w:rPr>
                    <w:t>本项目不使用燃煤锅炉</w:t>
                  </w:r>
                  <w:r>
                    <w:rPr>
                      <w:color w:val="auto"/>
                      <w:kern w:val="0"/>
                      <w:szCs w:val="21"/>
                      <w:lang w:bidi="ar"/>
                    </w:rPr>
                    <w:t>。</w:t>
                  </w:r>
                </w:p>
              </w:tc>
              <w:tc>
                <w:tcPr>
                  <w:tcW w:w="544" w:type="pct"/>
                  <w:vAlign w:val="center"/>
                </w:tcPr>
                <w:p w14:paraId="6CE57165">
                  <w:pPr>
                    <w:jc w:val="center"/>
                    <w:rPr>
                      <w:color w:val="auto"/>
                      <w:szCs w:val="21"/>
                    </w:rPr>
                  </w:pPr>
                  <w:r>
                    <w:rPr>
                      <w:color w:val="auto"/>
                      <w:szCs w:val="21"/>
                    </w:rPr>
                    <w:t>符合</w:t>
                  </w:r>
                </w:p>
              </w:tc>
            </w:tr>
            <w:tr w14:paraId="0206B12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236" w:hRule="atLeast"/>
                <w:jc w:val="center"/>
              </w:trPr>
              <w:tc>
                <w:tcPr>
                  <w:tcW w:w="280" w:type="pct"/>
                  <w:vMerge w:val="continue"/>
                  <w:tcBorders>
                    <w:right w:val="single" w:color="auto" w:sz="4" w:space="0"/>
                  </w:tcBorders>
                  <w:vAlign w:val="center"/>
                </w:tcPr>
                <w:p w14:paraId="0FF42D34">
                  <w:pPr>
                    <w:rPr>
                      <w:color w:val="auto"/>
                      <w:szCs w:val="21"/>
                    </w:rPr>
                  </w:pPr>
                </w:p>
              </w:tc>
              <w:tc>
                <w:tcPr>
                  <w:tcW w:w="3056" w:type="pct"/>
                  <w:vAlign w:val="center"/>
                </w:tcPr>
                <w:p w14:paraId="58A15AF6">
                  <w:pPr>
                    <w:rPr>
                      <w:color w:val="auto"/>
                      <w:szCs w:val="21"/>
                    </w:rPr>
                  </w:pPr>
                  <w:r>
                    <w:rPr>
                      <w:color w:val="auto"/>
                      <w:szCs w:val="21"/>
                    </w:rPr>
                    <w:t>2、</w:t>
                  </w:r>
                  <w:r>
                    <w:rPr>
                      <w:color w:val="auto"/>
                      <w:szCs w:val="21"/>
                      <w:lang w:val="zh-CN"/>
                    </w:rPr>
                    <w:t>禁止新、扩建不符合国家产业布局规划的石化、现代煤化工项目和不符合国家产能置换要求的严重产能过剩项目。禁止新建、扩建不符合要求的高耗能高排放项目。</w:t>
                  </w:r>
                </w:p>
              </w:tc>
              <w:tc>
                <w:tcPr>
                  <w:tcW w:w="1119" w:type="pct"/>
                  <w:vAlign w:val="center"/>
                </w:tcPr>
                <w:p w14:paraId="0CC2D51C">
                  <w:pPr>
                    <w:jc w:val="center"/>
                    <w:rPr>
                      <w:color w:val="auto"/>
                      <w:szCs w:val="21"/>
                      <w:lang w:val="zh-CN"/>
                    </w:rPr>
                  </w:pPr>
                  <w:r>
                    <w:rPr>
                      <w:color w:val="auto"/>
                      <w:szCs w:val="21"/>
                    </w:rPr>
                    <w:t>本项目不属于此类项目。</w:t>
                  </w:r>
                </w:p>
              </w:tc>
              <w:tc>
                <w:tcPr>
                  <w:tcW w:w="544" w:type="pct"/>
                  <w:vAlign w:val="center"/>
                </w:tcPr>
                <w:p w14:paraId="4104A06E">
                  <w:pPr>
                    <w:jc w:val="center"/>
                    <w:rPr>
                      <w:color w:val="auto"/>
                      <w:szCs w:val="21"/>
                    </w:rPr>
                  </w:pPr>
                  <w:r>
                    <w:rPr>
                      <w:color w:val="auto"/>
                      <w:szCs w:val="21"/>
                    </w:rPr>
                    <w:t>符合</w:t>
                  </w:r>
                </w:p>
              </w:tc>
            </w:tr>
            <w:tr w14:paraId="53EAC9A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atLeast"/>
                <w:jc w:val="center"/>
              </w:trPr>
              <w:tc>
                <w:tcPr>
                  <w:tcW w:w="280" w:type="pct"/>
                  <w:vMerge w:val="continue"/>
                  <w:tcBorders>
                    <w:right w:val="single" w:color="auto" w:sz="4" w:space="0"/>
                  </w:tcBorders>
                  <w:vAlign w:val="center"/>
                </w:tcPr>
                <w:p w14:paraId="0FADECD9">
                  <w:pPr>
                    <w:jc w:val="center"/>
                    <w:rPr>
                      <w:color w:val="auto"/>
                      <w:szCs w:val="21"/>
                    </w:rPr>
                  </w:pPr>
                </w:p>
              </w:tc>
              <w:tc>
                <w:tcPr>
                  <w:tcW w:w="3056" w:type="pct"/>
                  <w:vAlign w:val="center"/>
                </w:tcPr>
                <w:p w14:paraId="2F176A85">
                  <w:pPr>
                    <w:jc w:val="left"/>
                    <w:rPr>
                      <w:color w:val="auto"/>
                      <w:szCs w:val="21"/>
                      <w:lang w:val="zh-CN"/>
                    </w:rPr>
                  </w:pPr>
                  <w:r>
                    <w:rPr>
                      <w:color w:val="auto"/>
                      <w:szCs w:val="21"/>
                    </w:rPr>
                    <w:t>3、</w:t>
                  </w:r>
                  <w:r>
                    <w:rPr>
                      <w:color w:val="auto"/>
                      <w:szCs w:val="21"/>
                      <w:lang w:val="zh-CN"/>
                    </w:rPr>
                    <w:t>长江干流九江段、修河干流及鄱阳湖岸线1公里范围内禁止新建化工、造纸、印染、制革、冶炼等重污染项目。</w:t>
                  </w:r>
                </w:p>
              </w:tc>
              <w:tc>
                <w:tcPr>
                  <w:tcW w:w="1119" w:type="pct"/>
                  <w:vAlign w:val="center"/>
                </w:tcPr>
                <w:p w14:paraId="249F9588">
                  <w:pPr>
                    <w:jc w:val="center"/>
                    <w:rPr>
                      <w:color w:val="auto"/>
                      <w:szCs w:val="21"/>
                    </w:rPr>
                  </w:pPr>
                  <w:r>
                    <w:rPr>
                      <w:color w:val="auto"/>
                      <w:szCs w:val="21"/>
                    </w:rPr>
                    <w:t>项目不在</w:t>
                  </w:r>
                  <w:r>
                    <w:rPr>
                      <w:color w:val="auto"/>
                      <w:szCs w:val="21"/>
                      <w:lang w:val="zh-CN"/>
                    </w:rPr>
                    <w:t>长江干流九江段、修河干流及鄱阳湖岸线1公里范围内</w:t>
                  </w:r>
                </w:p>
              </w:tc>
              <w:tc>
                <w:tcPr>
                  <w:tcW w:w="544" w:type="pct"/>
                  <w:vAlign w:val="center"/>
                </w:tcPr>
                <w:p w14:paraId="50FCF109">
                  <w:pPr>
                    <w:jc w:val="center"/>
                    <w:rPr>
                      <w:color w:val="auto"/>
                      <w:szCs w:val="21"/>
                    </w:rPr>
                  </w:pPr>
                  <w:r>
                    <w:rPr>
                      <w:color w:val="auto"/>
                      <w:szCs w:val="21"/>
                    </w:rPr>
                    <w:t>符合</w:t>
                  </w:r>
                </w:p>
              </w:tc>
            </w:tr>
            <w:tr w14:paraId="5FBE67C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221" w:hRule="atLeast"/>
                <w:jc w:val="center"/>
              </w:trPr>
              <w:tc>
                <w:tcPr>
                  <w:tcW w:w="280" w:type="pct"/>
                  <w:vMerge w:val="continue"/>
                  <w:tcBorders>
                    <w:right w:val="single" w:color="auto" w:sz="4" w:space="0"/>
                  </w:tcBorders>
                  <w:vAlign w:val="center"/>
                </w:tcPr>
                <w:p w14:paraId="09323613">
                  <w:pPr>
                    <w:jc w:val="center"/>
                    <w:rPr>
                      <w:color w:val="auto"/>
                      <w:szCs w:val="21"/>
                    </w:rPr>
                  </w:pPr>
                </w:p>
              </w:tc>
              <w:tc>
                <w:tcPr>
                  <w:tcW w:w="3056" w:type="pct"/>
                  <w:vAlign w:val="center"/>
                </w:tcPr>
                <w:p w14:paraId="694746A7">
                  <w:pPr>
                    <w:jc w:val="left"/>
                    <w:rPr>
                      <w:color w:val="auto"/>
                      <w:szCs w:val="21"/>
                      <w:lang w:val="zh-CN"/>
                    </w:rPr>
                  </w:pPr>
                  <w:r>
                    <w:rPr>
                      <w:color w:val="auto"/>
                      <w:szCs w:val="21"/>
                    </w:rPr>
                    <w:t>4、</w:t>
                  </w:r>
                  <w:r>
                    <w:rPr>
                      <w:color w:val="auto"/>
                      <w:szCs w:val="21"/>
                      <w:lang w:val="zh-CN"/>
                    </w:rPr>
                    <w:t>禁止在长江干支流、重要湖泊岸线一公里范围内新建、扩建化工园区和化工项目。</w:t>
                  </w:r>
                </w:p>
              </w:tc>
              <w:tc>
                <w:tcPr>
                  <w:tcW w:w="1119" w:type="pct"/>
                  <w:vAlign w:val="center"/>
                </w:tcPr>
                <w:p w14:paraId="04FCF9F7">
                  <w:pPr>
                    <w:jc w:val="center"/>
                    <w:rPr>
                      <w:color w:val="auto"/>
                      <w:szCs w:val="21"/>
                    </w:rPr>
                  </w:pPr>
                  <w:r>
                    <w:rPr>
                      <w:color w:val="auto"/>
                      <w:szCs w:val="21"/>
                    </w:rPr>
                    <w:t>项目不</w:t>
                  </w:r>
                  <w:r>
                    <w:rPr>
                      <w:color w:val="auto"/>
                      <w:szCs w:val="21"/>
                      <w:lang w:val="zh-CN"/>
                    </w:rPr>
                    <w:t>在长江干支流、重要湖泊岸线一公里范围内，</w:t>
                  </w:r>
                  <w:r>
                    <w:rPr>
                      <w:color w:val="auto"/>
                      <w:szCs w:val="21"/>
                    </w:rPr>
                    <w:t>且不属于化工项目</w:t>
                  </w:r>
                  <w:r>
                    <w:rPr>
                      <w:color w:val="auto"/>
                      <w:kern w:val="0"/>
                      <w:szCs w:val="21"/>
                      <w:lang w:bidi="ar"/>
                    </w:rPr>
                    <w:t>。</w:t>
                  </w:r>
                </w:p>
              </w:tc>
              <w:tc>
                <w:tcPr>
                  <w:tcW w:w="544" w:type="pct"/>
                  <w:vAlign w:val="center"/>
                </w:tcPr>
                <w:p w14:paraId="542FAF14">
                  <w:pPr>
                    <w:jc w:val="center"/>
                    <w:rPr>
                      <w:color w:val="auto"/>
                      <w:szCs w:val="21"/>
                    </w:rPr>
                  </w:pPr>
                  <w:r>
                    <w:rPr>
                      <w:color w:val="auto"/>
                      <w:szCs w:val="21"/>
                    </w:rPr>
                    <w:t>符合</w:t>
                  </w:r>
                </w:p>
              </w:tc>
            </w:tr>
            <w:tr w14:paraId="0EB9BC3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0" w:hRule="atLeast"/>
                <w:jc w:val="center"/>
              </w:trPr>
              <w:tc>
                <w:tcPr>
                  <w:tcW w:w="280" w:type="pct"/>
                  <w:vMerge w:val="continue"/>
                  <w:tcBorders>
                    <w:right w:val="single" w:color="auto" w:sz="4" w:space="0"/>
                  </w:tcBorders>
                  <w:vAlign w:val="center"/>
                </w:tcPr>
                <w:p w14:paraId="50A472C4">
                  <w:pPr>
                    <w:pStyle w:val="51"/>
                    <w:rPr>
                      <w:rFonts w:ascii="Times New Roman" w:hAnsi="Times New Roman" w:eastAsia="宋体"/>
                      <w:color w:val="auto"/>
                      <w:sz w:val="21"/>
                      <w:szCs w:val="21"/>
                    </w:rPr>
                  </w:pPr>
                </w:p>
              </w:tc>
              <w:tc>
                <w:tcPr>
                  <w:tcW w:w="3056" w:type="pct"/>
                  <w:vAlign w:val="center"/>
                </w:tcPr>
                <w:p w14:paraId="6D36F223">
                  <w:pPr>
                    <w:jc w:val="left"/>
                    <w:rPr>
                      <w:b/>
                      <w:color w:val="auto"/>
                      <w:spacing w:val="10"/>
                      <w:szCs w:val="21"/>
                    </w:rPr>
                  </w:pPr>
                  <w:r>
                    <w:rPr>
                      <w:color w:val="auto"/>
                      <w:szCs w:val="21"/>
                    </w:rPr>
                    <w:t>5、</w:t>
                  </w:r>
                  <w:r>
                    <w:rPr>
                      <w:color w:val="auto"/>
                      <w:szCs w:val="21"/>
                      <w:lang w:val="zh-CN"/>
                    </w:rPr>
                    <w:t>禁止在城市湖泊水域范围内建设除防洪、改善水生态环境、跨湖桥梁、湖底隧道之外的建筑物、构筑物。</w:t>
                  </w:r>
                </w:p>
              </w:tc>
              <w:tc>
                <w:tcPr>
                  <w:tcW w:w="1119" w:type="pct"/>
                  <w:vAlign w:val="center"/>
                </w:tcPr>
                <w:p w14:paraId="535823E3">
                  <w:pPr>
                    <w:jc w:val="center"/>
                    <w:rPr>
                      <w:color w:val="auto"/>
                      <w:szCs w:val="21"/>
                    </w:rPr>
                  </w:pPr>
                  <w:r>
                    <w:rPr>
                      <w:color w:val="auto"/>
                      <w:szCs w:val="21"/>
                    </w:rPr>
                    <w:t>项目未</w:t>
                  </w:r>
                  <w:r>
                    <w:rPr>
                      <w:color w:val="auto"/>
                      <w:szCs w:val="21"/>
                      <w:lang w:val="zh-CN"/>
                    </w:rPr>
                    <w:t>在城市湖泊水域范围内</w:t>
                  </w:r>
                  <w:r>
                    <w:rPr>
                      <w:color w:val="auto"/>
                      <w:kern w:val="0"/>
                      <w:szCs w:val="21"/>
                      <w:lang w:bidi="ar"/>
                    </w:rPr>
                    <w:t>。</w:t>
                  </w:r>
                </w:p>
              </w:tc>
              <w:tc>
                <w:tcPr>
                  <w:tcW w:w="544" w:type="pct"/>
                  <w:vAlign w:val="center"/>
                </w:tcPr>
                <w:p w14:paraId="41AF4836">
                  <w:pPr>
                    <w:jc w:val="center"/>
                    <w:rPr>
                      <w:color w:val="auto"/>
                      <w:szCs w:val="21"/>
                    </w:rPr>
                  </w:pPr>
                  <w:r>
                    <w:rPr>
                      <w:color w:val="auto"/>
                      <w:szCs w:val="21"/>
                    </w:rPr>
                    <w:t>符合</w:t>
                  </w:r>
                </w:p>
              </w:tc>
            </w:tr>
            <w:tr w14:paraId="3692761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164" w:hRule="atLeast"/>
                <w:jc w:val="center"/>
              </w:trPr>
              <w:tc>
                <w:tcPr>
                  <w:tcW w:w="280" w:type="pct"/>
                  <w:vMerge w:val="continue"/>
                  <w:tcBorders>
                    <w:right w:val="single" w:color="auto" w:sz="4" w:space="0"/>
                  </w:tcBorders>
                  <w:vAlign w:val="center"/>
                </w:tcPr>
                <w:p w14:paraId="7C3F91E7">
                  <w:pPr>
                    <w:jc w:val="center"/>
                    <w:rPr>
                      <w:b/>
                      <w:color w:val="auto"/>
                      <w:spacing w:val="10"/>
                      <w:szCs w:val="21"/>
                    </w:rPr>
                  </w:pPr>
                </w:p>
              </w:tc>
              <w:tc>
                <w:tcPr>
                  <w:tcW w:w="3056" w:type="pct"/>
                  <w:vAlign w:val="center"/>
                </w:tcPr>
                <w:p w14:paraId="3BE709F8">
                  <w:pPr>
                    <w:jc w:val="left"/>
                    <w:rPr>
                      <w:color w:val="auto"/>
                      <w:szCs w:val="21"/>
                      <w:lang w:val="zh-CN"/>
                    </w:rPr>
                  </w:pPr>
                  <w:r>
                    <w:rPr>
                      <w:color w:val="auto"/>
                      <w:szCs w:val="21"/>
                    </w:rPr>
                    <w:t>6、</w:t>
                  </w:r>
                  <w:r>
                    <w:rPr>
                      <w:color w:val="auto"/>
                      <w:szCs w:val="21"/>
                      <w:lang w:val="zh-CN"/>
                    </w:rPr>
                    <w:t>禁止在合规园区外新建、扩建钢铁、石化、化工、焦化、建材、有色、制浆造纸等高污染项目。</w:t>
                  </w:r>
                </w:p>
              </w:tc>
              <w:tc>
                <w:tcPr>
                  <w:tcW w:w="1119" w:type="pct"/>
                  <w:vAlign w:val="center"/>
                </w:tcPr>
                <w:p w14:paraId="04E18418">
                  <w:pPr>
                    <w:jc w:val="center"/>
                    <w:rPr>
                      <w:color w:val="auto"/>
                      <w:szCs w:val="21"/>
                    </w:rPr>
                  </w:pPr>
                  <w:r>
                    <w:rPr>
                      <w:color w:val="auto"/>
                      <w:szCs w:val="21"/>
                    </w:rPr>
                    <w:t>本项目不属于高污染项目</w:t>
                  </w:r>
                  <w:r>
                    <w:rPr>
                      <w:color w:val="auto"/>
                      <w:kern w:val="0"/>
                      <w:szCs w:val="21"/>
                      <w:lang w:bidi="ar"/>
                    </w:rPr>
                    <w:t>。</w:t>
                  </w:r>
                </w:p>
              </w:tc>
              <w:tc>
                <w:tcPr>
                  <w:tcW w:w="544" w:type="pct"/>
                  <w:vAlign w:val="center"/>
                </w:tcPr>
                <w:p w14:paraId="6AC6BDB7">
                  <w:pPr>
                    <w:jc w:val="center"/>
                    <w:rPr>
                      <w:color w:val="auto"/>
                      <w:szCs w:val="21"/>
                    </w:rPr>
                  </w:pPr>
                  <w:r>
                    <w:rPr>
                      <w:color w:val="auto"/>
                      <w:szCs w:val="21"/>
                    </w:rPr>
                    <w:t>符合</w:t>
                  </w:r>
                </w:p>
              </w:tc>
            </w:tr>
            <w:tr w14:paraId="6B3A57D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005" w:hRule="atLeast"/>
                <w:jc w:val="center"/>
              </w:trPr>
              <w:tc>
                <w:tcPr>
                  <w:tcW w:w="280" w:type="pct"/>
                  <w:vMerge w:val="continue"/>
                  <w:tcBorders>
                    <w:right w:val="single" w:color="auto" w:sz="4" w:space="0"/>
                  </w:tcBorders>
                  <w:vAlign w:val="center"/>
                </w:tcPr>
                <w:p w14:paraId="7C952B55">
                  <w:pPr>
                    <w:jc w:val="center"/>
                    <w:rPr>
                      <w:b/>
                      <w:color w:val="auto"/>
                      <w:spacing w:val="10"/>
                      <w:szCs w:val="21"/>
                    </w:rPr>
                  </w:pPr>
                </w:p>
              </w:tc>
              <w:tc>
                <w:tcPr>
                  <w:tcW w:w="3056" w:type="pct"/>
                  <w:vAlign w:val="center"/>
                </w:tcPr>
                <w:p w14:paraId="32AB97BF">
                  <w:pPr>
                    <w:jc w:val="left"/>
                    <w:rPr>
                      <w:color w:val="auto"/>
                      <w:szCs w:val="21"/>
                      <w:lang w:val="zh-CN"/>
                    </w:rPr>
                  </w:pPr>
                  <w:r>
                    <w:rPr>
                      <w:color w:val="auto"/>
                      <w:szCs w:val="21"/>
                    </w:rPr>
                    <w:t>7、</w:t>
                  </w:r>
                  <w:r>
                    <w:rPr>
                      <w:color w:val="auto"/>
                      <w:szCs w:val="21"/>
                      <w:lang w:val="zh-CN"/>
                    </w:rPr>
                    <w:t>对不符合产业政策要求以及环境风险、安全隐患突出而又无法搬迁或转型企业，依法实施关停。</w:t>
                  </w:r>
                </w:p>
              </w:tc>
              <w:tc>
                <w:tcPr>
                  <w:tcW w:w="1119" w:type="pct"/>
                  <w:vAlign w:val="center"/>
                </w:tcPr>
                <w:p w14:paraId="0ABF1586">
                  <w:pPr>
                    <w:jc w:val="center"/>
                    <w:rPr>
                      <w:color w:val="auto"/>
                      <w:szCs w:val="21"/>
                    </w:rPr>
                  </w:pPr>
                  <w:r>
                    <w:rPr>
                      <w:color w:val="auto"/>
                      <w:szCs w:val="21"/>
                    </w:rPr>
                    <w:t>项目符合产业政策要求</w:t>
                  </w:r>
                  <w:r>
                    <w:rPr>
                      <w:color w:val="auto"/>
                      <w:kern w:val="0"/>
                      <w:szCs w:val="21"/>
                      <w:lang w:bidi="ar"/>
                    </w:rPr>
                    <w:t>。</w:t>
                  </w:r>
                </w:p>
              </w:tc>
              <w:tc>
                <w:tcPr>
                  <w:tcW w:w="544" w:type="pct"/>
                  <w:vAlign w:val="center"/>
                </w:tcPr>
                <w:p w14:paraId="58C61BFA">
                  <w:pPr>
                    <w:jc w:val="center"/>
                    <w:rPr>
                      <w:color w:val="auto"/>
                      <w:szCs w:val="21"/>
                    </w:rPr>
                  </w:pPr>
                  <w:r>
                    <w:rPr>
                      <w:color w:val="auto"/>
                      <w:szCs w:val="21"/>
                    </w:rPr>
                    <w:t>符合</w:t>
                  </w:r>
                </w:p>
              </w:tc>
            </w:tr>
            <w:tr w14:paraId="1F98ADE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164" w:hRule="atLeast"/>
                <w:jc w:val="center"/>
              </w:trPr>
              <w:tc>
                <w:tcPr>
                  <w:tcW w:w="280" w:type="pct"/>
                  <w:vMerge w:val="continue"/>
                  <w:tcBorders>
                    <w:right w:val="single" w:color="auto" w:sz="4" w:space="0"/>
                  </w:tcBorders>
                  <w:vAlign w:val="center"/>
                </w:tcPr>
                <w:p w14:paraId="3ADE88DD">
                  <w:pPr>
                    <w:jc w:val="center"/>
                    <w:rPr>
                      <w:b/>
                      <w:color w:val="auto"/>
                      <w:spacing w:val="10"/>
                      <w:szCs w:val="21"/>
                    </w:rPr>
                  </w:pPr>
                </w:p>
              </w:tc>
              <w:tc>
                <w:tcPr>
                  <w:tcW w:w="3056" w:type="pct"/>
                  <w:vAlign w:val="center"/>
                </w:tcPr>
                <w:p w14:paraId="7127F7D4">
                  <w:pPr>
                    <w:jc w:val="left"/>
                    <w:rPr>
                      <w:color w:val="auto"/>
                      <w:szCs w:val="21"/>
                      <w:lang w:val="zh-CN"/>
                    </w:rPr>
                  </w:pPr>
                  <w:r>
                    <w:rPr>
                      <w:color w:val="auto"/>
                      <w:szCs w:val="21"/>
                    </w:rPr>
                    <w:t>8、</w:t>
                  </w:r>
                  <w:r>
                    <w:rPr>
                      <w:color w:val="auto"/>
                      <w:szCs w:val="21"/>
                      <w:lang w:val="zh-CN"/>
                    </w:rPr>
                    <w:t>城市建成区内的现有污染较重或严重影响环境的企业应有序搬迁改造或依法关闭。</w:t>
                  </w:r>
                </w:p>
              </w:tc>
              <w:tc>
                <w:tcPr>
                  <w:tcW w:w="1119" w:type="pct"/>
                  <w:vAlign w:val="center"/>
                </w:tcPr>
                <w:p w14:paraId="266E7EB8">
                  <w:pPr>
                    <w:jc w:val="center"/>
                    <w:rPr>
                      <w:color w:val="auto"/>
                      <w:szCs w:val="21"/>
                    </w:rPr>
                  </w:pPr>
                  <w:r>
                    <w:rPr>
                      <w:color w:val="auto"/>
                      <w:szCs w:val="21"/>
                    </w:rPr>
                    <w:t>项目建设单位不属于</w:t>
                  </w:r>
                  <w:r>
                    <w:rPr>
                      <w:color w:val="auto"/>
                      <w:szCs w:val="21"/>
                      <w:lang w:val="zh-CN"/>
                    </w:rPr>
                    <w:t>污染较重或严重影响环境的企业</w:t>
                  </w:r>
                  <w:r>
                    <w:rPr>
                      <w:color w:val="auto"/>
                      <w:kern w:val="0"/>
                      <w:szCs w:val="21"/>
                      <w:lang w:bidi="ar"/>
                    </w:rPr>
                    <w:t>。</w:t>
                  </w:r>
                </w:p>
              </w:tc>
              <w:tc>
                <w:tcPr>
                  <w:tcW w:w="544" w:type="pct"/>
                  <w:vAlign w:val="center"/>
                </w:tcPr>
                <w:p w14:paraId="312FE34D">
                  <w:pPr>
                    <w:jc w:val="center"/>
                    <w:rPr>
                      <w:color w:val="auto"/>
                      <w:szCs w:val="21"/>
                    </w:rPr>
                  </w:pPr>
                  <w:r>
                    <w:rPr>
                      <w:color w:val="auto"/>
                      <w:szCs w:val="21"/>
                    </w:rPr>
                    <w:t>符合</w:t>
                  </w:r>
                </w:p>
              </w:tc>
            </w:tr>
            <w:tr w14:paraId="30264E8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89" w:hRule="atLeast"/>
                <w:jc w:val="center"/>
              </w:trPr>
              <w:tc>
                <w:tcPr>
                  <w:tcW w:w="280" w:type="pct"/>
                  <w:vMerge w:val="restart"/>
                  <w:tcBorders>
                    <w:right w:val="single" w:color="auto" w:sz="4" w:space="0"/>
                  </w:tcBorders>
                  <w:vAlign w:val="center"/>
                </w:tcPr>
                <w:p w14:paraId="39CFCFD9">
                  <w:pPr>
                    <w:pStyle w:val="51"/>
                    <w:rPr>
                      <w:rFonts w:ascii="Times New Roman" w:hAnsi="Times New Roman" w:eastAsia="宋体"/>
                      <w:color w:val="auto"/>
                      <w:sz w:val="21"/>
                      <w:szCs w:val="21"/>
                    </w:rPr>
                  </w:pPr>
                  <w:r>
                    <w:rPr>
                      <w:rFonts w:ascii="Times New Roman" w:hAnsi="Times New Roman" w:eastAsia="宋体"/>
                      <w:color w:val="auto"/>
                      <w:sz w:val="21"/>
                      <w:szCs w:val="21"/>
                    </w:rPr>
                    <w:t>污染物排放管控</w:t>
                  </w:r>
                </w:p>
              </w:tc>
              <w:tc>
                <w:tcPr>
                  <w:tcW w:w="3056" w:type="pct"/>
                  <w:vAlign w:val="center"/>
                </w:tcPr>
                <w:p w14:paraId="1B426324">
                  <w:pPr>
                    <w:jc w:val="left"/>
                    <w:rPr>
                      <w:color w:val="auto"/>
                      <w:szCs w:val="21"/>
                      <w:lang w:val="zh-CN"/>
                    </w:rPr>
                  </w:pPr>
                  <w:r>
                    <w:rPr>
                      <w:color w:val="auto"/>
                      <w:szCs w:val="21"/>
                    </w:rPr>
                    <w:t>9、</w:t>
                  </w:r>
                  <w:r>
                    <w:rPr>
                      <w:color w:val="auto"/>
                      <w:szCs w:val="21"/>
                      <w:lang w:val="zh-CN"/>
                    </w:rPr>
                    <w:t>“十四五”期间，全市氮氧化物、挥发性有机物、化学需氧量和氨氮等主要污染物减排量分别为4098吨、2035吨、10031吨和658吨。</w:t>
                  </w:r>
                </w:p>
              </w:tc>
              <w:tc>
                <w:tcPr>
                  <w:tcW w:w="1119" w:type="pct"/>
                  <w:vAlign w:val="center"/>
                </w:tcPr>
                <w:p w14:paraId="6AF96C77">
                  <w:pPr>
                    <w:jc w:val="center"/>
                    <w:rPr>
                      <w:color w:val="auto"/>
                      <w:szCs w:val="21"/>
                    </w:rPr>
                  </w:pPr>
                  <w:r>
                    <w:rPr>
                      <w:color w:val="auto"/>
                      <w:szCs w:val="21"/>
                      <w:lang w:val="zh-CN"/>
                    </w:rPr>
                    <w:t>项目挥发性有机物废气经处理后排放量较小</w:t>
                  </w:r>
                  <w:r>
                    <w:rPr>
                      <w:color w:val="auto"/>
                      <w:kern w:val="0"/>
                      <w:szCs w:val="21"/>
                      <w:lang w:bidi="ar"/>
                    </w:rPr>
                    <w:t>。</w:t>
                  </w:r>
                </w:p>
              </w:tc>
              <w:tc>
                <w:tcPr>
                  <w:tcW w:w="544" w:type="pct"/>
                  <w:vAlign w:val="center"/>
                </w:tcPr>
                <w:p w14:paraId="700766CE">
                  <w:pPr>
                    <w:jc w:val="center"/>
                    <w:rPr>
                      <w:color w:val="auto"/>
                      <w:szCs w:val="21"/>
                    </w:rPr>
                  </w:pPr>
                  <w:r>
                    <w:rPr>
                      <w:color w:val="auto"/>
                      <w:szCs w:val="21"/>
                    </w:rPr>
                    <w:t>符合</w:t>
                  </w:r>
                </w:p>
              </w:tc>
            </w:tr>
            <w:tr w14:paraId="156A466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284" w:hRule="atLeast"/>
                <w:jc w:val="center"/>
              </w:trPr>
              <w:tc>
                <w:tcPr>
                  <w:tcW w:w="280" w:type="pct"/>
                  <w:vMerge w:val="continue"/>
                  <w:tcBorders>
                    <w:right w:val="single" w:color="auto" w:sz="4" w:space="0"/>
                  </w:tcBorders>
                  <w:vAlign w:val="center"/>
                </w:tcPr>
                <w:p w14:paraId="5B484680">
                  <w:pPr>
                    <w:tabs>
                      <w:tab w:val="left" w:pos="6660"/>
                    </w:tabs>
                    <w:jc w:val="center"/>
                    <w:rPr>
                      <w:color w:val="auto"/>
                      <w:szCs w:val="21"/>
                    </w:rPr>
                  </w:pPr>
                </w:p>
              </w:tc>
              <w:tc>
                <w:tcPr>
                  <w:tcW w:w="3056" w:type="pct"/>
                  <w:vAlign w:val="center"/>
                </w:tcPr>
                <w:p w14:paraId="061DE905">
                  <w:pPr>
                    <w:jc w:val="left"/>
                    <w:rPr>
                      <w:color w:val="auto"/>
                      <w:szCs w:val="21"/>
                      <w:lang w:val="zh-CN"/>
                    </w:rPr>
                  </w:pPr>
                  <w:r>
                    <w:rPr>
                      <w:color w:val="auto"/>
                      <w:szCs w:val="21"/>
                    </w:rPr>
                    <w:t>10、</w:t>
                  </w:r>
                  <w:r>
                    <w:rPr>
                      <w:color w:val="auto"/>
                      <w:szCs w:val="21"/>
                      <w:lang w:val="zh-CN"/>
                    </w:rPr>
                    <w:t>造纸、焦化、氮肥、有色金属、印染、农副食品加工、原料药制造、制革、农药、电镀等重点行业建设项目新建、改建、扩建实施主要水污染排放总量等量或减量置换。</w:t>
                  </w:r>
                </w:p>
              </w:tc>
              <w:tc>
                <w:tcPr>
                  <w:tcW w:w="1119" w:type="pct"/>
                  <w:vAlign w:val="center"/>
                </w:tcPr>
                <w:p w14:paraId="705FAE93">
                  <w:pPr>
                    <w:jc w:val="center"/>
                    <w:rPr>
                      <w:color w:val="auto"/>
                      <w:szCs w:val="21"/>
                    </w:rPr>
                  </w:pPr>
                  <w:r>
                    <w:rPr>
                      <w:color w:val="auto"/>
                      <w:szCs w:val="21"/>
                    </w:rPr>
                    <w:t>本项目不属于此类重点行业</w:t>
                  </w:r>
                  <w:r>
                    <w:rPr>
                      <w:color w:val="auto"/>
                      <w:kern w:val="0"/>
                      <w:szCs w:val="21"/>
                      <w:lang w:bidi="ar"/>
                    </w:rPr>
                    <w:t>。</w:t>
                  </w:r>
                </w:p>
              </w:tc>
              <w:tc>
                <w:tcPr>
                  <w:tcW w:w="544" w:type="pct"/>
                  <w:vAlign w:val="center"/>
                </w:tcPr>
                <w:p w14:paraId="0F799C2D">
                  <w:pPr>
                    <w:jc w:val="center"/>
                    <w:rPr>
                      <w:color w:val="auto"/>
                      <w:szCs w:val="21"/>
                    </w:rPr>
                  </w:pPr>
                  <w:r>
                    <w:rPr>
                      <w:color w:val="auto"/>
                      <w:szCs w:val="21"/>
                    </w:rPr>
                    <w:t>符合</w:t>
                  </w:r>
                </w:p>
              </w:tc>
            </w:tr>
            <w:tr w14:paraId="46BAD5E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69" w:hRule="atLeast"/>
                <w:jc w:val="center"/>
              </w:trPr>
              <w:tc>
                <w:tcPr>
                  <w:tcW w:w="280" w:type="pct"/>
                  <w:vMerge w:val="continue"/>
                  <w:tcBorders>
                    <w:right w:val="single" w:color="auto" w:sz="4" w:space="0"/>
                  </w:tcBorders>
                  <w:vAlign w:val="center"/>
                </w:tcPr>
                <w:p w14:paraId="7151B682">
                  <w:pPr>
                    <w:tabs>
                      <w:tab w:val="left" w:pos="6660"/>
                    </w:tabs>
                    <w:jc w:val="center"/>
                    <w:rPr>
                      <w:color w:val="auto"/>
                      <w:kern w:val="0"/>
                      <w:szCs w:val="21"/>
                    </w:rPr>
                  </w:pPr>
                </w:p>
              </w:tc>
              <w:tc>
                <w:tcPr>
                  <w:tcW w:w="3056" w:type="pct"/>
                  <w:vAlign w:val="center"/>
                </w:tcPr>
                <w:p w14:paraId="302CEDBD">
                  <w:pPr>
                    <w:jc w:val="left"/>
                    <w:rPr>
                      <w:color w:val="auto"/>
                      <w:szCs w:val="21"/>
                      <w:lang w:val="zh-CN"/>
                    </w:rPr>
                  </w:pPr>
                  <w:r>
                    <w:rPr>
                      <w:color w:val="auto"/>
                      <w:szCs w:val="21"/>
                    </w:rPr>
                    <w:t>11、</w:t>
                  </w:r>
                  <w:r>
                    <w:rPr>
                      <w:color w:val="auto"/>
                      <w:szCs w:val="21"/>
                      <w:lang w:val="zh-CN"/>
                    </w:rPr>
                    <w:t>到2025年，单位生产总值二氧化碳排放确保完成省下达的指标。</w:t>
                  </w:r>
                </w:p>
              </w:tc>
              <w:tc>
                <w:tcPr>
                  <w:tcW w:w="1119" w:type="pct"/>
                  <w:vAlign w:val="center"/>
                </w:tcPr>
                <w:p w14:paraId="4598F979">
                  <w:pPr>
                    <w:jc w:val="center"/>
                    <w:rPr>
                      <w:color w:val="auto"/>
                      <w:szCs w:val="21"/>
                    </w:rPr>
                  </w:pPr>
                  <w:r>
                    <w:rPr>
                      <w:color w:val="auto"/>
                      <w:szCs w:val="21"/>
                    </w:rPr>
                    <w:t>本项目几乎不产生二氧化碳。</w:t>
                  </w:r>
                </w:p>
              </w:tc>
              <w:tc>
                <w:tcPr>
                  <w:tcW w:w="544" w:type="pct"/>
                  <w:vAlign w:val="center"/>
                </w:tcPr>
                <w:p w14:paraId="5180E1BB">
                  <w:pPr>
                    <w:jc w:val="center"/>
                    <w:rPr>
                      <w:color w:val="auto"/>
                      <w:szCs w:val="21"/>
                    </w:rPr>
                  </w:pPr>
                  <w:r>
                    <w:rPr>
                      <w:color w:val="auto"/>
                      <w:szCs w:val="21"/>
                    </w:rPr>
                    <w:t>符合</w:t>
                  </w:r>
                </w:p>
              </w:tc>
            </w:tr>
            <w:tr w14:paraId="0EFC44D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54" w:hRule="atLeast"/>
                <w:jc w:val="center"/>
              </w:trPr>
              <w:tc>
                <w:tcPr>
                  <w:tcW w:w="280" w:type="pct"/>
                  <w:vMerge w:val="continue"/>
                  <w:tcBorders>
                    <w:right w:val="single" w:color="auto" w:sz="4" w:space="0"/>
                  </w:tcBorders>
                  <w:vAlign w:val="center"/>
                </w:tcPr>
                <w:p w14:paraId="32D9DFE2">
                  <w:pPr>
                    <w:tabs>
                      <w:tab w:val="left" w:pos="6660"/>
                    </w:tabs>
                    <w:jc w:val="center"/>
                    <w:rPr>
                      <w:color w:val="auto"/>
                      <w:kern w:val="0"/>
                      <w:szCs w:val="21"/>
                    </w:rPr>
                  </w:pPr>
                </w:p>
              </w:tc>
              <w:tc>
                <w:tcPr>
                  <w:tcW w:w="3056" w:type="pct"/>
                  <w:vAlign w:val="center"/>
                </w:tcPr>
                <w:p w14:paraId="70632E49">
                  <w:pPr>
                    <w:jc w:val="left"/>
                    <w:rPr>
                      <w:color w:val="auto"/>
                      <w:szCs w:val="21"/>
                      <w:lang w:val="zh-CN"/>
                    </w:rPr>
                  </w:pPr>
                  <w:r>
                    <w:rPr>
                      <w:color w:val="auto"/>
                      <w:szCs w:val="21"/>
                    </w:rPr>
                    <w:t>12、</w:t>
                  </w:r>
                  <w:r>
                    <w:rPr>
                      <w:color w:val="auto"/>
                      <w:szCs w:val="21"/>
                      <w:lang w:val="zh-CN"/>
                    </w:rPr>
                    <w:t>推进重点重金属减排，加强重金属污染综合治理，推进重点行业企业废水总铊治理。</w:t>
                  </w:r>
                </w:p>
              </w:tc>
              <w:tc>
                <w:tcPr>
                  <w:tcW w:w="1119" w:type="pct"/>
                  <w:vAlign w:val="center"/>
                </w:tcPr>
                <w:p w14:paraId="4299548C">
                  <w:pPr>
                    <w:jc w:val="center"/>
                    <w:rPr>
                      <w:color w:val="auto"/>
                      <w:szCs w:val="21"/>
                    </w:rPr>
                  </w:pPr>
                  <w:r>
                    <w:rPr>
                      <w:color w:val="auto"/>
                      <w:szCs w:val="21"/>
                    </w:rPr>
                    <w:t>本项目不涉及重金属</w:t>
                  </w:r>
                  <w:r>
                    <w:rPr>
                      <w:color w:val="auto"/>
                      <w:kern w:val="0"/>
                      <w:szCs w:val="21"/>
                      <w:lang w:bidi="ar"/>
                    </w:rPr>
                    <w:t>。</w:t>
                  </w:r>
                </w:p>
              </w:tc>
              <w:tc>
                <w:tcPr>
                  <w:tcW w:w="544" w:type="pct"/>
                  <w:vAlign w:val="center"/>
                </w:tcPr>
                <w:p w14:paraId="746FCBA6">
                  <w:pPr>
                    <w:jc w:val="center"/>
                    <w:rPr>
                      <w:color w:val="auto"/>
                      <w:szCs w:val="21"/>
                    </w:rPr>
                  </w:pPr>
                  <w:r>
                    <w:rPr>
                      <w:color w:val="auto"/>
                      <w:szCs w:val="21"/>
                    </w:rPr>
                    <w:t>符合</w:t>
                  </w:r>
                </w:p>
              </w:tc>
            </w:tr>
            <w:tr w14:paraId="095E412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012" w:hRule="atLeast"/>
                <w:jc w:val="center"/>
              </w:trPr>
              <w:tc>
                <w:tcPr>
                  <w:tcW w:w="280" w:type="pct"/>
                  <w:vMerge w:val="continue"/>
                  <w:tcBorders>
                    <w:right w:val="single" w:color="auto" w:sz="4" w:space="0"/>
                  </w:tcBorders>
                  <w:vAlign w:val="center"/>
                </w:tcPr>
                <w:p w14:paraId="1E93F1E4">
                  <w:pPr>
                    <w:pStyle w:val="51"/>
                    <w:rPr>
                      <w:rFonts w:ascii="Times New Roman" w:hAnsi="Times New Roman" w:eastAsia="宋体"/>
                      <w:color w:val="auto"/>
                      <w:sz w:val="21"/>
                      <w:szCs w:val="21"/>
                    </w:rPr>
                  </w:pPr>
                </w:p>
              </w:tc>
              <w:tc>
                <w:tcPr>
                  <w:tcW w:w="3056" w:type="pct"/>
                  <w:vAlign w:val="center"/>
                </w:tcPr>
                <w:p w14:paraId="6B696AB9">
                  <w:pPr>
                    <w:jc w:val="left"/>
                    <w:rPr>
                      <w:color w:val="auto"/>
                      <w:szCs w:val="21"/>
                      <w:lang w:val="zh-CN"/>
                    </w:rPr>
                  </w:pPr>
                  <w:r>
                    <w:rPr>
                      <w:color w:val="auto"/>
                      <w:szCs w:val="21"/>
                    </w:rPr>
                    <w:t>13、</w:t>
                  </w:r>
                  <w:r>
                    <w:rPr>
                      <w:color w:val="auto"/>
                      <w:szCs w:val="21"/>
                      <w:lang w:val="zh-CN"/>
                    </w:rPr>
                    <w:t>持续提升工业园区污水收集处理水平，推进园区污水处理设施一级A提标改造。推进污泥减量化资源化无害化处置。</w:t>
                  </w:r>
                </w:p>
              </w:tc>
              <w:tc>
                <w:tcPr>
                  <w:tcW w:w="1119" w:type="pct"/>
                  <w:vAlign w:val="center"/>
                </w:tcPr>
                <w:p w14:paraId="5723C600">
                  <w:pPr>
                    <w:jc w:val="center"/>
                    <w:rPr>
                      <w:color w:val="auto"/>
                      <w:szCs w:val="21"/>
                    </w:rPr>
                  </w:pPr>
                  <w:r>
                    <w:rPr>
                      <w:color w:val="auto"/>
                      <w:kern w:val="0"/>
                      <w:szCs w:val="21"/>
                    </w:rPr>
                    <w:t>本项目不在工业园区内。</w:t>
                  </w:r>
                </w:p>
              </w:tc>
              <w:tc>
                <w:tcPr>
                  <w:tcW w:w="544" w:type="pct"/>
                  <w:vAlign w:val="center"/>
                </w:tcPr>
                <w:p w14:paraId="44458C26">
                  <w:pPr>
                    <w:jc w:val="center"/>
                    <w:rPr>
                      <w:color w:val="auto"/>
                      <w:szCs w:val="21"/>
                    </w:rPr>
                  </w:pPr>
                  <w:r>
                    <w:rPr>
                      <w:color w:val="auto"/>
                      <w:szCs w:val="21"/>
                    </w:rPr>
                    <w:t>符合</w:t>
                  </w:r>
                </w:p>
              </w:tc>
            </w:tr>
            <w:tr w14:paraId="163AC3D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314" w:hRule="atLeast"/>
                <w:jc w:val="center"/>
              </w:trPr>
              <w:tc>
                <w:tcPr>
                  <w:tcW w:w="280" w:type="pct"/>
                  <w:vMerge w:val="continue"/>
                  <w:tcBorders>
                    <w:right w:val="single" w:color="auto" w:sz="4" w:space="0"/>
                  </w:tcBorders>
                  <w:vAlign w:val="center"/>
                </w:tcPr>
                <w:p w14:paraId="521753C9">
                  <w:pPr>
                    <w:pStyle w:val="51"/>
                    <w:rPr>
                      <w:rFonts w:ascii="Times New Roman" w:hAnsi="Times New Roman" w:eastAsia="宋体"/>
                      <w:color w:val="auto"/>
                      <w:sz w:val="21"/>
                      <w:szCs w:val="21"/>
                    </w:rPr>
                  </w:pPr>
                </w:p>
              </w:tc>
              <w:tc>
                <w:tcPr>
                  <w:tcW w:w="3056" w:type="pct"/>
                  <w:vAlign w:val="center"/>
                </w:tcPr>
                <w:p w14:paraId="2788816E">
                  <w:pPr>
                    <w:jc w:val="left"/>
                    <w:rPr>
                      <w:color w:val="auto"/>
                      <w:szCs w:val="21"/>
                    </w:rPr>
                  </w:pPr>
                  <w:r>
                    <w:rPr>
                      <w:color w:val="auto"/>
                      <w:szCs w:val="21"/>
                    </w:rPr>
                    <w:t>14、</w:t>
                  </w:r>
                  <w:r>
                    <w:rPr>
                      <w:color w:val="auto"/>
                      <w:szCs w:val="21"/>
                      <w:lang w:val="zh-CN"/>
                    </w:rPr>
                    <w:t>大力推进挥发性有机物和氮氧化物源头协同减排，加强消耗臭氧层物质和氢氟碳化物环境管理，推进企业升级改造和区域环境综合整治。实施溶剂型工业涂料等清洁原料替代。</w:t>
                  </w:r>
                </w:p>
              </w:tc>
              <w:tc>
                <w:tcPr>
                  <w:tcW w:w="1119" w:type="pct"/>
                  <w:vAlign w:val="center"/>
                </w:tcPr>
                <w:p w14:paraId="3B83F416">
                  <w:pPr>
                    <w:jc w:val="center"/>
                    <w:rPr>
                      <w:color w:val="auto"/>
                      <w:szCs w:val="21"/>
                    </w:rPr>
                  </w:pPr>
                  <w:r>
                    <w:rPr>
                      <w:color w:val="auto"/>
                      <w:szCs w:val="21"/>
                    </w:rPr>
                    <w:t>项目</w:t>
                  </w:r>
                  <w:r>
                    <w:rPr>
                      <w:rFonts w:hint="eastAsia"/>
                      <w:color w:val="auto"/>
                      <w:szCs w:val="21"/>
                      <w:lang w:val="en-US" w:eastAsia="zh-CN"/>
                    </w:rPr>
                    <w:t>恶臭</w:t>
                  </w:r>
                  <w:r>
                    <w:rPr>
                      <w:color w:val="auto"/>
                      <w:szCs w:val="21"/>
                    </w:rPr>
                    <w:t>排放量较小</w:t>
                  </w:r>
                  <w:r>
                    <w:rPr>
                      <w:color w:val="auto"/>
                      <w:kern w:val="0"/>
                      <w:szCs w:val="21"/>
                      <w:lang w:bidi="ar"/>
                    </w:rPr>
                    <w:t>。</w:t>
                  </w:r>
                </w:p>
              </w:tc>
              <w:tc>
                <w:tcPr>
                  <w:tcW w:w="544" w:type="pct"/>
                  <w:vAlign w:val="center"/>
                </w:tcPr>
                <w:p w14:paraId="4311DA24">
                  <w:pPr>
                    <w:jc w:val="center"/>
                    <w:rPr>
                      <w:color w:val="auto"/>
                      <w:szCs w:val="21"/>
                    </w:rPr>
                  </w:pPr>
                  <w:r>
                    <w:rPr>
                      <w:color w:val="auto"/>
                      <w:szCs w:val="21"/>
                    </w:rPr>
                    <w:t>符合</w:t>
                  </w:r>
                </w:p>
              </w:tc>
            </w:tr>
            <w:tr w14:paraId="4CA3F1B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314" w:hRule="atLeast"/>
                <w:jc w:val="center"/>
              </w:trPr>
              <w:tc>
                <w:tcPr>
                  <w:tcW w:w="280" w:type="pct"/>
                  <w:vMerge w:val="continue"/>
                  <w:tcBorders>
                    <w:right w:val="single" w:color="auto" w:sz="4" w:space="0"/>
                  </w:tcBorders>
                  <w:vAlign w:val="center"/>
                </w:tcPr>
                <w:p w14:paraId="09983F58">
                  <w:pPr>
                    <w:pStyle w:val="51"/>
                    <w:rPr>
                      <w:rFonts w:ascii="Times New Roman" w:hAnsi="Times New Roman" w:eastAsia="宋体"/>
                      <w:color w:val="auto"/>
                      <w:sz w:val="21"/>
                      <w:szCs w:val="21"/>
                    </w:rPr>
                  </w:pPr>
                </w:p>
              </w:tc>
              <w:tc>
                <w:tcPr>
                  <w:tcW w:w="3056" w:type="pct"/>
                  <w:vAlign w:val="center"/>
                </w:tcPr>
                <w:p w14:paraId="35F5C341">
                  <w:pPr>
                    <w:jc w:val="left"/>
                    <w:rPr>
                      <w:color w:val="auto"/>
                      <w:szCs w:val="21"/>
                    </w:rPr>
                  </w:pPr>
                  <w:r>
                    <w:rPr>
                      <w:color w:val="auto"/>
                      <w:szCs w:val="21"/>
                    </w:rPr>
                    <w:t>15、</w:t>
                  </w:r>
                  <w:r>
                    <w:rPr>
                      <w:color w:val="auto"/>
                      <w:szCs w:val="21"/>
                      <w:lang w:val="zh-CN"/>
                    </w:rPr>
                    <w:t>大力推进挥发性有机物和氮氧化物源头协同减排，加强消耗臭氧层物质和氢氟碳化物环境管理，推进企业升级改造和区域环境综合整治。实施溶剂型工业涂料等清洁原料替代。</w:t>
                  </w:r>
                </w:p>
              </w:tc>
              <w:tc>
                <w:tcPr>
                  <w:tcW w:w="1119" w:type="pct"/>
                  <w:vAlign w:val="center"/>
                </w:tcPr>
                <w:p w14:paraId="78D3C28C">
                  <w:pPr>
                    <w:jc w:val="center"/>
                    <w:rPr>
                      <w:color w:val="auto"/>
                      <w:szCs w:val="21"/>
                    </w:rPr>
                  </w:pPr>
                  <w:r>
                    <w:rPr>
                      <w:color w:val="auto"/>
                      <w:szCs w:val="21"/>
                    </w:rPr>
                    <w:t>/</w:t>
                  </w:r>
                </w:p>
              </w:tc>
              <w:tc>
                <w:tcPr>
                  <w:tcW w:w="544" w:type="pct"/>
                  <w:vAlign w:val="center"/>
                </w:tcPr>
                <w:p w14:paraId="4A3AB4D3">
                  <w:pPr>
                    <w:jc w:val="center"/>
                    <w:rPr>
                      <w:color w:val="auto"/>
                      <w:szCs w:val="21"/>
                    </w:rPr>
                  </w:pPr>
                  <w:r>
                    <w:rPr>
                      <w:color w:val="auto"/>
                      <w:szCs w:val="21"/>
                    </w:rPr>
                    <w:t>/</w:t>
                  </w:r>
                </w:p>
              </w:tc>
            </w:tr>
            <w:tr w14:paraId="0DC3785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54" w:hRule="atLeast"/>
                <w:jc w:val="center"/>
              </w:trPr>
              <w:tc>
                <w:tcPr>
                  <w:tcW w:w="280" w:type="pct"/>
                  <w:vMerge w:val="restart"/>
                  <w:tcBorders>
                    <w:right w:val="single" w:color="auto" w:sz="4" w:space="0"/>
                  </w:tcBorders>
                  <w:vAlign w:val="center"/>
                </w:tcPr>
                <w:p w14:paraId="73B148DA">
                  <w:pPr>
                    <w:pStyle w:val="51"/>
                    <w:rPr>
                      <w:rFonts w:ascii="Times New Roman" w:hAnsi="Times New Roman" w:eastAsia="宋体"/>
                      <w:color w:val="auto"/>
                      <w:sz w:val="21"/>
                      <w:szCs w:val="21"/>
                    </w:rPr>
                  </w:pPr>
                  <w:r>
                    <w:rPr>
                      <w:rFonts w:ascii="Times New Roman" w:hAnsi="Times New Roman" w:eastAsia="宋体"/>
                      <w:color w:val="auto"/>
                      <w:sz w:val="21"/>
                      <w:szCs w:val="21"/>
                    </w:rPr>
                    <w:t>环境风险防控</w:t>
                  </w:r>
                </w:p>
              </w:tc>
              <w:tc>
                <w:tcPr>
                  <w:tcW w:w="3056" w:type="pct"/>
                  <w:vAlign w:val="center"/>
                </w:tcPr>
                <w:p w14:paraId="479E0800">
                  <w:pPr>
                    <w:jc w:val="left"/>
                    <w:rPr>
                      <w:color w:val="auto"/>
                      <w:szCs w:val="21"/>
                      <w:lang w:val="zh-CN"/>
                    </w:rPr>
                  </w:pPr>
                  <w:r>
                    <w:rPr>
                      <w:color w:val="auto"/>
                      <w:szCs w:val="21"/>
                    </w:rPr>
                    <w:t>16、</w:t>
                  </w:r>
                  <w:r>
                    <w:rPr>
                      <w:color w:val="auto"/>
                      <w:szCs w:val="21"/>
                      <w:lang w:val="zh-CN"/>
                    </w:rPr>
                    <w:t>继续加强九江与南昌、九江与黄冈区域大气污染联防联控机制。</w:t>
                  </w:r>
                </w:p>
              </w:tc>
              <w:tc>
                <w:tcPr>
                  <w:tcW w:w="1119" w:type="pct"/>
                  <w:vAlign w:val="center"/>
                </w:tcPr>
                <w:p w14:paraId="35346CDD">
                  <w:pPr>
                    <w:jc w:val="center"/>
                    <w:rPr>
                      <w:color w:val="auto"/>
                      <w:szCs w:val="21"/>
                    </w:rPr>
                  </w:pPr>
                  <w:r>
                    <w:rPr>
                      <w:color w:val="auto"/>
                      <w:szCs w:val="21"/>
                    </w:rPr>
                    <w:t>/</w:t>
                  </w:r>
                </w:p>
              </w:tc>
              <w:tc>
                <w:tcPr>
                  <w:tcW w:w="544" w:type="pct"/>
                  <w:vAlign w:val="center"/>
                </w:tcPr>
                <w:p w14:paraId="24018BEE">
                  <w:pPr>
                    <w:jc w:val="center"/>
                    <w:rPr>
                      <w:color w:val="auto"/>
                      <w:szCs w:val="21"/>
                    </w:rPr>
                  </w:pPr>
                  <w:r>
                    <w:rPr>
                      <w:color w:val="auto"/>
                      <w:szCs w:val="21"/>
                    </w:rPr>
                    <w:t>/</w:t>
                  </w:r>
                </w:p>
              </w:tc>
            </w:tr>
            <w:tr w14:paraId="2290DC8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40" w:hRule="atLeast"/>
                <w:jc w:val="center"/>
              </w:trPr>
              <w:tc>
                <w:tcPr>
                  <w:tcW w:w="280" w:type="pct"/>
                  <w:vMerge w:val="continue"/>
                  <w:tcBorders>
                    <w:right w:val="single" w:color="auto" w:sz="4" w:space="0"/>
                  </w:tcBorders>
                  <w:vAlign w:val="center"/>
                </w:tcPr>
                <w:p w14:paraId="7079B1CA">
                  <w:pPr>
                    <w:pStyle w:val="51"/>
                    <w:rPr>
                      <w:rFonts w:ascii="Times New Roman" w:hAnsi="Times New Roman" w:eastAsia="宋体"/>
                      <w:color w:val="auto"/>
                      <w:sz w:val="21"/>
                      <w:szCs w:val="21"/>
                    </w:rPr>
                  </w:pPr>
                </w:p>
              </w:tc>
              <w:tc>
                <w:tcPr>
                  <w:tcW w:w="3056" w:type="pct"/>
                  <w:vAlign w:val="center"/>
                </w:tcPr>
                <w:p w14:paraId="647F687A">
                  <w:pPr>
                    <w:jc w:val="left"/>
                    <w:rPr>
                      <w:color w:val="auto"/>
                      <w:szCs w:val="21"/>
                      <w:lang w:val="zh-CN"/>
                    </w:rPr>
                  </w:pPr>
                  <w:r>
                    <w:rPr>
                      <w:color w:val="auto"/>
                      <w:szCs w:val="21"/>
                    </w:rPr>
                    <w:t>17、</w:t>
                  </w:r>
                  <w:r>
                    <w:rPr>
                      <w:color w:val="auto"/>
                      <w:szCs w:val="21"/>
                      <w:lang w:val="zh-CN"/>
                    </w:rPr>
                    <w:t>加强区域污染天气监测预警体系建设，完善细颗粒物和臭氧污染天气预警应急启动、响应和解除机制。</w:t>
                  </w:r>
                </w:p>
              </w:tc>
              <w:tc>
                <w:tcPr>
                  <w:tcW w:w="1119" w:type="pct"/>
                  <w:vAlign w:val="center"/>
                </w:tcPr>
                <w:p w14:paraId="3958A91C">
                  <w:pPr>
                    <w:jc w:val="center"/>
                    <w:rPr>
                      <w:color w:val="auto"/>
                      <w:szCs w:val="21"/>
                    </w:rPr>
                  </w:pPr>
                  <w:r>
                    <w:rPr>
                      <w:color w:val="auto"/>
                      <w:szCs w:val="21"/>
                    </w:rPr>
                    <w:t>/</w:t>
                  </w:r>
                </w:p>
              </w:tc>
              <w:tc>
                <w:tcPr>
                  <w:tcW w:w="544" w:type="pct"/>
                  <w:vAlign w:val="center"/>
                </w:tcPr>
                <w:p w14:paraId="67FA3F1B">
                  <w:pPr>
                    <w:jc w:val="center"/>
                    <w:rPr>
                      <w:color w:val="auto"/>
                      <w:szCs w:val="21"/>
                    </w:rPr>
                  </w:pPr>
                  <w:r>
                    <w:rPr>
                      <w:color w:val="auto"/>
                      <w:szCs w:val="21"/>
                    </w:rPr>
                    <w:t>/</w:t>
                  </w:r>
                </w:p>
              </w:tc>
            </w:tr>
            <w:tr w14:paraId="1788847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057" w:hRule="atLeast"/>
                <w:jc w:val="center"/>
              </w:trPr>
              <w:tc>
                <w:tcPr>
                  <w:tcW w:w="280" w:type="pct"/>
                  <w:vMerge w:val="continue"/>
                  <w:tcBorders>
                    <w:right w:val="single" w:color="auto" w:sz="4" w:space="0"/>
                  </w:tcBorders>
                  <w:vAlign w:val="center"/>
                </w:tcPr>
                <w:p w14:paraId="2DD32F12">
                  <w:pPr>
                    <w:pStyle w:val="51"/>
                    <w:rPr>
                      <w:rFonts w:ascii="Times New Roman" w:hAnsi="Times New Roman" w:eastAsia="宋体"/>
                      <w:color w:val="auto"/>
                      <w:sz w:val="21"/>
                      <w:szCs w:val="21"/>
                    </w:rPr>
                  </w:pPr>
                </w:p>
              </w:tc>
              <w:tc>
                <w:tcPr>
                  <w:tcW w:w="3056" w:type="pct"/>
                  <w:vAlign w:val="center"/>
                </w:tcPr>
                <w:p w14:paraId="2E3D5E0F">
                  <w:pPr>
                    <w:jc w:val="left"/>
                    <w:rPr>
                      <w:color w:val="auto"/>
                      <w:szCs w:val="21"/>
                      <w:lang w:val="zh-CN"/>
                    </w:rPr>
                  </w:pPr>
                  <w:r>
                    <w:rPr>
                      <w:color w:val="auto"/>
                      <w:szCs w:val="21"/>
                    </w:rPr>
                    <w:t>18、</w:t>
                  </w:r>
                  <w:r>
                    <w:rPr>
                      <w:color w:val="auto"/>
                      <w:szCs w:val="21"/>
                      <w:lang w:val="zh-CN"/>
                    </w:rPr>
                    <w:t>在居民集中区、医院和学校附近、重要水源涵养生态功能区等环境风险防控重点区域，禁止新建或扩建易引发环境风险的项目。</w:t>
                  </w:r>
                </w:p>
              </w:tc>
              <w:tc>
                <w:tcPr>
                  <w:tcW w:w="1119" w:type="pct"/>
                  <w:vAlign w:val="center"/>
                </w:tcPr>
                <w:p w14:paraId="6D377296">
                  <w:pPr>
                    <w:jc w:val="center"/>
                    <w:rPr>
                      <w:color w:val="auto"/>
                      <w:szCs w:val="21"/>
                    </w:rPr>
                  </w:pPr>
                  <w:r>
                    <w:rPr>
                      <w:rFonts w:hint="eastAsia"/>
                      <w:color w:val="auto"/>
                      <w:szCs w:val="21"/>
                    </w:rPr>
                    <w:t>本项目为乡镇卫生院，不易</w:t>
                  </w:r>
                  <w:r>
                    <w:rPr>
                      <w:color w:val="auto"/>
                      <w:szCs w:val="21"/>
                      <w:lang w:val="zh-CN"/>
                    </w:rPr>
                    <w:t>引发环境风险</w:t>
                  </w:r>
                  <w:r>
                    <w:rPr>
                      <w:rFonts w:hint="eastAsia"/>
                      <w:color w:val="auto"/>
                      <w:szCs w:val="21"/>
                      <w:lang w:val="zh-CN"/>
                    </w:rPr>
                    <w:t>。</w:t>
                  </w:r>
                </w:p>
              </w:tc>
              <w:tc>
                <w:tcPr>
                  <w:tcW w:w="544" w:type="pct"/>
                  <w:vAlign w:val="center"/>
                </w:tcPr>
                <w:p w14:paraId="0F990736">
                  <w:pPr>
                    <w:jc w:val="center"/>
                    <w:rPr>
                      <w:color w:val="auto"/>
                      <w:szCs w:val="21"/>
                    </w:rPr>
                  </w:pPr>
                  <w:r>
                    <w:rPr>
                      <w:color w:val="auto"/>
                      <w:szCs w:val="21"/>
                    </w:rPr>
                    <w:t>符合</w:t>
                  </w:r>
                </w:p>
              </w:tc>
            </w:tr>
            <w:tr w14:paraId="60D9474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012" w:hRule="atLeast"/>
                <w:jc w:val="center"/>
              </w:trPr>
              <w:tc>
                <w:tcPr>
                  <w:tcW w:w="280" w:type="pct"/>
                  <w:vMerge w:val="continue"/>
                  <w:tcBorders>
                    <w:right w:val="single" w:color="auto" w:sz="4" w:space="0"/>
                  </w:tcBorders>
                  <w:vAlign w:val="center"/>
                </w:tcPr>
                <w:p w14:paraId="06666307">
                  <w:pPr>
                    <w:pStyle w:val="51"/>
                    <w:rPr>
                      <w:rFonts w:ascii="Times New Roman" w:hAnsi="Times New Roman" w:eastAsia="宋体"/>
                      <w:color w:val="auto"/>
                      <w:sz w:val="21"/>
                      <w:szCs w:val="21"/>
                    </w:rPr>
                  </w:pPr>
                </w:p>
              </w:tc>
              <w:tc>
                <w:tcPr>
                  <w:tcW w:w="3056" w:type="pct"/>
                  <w:vAlign w:val="center"/>
                </w:tcPr>
                <w:p w14:paraId="2EC6E45F">
                  <w:pPr>
                    <w:jc w:val="center"/>
                    <w:rPr>
                      <w:color w:val="auto"/>
                      <w:szCs w:val="21"/>
                      <w:lang w:val="zh-CN"/>
                    </w:rPr>
                  </w:pPr>
                  <w:r>
                    <w:rPr>
                      <w:color w:val="auto"/>
                      <w:szCs w:val="21"/>
                    </w:rPr>
                    <w:t>19、</w:t>
                  </w:r>
                  <w:r>
                    <w:rPr>
                      <w:color w:val="auto"/>
                      <w:szCs w:val="21"/>
                      <w:lang w:val="zh-CN"/>
                    </w:rPr>
                    <w:t>定期开展涉磷行业生态环境安全隐患排查，强化湖区环境安全风险防控，提升鄱阳湖滨湖地区联防联控突发水污染事件能力。</w:t>
                  </w:r>
                </w:p>
              </w:tc>
              <w:tc>
                <w:tcPr>
                  <w:tcW w:w="1119" w:type="pct"/>
                  <w:vAlign w:val="center"/>
                </w:tcPr>
                <w:p w14:paraId="54DC1F28">
                  <w:pPr>
                    <w:jc w:val="center"/>
                    <w:rPr>
                      <w:color w:val="auto"/>
                      <w:szCs w:val="21"/>
                    </w:rPr>
                  </w:pPr>
                  <w:r>
                    <w:rPr>
                      <w:color w:val="auto"/>
                      <w:szCs w:val="21"/>
                    </w:rPr>
                    <w:t>本项目不</w:t>
                  </w:r>
                  <w:r>
                    <w:rPr>
                      <w:color w:val="auto"/>
                      <w:szCs w:val="21"/>
                      <w:lang w:val="zh-CN"/>
                    </w:rPr>
                    <w:t>涉磷</w:t>
                  </w:r>
                  <w:r>
                    <w:rPr>
                      <w:rFonts w:hint="eastAsia"/>
                      <w:color w:val="auto"/>
                      <w:szCs w:val="21"/>
                      <w:lang w:val="en-US" w:eastAsia="zh-CN"/>
                    </w:rPr>
                    <w:t>行业</w:t>
                  </w:r>
                  <w:r>
                    <w:rPr>
                      <w:color w:val="auto"/>
                      <w:szCs w:val="21"/>
                      <w:lang w:val="zh-CN"/>
                    </w:rPr>
                    <w:t>。</w:t>
                  </w:r>
                </w:p>
              </w:tc>
              <w:tc>
                <w:tcPr>
                  <w:tcW w:w="544" w:type="pct"/>
                  <w:vAlign w:val="center"/>
                </w:tcPr>
                <w:p w14:paraId="75A261E2">
                  <w:pPr>
                    <w:jc w:val="center"/>
                    <w:rPr>
                      <w:color w:val="auto"/>
                      <w:szCs w:val="21"/>
                    </w:rPr>
                  </w:pPr>
                  <w:r>
                    <w:rPr>
                      <w:color w:val="auto"/>
                      <w:szCs w:val="21"/>
                    </w:rPr>
                    <w:t>符合</w:t>
                  </w:r>
                </w:p>
              </w:tc>
            </w:tr>
            <w:tr w14:paraId="64010D4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342" w:hRule="atLeast"/>
                <w:jc w:val="center"/>
              </w:trPr>
              <w:tc>
                <w:tcPr>
                  <w:tcW w:w="280" w:type="pct"/>
                  <w:vMerge w:val="continue"/>
                  <w:tcBorders>
                    <w:right w:val="single" w:color="auto" w:sz="4" w:space="0"/>
                  </w:tcBorders>
                  <w:vAlign w:val="center"/>
                </w:tcPr>
                <w:p w14:paraId="73EE9E75">
                  <w:pPr>
                    <w:pStyle w:val="51"/>
                    <w:rPr>
                      <w:rFonts w:ascii="Times New Roman" w:hAnsi="Times New Roman" w:eastAsia="宋体"/>
                      <w:color w:val="auto"/>
                      <w:sz w:val="21"/>
                      <w:szCs w:val="21"/>
                    </w:rPr>
                  </w:pPr>
                </w:p>
              </w:tc>
              <w:tc>
                <w:tcPr>
                  <w:tcW w:w="3056" w:type="pct"/>
                  <w:vAlign w:val="center"/>
                </w:tcPr>
                <w:p w14:paraId="30E1F7DE">
                  <w:pPr>
                    <w:jc w:val="left"/>
                    <w:rPr>
                      <w:color w:val="auto"/>
                      <w:szCs w:val="21"/>
                      <w:lang w:val="zh-CN"/>
                    </w:rPr>
                  </w:pPr>
                  <w:r>
                    <w:rPr>
                      <w:color w:val="auto"/>
                      <w:szCs w:val="21"/>
                    </w:rPr>
                    <w:t>20、</w:t>
                  </w:r>
                  <w:r>
                    <w:rPr>
                      <w:color w:val="auto"/>
                      <w:szCs w:val="21"/>
                      <w:lang w:val="zh-CN"/>
                    </w:rPr>
                    <w:t>禁止在长江干流岸线三公里范围内和重要支流岸线一公里范围内新建、改建、扩建尾矿库、冶炼渣库和磷石膏库，以提升安全、生态环境保护水平为目的的改建除外。</w:t>
                  </w:r>
                </w:p>
              </w:tc>
              <w:tc>
                <w:tcPr>
                  <w:tcW w:w="1119" w:type="pct"/>
                  <w:vAlign w:val="center"/>
                </w:tcPr>
                <w:p w14:paraId="2989924A">
                  <w:pPr>
                    <w:jc w:val="center"/>
                    <w:rPr>
                      <w:color w:val="auto"/>
                      <w:szCs w:val="21"/>
                    </w:rPr>
                  </w:pPr>
                  <w:r>
                    <w:rPr>
                      <w:color w:val="auto"/>
                      <w:szCs w:val="21"/>
                    </w:rPr>
                    <w:t>本项目不属于此类项目</w:t>
                  </w:r>
                  <w:r>
                    <w:rPr>
                      <w:color w:val="auto"/>
                      <w:kern w:val="0"/>
                      <w:szCs w:val="21"/>
                      <w:lang w:bidi="ar"/>
                    </w:rPr>
                    <w:t>。</w:t>
                  </w:r>
                </w:p>
              </w:tc>
              <w:tc>
                <w:tcPr>
                  <w:tcW w:w="544" w:type="pct"/>
                  <w:vAlign w:val="center"/>
                </w:tcPr>
                <w:p w14:paraId="5F9E3745">
                  <w:pPr>
                    <w:jc w:val="center"/>
                    <w:rPr>
                      <w:color w:val="auto"/>
                      <w:szCs w:val="21"/>
                    </w:rPr>
                  </w:pPr>
                  <w:r>
                    <w:rPr>
                      <w:color w:val="auto"/>
                      <w:szCs w:val="21"/>
                    </w:rPr>
                    <w:t>符合</w:t>
                  </w:r>
                </w:p>
              </w:tc>
            </w:tr>
            <w:tr w14:paraId="7A7B4F1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576" w:hRule="atLeast"/>
                <w:jc w:val="center"/>
              </w:trPr>
              <w:tc>
                <w:tcPr>
                  <w:tcW w:w="280" w:type="pct"/>
                  <w:vMerge w:val="restart"/>
                  <w:tcBorders>
                    <w:right w:val="single" w:color="auto" w:sz="4" w:space="0"/>
                  </w:tcBorders>
                  <w:vAlign w:val="center"/>
                </w:tcPr>
                <w:p w14:paraId="085E1204">
                  <w:pPr>
                    <w:pStyle w:val="51"/>
                    <w:rPr>
                      <w:rFonts w:ascii="Times New Roman" w:hAnsi="Times New Roman" w:eastAsia="宋体"/>
                      <w:color w:val="auto"/>
                      <w:sz w:val="21"/>
                      <w:szCs w:val="21"/>
                    </w:rPr>
                  </w:pPr>
                  <w:r>
                    <w:rPr>
                      <w:rFonts w:ascii="Times New Roman" w:hAnsi="Times New Roman" w:eastAsia="宋体"/>
                      <w:color w:val="auto"/>
                      <w:sz w:val="21"/>
                      <w:szCs w:val="21"/>
                    </w:rPr>
                    <w:t>资源利用效率要求</w:t>
                  </w:r>
                </w:p>
              </w:tc>
              <w:tc>
                <w:tcPr>
                  <w:tcW w:w="3056" w:type="pct"/>
                  <w:vAlign w:val="center"/>
                </w:tcPr>
                <w:p w14:paraId="27BEA2E9">
                  <w:pPr>
                    <w:jc w:val="left"/>
                    <w:rPr>
                      <w:color w:val="auto"/>
                      <w:szCs w:val="21"/>
                      <w:lang w:val="zh-CN"/>
                    </w:rPr>
                  </w:pPr>
                  <w:r>
                    <w:rPr>
                      <w:color w:val="auto"/>
                      <w:szCs w:val="21"/>
                    </w:rPr>
                    <w:t>21、</w:t>
                  </w:r>
                  <w:r>
                    <w:rPr>
                      <w:color w:val="auto"/>
                      <w:szCs w:val="21"/>
                      <w:lang w:val="zh-CN"/>
                    </w:rPr>
                    <w:t>2025年九江市用水总量指标为23</w:t>
                  </w:r>
                  <w:r>
                    <w:rPr>
                      <w:color w:val="auto"/>
                      <w:szCs w:val="21"/>
                    </w:rPr>
                    <w:t>.</w:t>
                  </w:r>
                  <w:r>
                    <w:rPr>
                      <w:color w:val="auto"/>
                      <w:szCs w:val="21"/>
                      <w:lang w:val="zh-CN"/>
                    </w:rPr>
                    <w:t>41亿立方米，万元国内生产总值用水量比2020年下降17%，万元工业增加值用水量比2020年下降16%；“十四五”时期，规模以上万元工业单位增加值用水量下降18%。</w:t>
                  </w:r>
                </w:p>
              </w:tc>
              <w:tc>
                <w:tcPr>
                  <w:tcW w:w="1119" w:type="pct"/>
                  <w:vAlign w:val="center"/>
                </w:tcPr>
                <w:p w14:paraId="5EBB5039">
                  <w:pPr>
                    <w:jc w:val="center"/>
                    <w:rPr>
                      <w:color w:val="auto"/>
                      <w:szCs w:val="21"/>
                    </w:rPr>
                  </w:pPr>
                  <w:r>
                    <w:rPr>
                      <w:color w:val="auto"/>
                      <w:szCs w:val="21"/>
                    </w:rPr>
                    <w:t>项目用水较少</w:t>
                  </w:r>
                  <w:r>
                    <w:rPr>
                      <w:color w:val="auto"/>
                      <w:kern w:val="0"/>
                      <w:szCs w:val="21"/>
                      <w:lang w:bidi="ar"/>
                    </w:rPr>
                    <w:t>。</w:t>
                  </w:r>
                </w:p>
              </w:tc>
              <w:tc>
                <w:tcPr>
                  <w:tcW w:w="544" w:type="pct"/>
                  <w:vAlign w:val="center"/>
                </w:tcPr>
                <w:p w14:paraId="48BA4A1B">
                  <w:pPr>
                    <w:jc w:val="center"/>
                    <w:rPr>
                      <w:color w:val="auto"/>
                      <w:szCs w:val="21"/>
                    </w:rPr>
                  </w:pPr>
                  <w:r>
                    <w:rPr>
                      <w:color w:val="auto"/>
                      <w:szCs w:val="21"/>
                    </w:rPr>
                    <w:t>符合</w:t>
                  </w:r>
                </w:p>
              </w:tc>
            </w:tr>
            <w:tr w14:paraId="409FF72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284" w:hRule="atLeast"/>
                <w:jc w:val="center"/>
              </w:trPr>
              <w:tc>
                <w:tcPr>
                  <w:tcW w:w="280" w:type="pct"/>
                  <w:vMerge w:val="continue"/>
                  <w:tcBorders>
                    <w:right w:val="single" w:color="auto" w:sz="4" w:space="0"/>
                  </w:tcBorders>
                  <w:vAlign w:val="center"/>
                </w:tcPr>
                <w:p w14:paraId="0BFC540F">
                  <w:pPr>
                    <w:pStyle w:val="51"/>
                    <w:rPr>
                      <w:rFonts w:ascii="Times New Roman" w:hAnsi="Times New Roman"/>
                      <w:color w:val="auto"/>
                      <w:sz w:val="21"/>
                      <w:szCs w:val="21"/>
                    </w:rPr>
                  </w:pPr>
                </w:p>
              </w:tc>
              <w:tc>
                <w:tcPr>
                  <w:tcW w:w="3056" w:type="pct"/>
                  <w:vAlign w:val="center"/>
                </w:tcPr>
                <w:p w14:paraId="08E0E1D9">
                  <w:pPr>
                    <w:jc w:val="left"/>
                    <w:rPr>
                      <w:color w:val="auto"/>
                      <w:szCs w:val="21"/>
                      <w:lang w:val="zh-CN"/>
                    </w:rPr>
                  </w:pPr>
                  <w:r>
                    <w:rPr>
                      <w:color w:val="auto"/>
                      <w:szCs w:val="21"/>
                    </w:rPr>
                    <w:t>22、</w:t>
                  </w:r>
                  <w:r>
                    <w:rPr>
                      <w:color w:val="auto"/>
                      <w:szCs w:val="21"/>
                      <w:lang w:val="zh-CN"/>
                    </w:rPr>
                    <w:t>在城市公共供水管网供水规模能满足用水需要的地区，不得新增开采地下水，原有的自备水井应当限期封闭，经依法批准开采的矿泉水、地热水除外。</w:t>
                  </w:r>
                </w:p>
              </w:tc>
              <w:tc>
                <w:tcPr>
                  <w:tcW w:w="1119" w:type="pct"/>
                  <w:vAlign w:val="center"/>
                </w:tcPr>
                <w:p w14:paraId="7DE19E27">
                  <w:pPr>
                    <w:jc w:val="center"/>
                    <w:rPr>
                      <w:color w:val="auto"/>
                      <w:szCs w:val="21"/>
                      <w:lang w:val="zh-CN"/>
                    </w:rPr>
                  </w:pPr>
                  <w:r>
                    <w:rPr>
                      <w:color w:val="auto"/>
                      <w:szCs w:val="21"/>
                    </w:rPr>
                    <w:t>本项目不涉及地下水开采</w:t>
                  </w:r>
                  <w:r>
                    <w:rPr>
                      <w:color w:val="auto"/>
                      <w:kern w:val="0"/>
                      <w:szCs w:val="21"/>
                      <w:lang w:bidi="ar"/>
                    </w:rPr>
                    <w:t>。</w:t>
                  </w:r>
                </w:p>
              </w:tc>
              <w:tc>
                <w:tcPr>
                  <w:tcW w:w="544" w:type="pct"/>
                  <w:vAlign w:val="center"/>
                </w:tcPr>
                <w:p w14:paraId="4CB31937">
                  <w:pPr>
                    <w:jc w:val="center"/>
                    <w:rPr>
                      <w:color w:val="auto"/>
                      <w:szCs w:val="21"/>
                    </w:rPr>
                  </w:pPr>
                  <w:r>
                    <w:rPr>
                      <w:color w:val="auto"/>
                      <w:szCs w:val="21"/>
                    </w:rPr>
                    <w:t>符合</w:t>
                  </w:r>
                </w:p>
              </w:tc>
            </w:tr>
            <w:tr w14:paraId="2272761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62" w:hRule="atLeast"/>
                <w:jc w:val="center"/>
              </w:trPr>
              <w:tc>
                <w:tcPr>
                  <w:tcW w:w="280" w:type="pct"/>
                  <w:vMerge w:val="continue"/>
                  <w:tcBorders>
                    <w:right w:val="single" w:color="auto" w:sz="4" w:space="0"/>
                  </w:tcBorders>
                  <w:vAlign w:val="center"/>
                </w:tcPr>
                <w:p w14:paraId="67D9065C">
                  <w:pPr>
                    <w:pStyle w:val="51"/>
                    <w:rPr>
                      <w:rFonts w:ascii="Times New Roman" w:hAnsi="Times New Roman"/>
                      <w:color w:val="auto"/>
                      <w:sz w:val="21"/>
                      <w:szCs w:val="21"/>
                    </w:rPr>
                  </w:pPr>
                </w:p>
              </w:tc>
              <w:tc>
                <w:tcPr>
                  <w:tcW w:w="3056" w:type="pct"/>
                  <w:vAlign w:val="center"/>
                </w:tcPr>
                <w:p w14:paraId="61EF9D90">
                  <w:pPr>
                    <w:jc w:val="left"/>
                    <w:rPr>
                      <w:color w:val="auto"/>
                      <w:szCs w:val="21"/>
                      <w:lang w:val="zh-CN"/>
                    </w:rPr>
                  </w:pPr>
                  <w:r>
                    <w:rPr>
                      <w:color w:val="auto"/>
                      <w:szCs w:val="21"/>
                    </w:rPr>
                    <w:t>23、</w:t>
                  </w:r>
                  <w:r>
                    <w:rPr>
                      <w:color w:val="auto"/>
                      <w:szCs w:val="21"/>
                      <w:lang w:val="zh-CN"/>
                    </w:rPr>
                    <w:t>到2025年，全市单位生产总值能耗消耗比2020年下降15%。</w:t>
                  </w:r>
                </w:p>
              </w:tc>
              <w:tc>
                <w:tcPr>
                  <w:tcW w:w="1119" w:type="pct"/>
                  <w:vAlign w:val="center"/>
                </w:tcPr>
                <w:p w14:paraId="3F249523">
                  <w:pPr>
                    <w:jc w:val="center"/>
                    <w:rPr>
                      <w:color w:val="auto"/>
                      <w:szCs w:val="21"/>
                    </w:rPr>
                  </w:pPr>
                  <w:r>
                    <w:rPr>
                      <w:color w:val="auto"/>
                      <w:szCs w:val="21"/>
                    </w:rPr>
                    <w:t>项目能源消耗主要为水、电，且用量较小</w:t>
                  </w:r>
                  <w:r>
                    <w:rPr>
                      <w:color w:val="auto"/>
                      <w:kern w:val="0"/>
                      <w:szCs w:val="21"/>
                      <w:lang w:bidi="ar"/>
                    </w:rPr>
                    <w:t>。</w:t>
                  </w:r>
                </w:p>
              </w:tc>
              <w:tc>
                <w:tcPr>
                  <w:tcW w:w="544" w:type="pct"/>
                  <w:vAlign w:val="center"/>
                </w:tcPr>
                <w:p w14:paraId="188737E0">
                  <w:pPr>
                    <w:jc w:val="center"/>
                    <w:rPr>
                      <w:color w:val="auto"/>
                      <w:szCs w:val="21"/>
                    </w:rPr>
                  </w:pPr>
                  <w:r>
                    <w:rPr>
                      <w:color w:val="auto"/>
                      <w:szCs w:val="21"/>
                    </w:rPr>
                    <w:t>符合</w:t>
                  </w:r>
                </w:p>
              </w:tc>
            </w:tr>
            <w:tr w14:paraId="1E2F771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007" w:hRule="atLeast"/>
                <w:jc w:val="center"/>
              </w:trPr>
              <w:tc>
                <w:tcPr>
                  <w:tcW w:w="280" w:type="pct"/>
                  <w:vMerge w:val="continue"/>
                  <w:tcBorders>
                    <w:right w:val="single" w:color="auto" w:sz="4" w:space="0"/>
                  </w:tcBorders>
                  <w:vAlign w:val="center"/>
                </w:tcPr>
                <w:p w14:paraId="39233F2D">
                  <w:pPr>
                    <w:pStyle w:val="51"/>
                    <w:rPr>
                      <w:rFonts w:ascii="Times New Roman" w:hAnsi="Times New Roman"/>
                      <w:color w:val="auto"/>
                      <w:sz w:val="21"/>
                      <w:szCs w:val="21"/>
                    </w:rPr>
                  </w:pPr>
                </w:p>
              </w:tc>
              <w:tc>
                <w:tcPr>
                  <w:tcW w:w="3056" w:type="pct"/>
                  <w:vAlign w:val="center"/>
                </w:tcPr>
                <w:p w14:paraId="77B1A29C">
                  <w:pPr>
                    <w:jc w:val="left"/>
                    <w:rPr>
                      <w:color w:val="auto"/>
                      <w:szCs w:val="21"/>
                      <w:lang w:val="zh-CN"/>
                    </w:rPr>
                  </w:pPr>
                  <w:r>
                    <w:rPr>
                      <w:color w:val="auto"/>
                      <w:szCs w:val="21"/>
                    </w:rPr>
                    <w:t>24、</w:t>
                  </w:r>
                  <w:r>
                    <w:rPr>
                      <w:color w:val="auto"/>
                      <w:szCs w:val="21"/>
                      <w:lang w:val="zh-CN"/>
                    </w:rPr>
                    <w:t>禁止在禁燃区内新建、扩建、改建使用高污染燃料的项目，禁燃区的所有锅炉要按照使用规定全部淘汰或改造到位。</w:t>
                  </w:r>
                </w:p>
              </w:tc>
              <w:tc>
                <w:tcPr>
                  <w:tcW w:w="1119" w:type="pct"/>
                  <w:vAlign w:val="center"/>
                </w:tcPr>
                <w:p w14:paraId="674FFE4B">
                  <w:pPr>
                    <w:jc w:val="center"/>
                    <w:rPr>
                      <w:color w:val="auto"/>
                      <w:szCs w:val="21"/>
                    </w:rPr>
                  </w:pPr>
                  <w:r>
                    <w:rPr>
                      <w:color w:val="auto"/>
                      <w:szCs w:val="21"/>
                    </w:rPr>
                    <w:t>项目不使用高污染燃料项目</w:t>
                  </w:r>
                  <w:r>
                    <w:rPr>
                      <w:color w:val="auto"/>
                      <w:kern w:val="0"/>
                      <w:szCs w:val="21"/>
                      <w:lang w:bidi="ar"/>
                    </w:rPr>
                    <w:t>。</w:t>
                  </w:r>
                </w:p>
              </w:tc>
              <w:tc>
                <w:tcPr>
                  <w:tcW w:w="544" w:type="pct"/>
                  <w:vAlign w:val="center"/>
                </w:tcPr>
                <w:p w14:paraId="5084557E">
                  <w:pPr>
                    <w:jc w:val="center"/>
                    <w:rPr>
                      <w:color w:val="auto"/>
                      <w:szCs w:val="21"/>
                    </w:rPr>
                  </w:pPr>
                  <w:r>
                    <w:rPr>
                      <w:color w:val="auto"/>
                      <w:szCs w:val="21"/>
                    </w:rPr>
                    <w:t>符合</w:t>
                  </w:r>
                </w:p>
              </w:tc>
            </w:tr>
          </w:tbl>
          <w:p w14:paraId="4D410CC5">
            <w:pPr>
              <w:spacing w:before="240" w:beforeLines="100" w:line="360" w:lineRule="auto"/>
              <w:ind w:firstLine="420" w:firstLineChars="200"/>
              <w:jc w:val="left"/>
              <w:rPr>
                <w:rFonts w:hint="eastAsia"/>
                <w:b/>
                <w:bCs/>
                <w:color w:val="auto"/>
                <w:szCs w:val="21"/>
                <w:lang w:val="zh-CN"/>
              </w:rPr>
            </w:pPr>
            <w:r>
              <w:rPr>
                <w:rFonts w:hint="eastAsia"/>
                <w:color w:val="auto"/>
                <w:kern w:val="0"/>
                <w:szCs w:val="21"/>
                <w:lang w:val="en-US" w:eastAsia="zh-CN"/>
              </w:rPr>
              <w:t>由江西省生态环境分区管控信息平台可知该项目位于</w:t>
            </w:r>
            <w:r>
              <w:rPr>
                <w:rFonts w:hint="eastAsia"/>
                <w:color w:val="auto"/>
                <w:kern w:val="0"/>
                <w:szCs w:val="21"/>
              </w:rPr>
              <w:t>江西省九江市庐山市重点管控单元1</w:t>
            </w:r>
            <w:r>
              <w:rPr>
                <w:rFonts w:hint="eastAsia"/>
                <w:color w:val="auto"/>
                <w:kern w:val="0"/>
                <w:szCs w:val="21"/>
                <w:lang w:val="en-US" w:eastAsia="zh-CN"/>
              </w:rPr>
              <w:t>范围内。</w:t>
            </w:r>
            <w:r>
              <w:drawing>
                <wp:inline distT="0" distB="0" distL="114300" distR="114300">
                  <wp:extent cx="4787900" cy="3159125"/>
                  <wp:effectExtent l="0" t="0" r="12700" b="317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8"/>
                          <a:stretch>
                            <a:fillRect/>
                          </a:stretch>
                        </pic:blipFill>
                        <pic:spPr>
                          <a:xfrm>
                            <a:off x="0" y="0"/>
                            <a:ext cx="4787900" cy="3159125"/>
                          </a:xfrm>
                          <a:prstGeom prst="rect">
                            <a:avLst/>
                          </a:prstGeom>
                          <a:noFill/>
                          <a:ln>
                            <a:noFill/>
                          </a:ln>
                        </pic:spPr>
                      </pic:pic>
                    </a:graphicData>
                  </a:graphic>
                </wp:inline>
              </w:drawing>
            </w:r>
          </w:p>
          <w:p w14:paraId="1C5196D8">
            <w:pPr>
              <w:spacing w:before="240" w:beforeLines="100"/>
              <w:jc w:val="center"/>
              <w:rPr>
                <w:b/>
                <w:bCs/>
                <w:color w:val="auto"/>
                <w:szCs w:val="21"/>
                <w:lang w:val="zh-CN"/>
              </w:rPr>
            </w:pPr>
            <w:r>
              <w:rPr>
                <w:rFonts w:hint="eastAsia"/>
                <w:b/>
                <w:bCs/>
                <w:color w:val="auto"/>
                <w:szCs w:val="21"/>
                <w:lang w:val="zh-CN"/>
              </w:rPr>
              <w:t>表1-</w:t>
            </w:r>
            <w:r>
              <w:rPr>
                <w:rFonts w:hint="eastAsia"/>
                <w:b/>
                <w:bCs/>
                <w:color w:val="auto"/>
                <w:szCs w:val="21"/>
              </w:rPr>
              <w:t>3</w:t>
            </w:r>
            <w:r>
              <w:rPr>
                <w:b/>
                <w:bCs/>
                <w:color w:val="auto"/>
                <w:szCs w:val="21"/>
                <w:lang w:val="zh-CN"/>
              </w:rPr>
              <w:t xml:space="preserve"> </w:t>
            </w:r>
            <w:r>
              <w:rPr>
                <w:rFonts w:hint="eastAsia"/>
                <w:b/>
                <w:bCs/>
                <w:color w:val="auto"/>
                <w:szCs w:val="21"/>
                <w:lang w:val="zh-CN"/>
              </w:rPr>
              <w:t>九江市“三线一单”分区管控单元生态环境准入清单相符性分析</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31"/>
              <w:gridCol w:w="1056"/>
              <w:gridCol w:w="3586"/>
              <w:gridCol w:w="1946"/>
              <w:gridCol w:w="634"/>
            </w:tblGrid>
            <w:tr w14:paraId="2020F4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87" w:type="dxa"/>
                  <w:gridSpan w:val="2"/>
                  <w:vAlign w:val="center"/>
                </w:tcPr>
                <w:p w14:paraId="10B4B3F7">
                  <w:pPr>
                    <w:autoSpaceDE w:val="0"/>
                    <w:autoSpaceDN w:val="0"/>
                    <w:adjustRightInd w:val="0"/>
                    <w:snapToGrid w:val="0"/>
                    <w:jc w:val="center"/>
                    <w:rPr>
                      <w:b/>
                      <w:bCs/>
                      <w:color w:val="auto"/>
                      <w:kern w:val="0"/>
                      <w:szCs w:val="21"/>
                    </w:rPr>
                  </w:pPr>
                  <w:r>
                    <w:rPr>
                      <w:b/>
                      <w:bCs/>
                      <w:color w:val="auto"/>
                      <w:kern w:val="0"/>
                      <w:szCs w:val="21"/>
                    </w:rPr>
                    <w:t>环境管控单元编码</w:t>
                  </w:r>
                </w:p>
              </w:tc>
              <w:tc>
                <w:tcPr>
                  <w:tcW w:w="6166" w:type="dxa"/>
                  <w:gridSpan w:val="3"/>
                  <w:vAlign w:val="center"/>
                </w:tcPr>
                <w:p w14:paraId="590E10F4">
                  <w:pPr>
                    <w:widowControl/>
                    <w:adjustRightInd w:val="0"/>
                    <w:snapToGrid w:val="0"/>
                    <w:jc w:val="center"/>
                    <w:textAlignment w:val="center"/>
                    <w:rPr>
                      <w:color w:val="auto"/>
                      <w:kern w:val="0"/>
                      <w:szCs w:val="21"/>
                    </w:rPr>
                  </w:pPr>
                  <w:r>
                    <w:rPr>
                      <w:rFonts w:hint="eastAsia"/>
                      <w:color w:val="auto"/>
                      <w:kern w:val="0"/>
                      <w:szCs w:val="21"/>
                    </w:rPr>
                    <w:t>ZH36048320001</w:t>
                  </w:r>
                </w:p>
              </w:tc>
            </w:tr>
            <w:tr w14:paraId="0E0D87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7" w:type="dxa"/>
                  <w:gridSpan w:val="2"/>
                  <w:vAlign w:val="center"/>
                </w:tcPr>
                <w:p w14:paraId="3B2DC8B3">
                  <w:pPr>
                    <w:autoSpaceDE w:val="0"/>
                    <w:autoSpaceDN w:val="0"/>
                    <w:adjustRightInd w:val="0"/>
                    <w:snapToGrid w:val="0"/>
                    <w:jc w:val="center"/>
                    <w:rPr>
                      <w:b/>
                      <w:bCs/>
                      <w:color w:val="auto"/>
                      <w:kern w:val="0"/>
                      <w:szCs w:val="21"/>
                    </w:rPr>
                  </w:pPr>
                  <w:r>
                    <w:rPr>
                      <w:b/>
                      <w:bCs/>
                      <w:color w:val="auto"/>
                      <w:kern w:val="0"/>
                      <w:szCs w:val="21"/>
                    </w:rPr>
                    <w:t>环境管控单元名称</w:t>
                  </w:r>
                </w:p>
              </w:tc>
              <w:tc>
                <w:tcPr>
                  <w:tcW w:w="6166" w:type="dxa"/>
                  <w:gridSpan w:val="3"/>
                  <w:vAlign w:val="center"/>
                </w:tcPr>
                <w:p w14:paraId="09F89B74">
                  <w:pPr>
                    <w:widowControl/>
                    <w:adjustRightInd w:val="0"/>
                    <w:snapToGrid w:val="0"/>
                    <w:jc w:val="center"/>
                    <w:textAlignment w:val="center"/>
                    <w:rPr>
                      <w:color w:val="auto"/>
                      <w:kern w:val="0"/>
                      <w:szCs w:val="21"/>
                    </w:rPr>
                  </w:pPr>
                  <w:r>
                    <w:rPr>
                      <w:rFonts w:hint="eastAsia"/>
                      <w:color w:val="auto"/>
                      <w:kern w:val="0"/>
                      <w:szCs w:val="21"/>
                    </w:rPr>
                    <w:t>江西省九江市庐山市重点管控单元1</w:t>
                  </w:r>
                </w:p>
              </w:tc>
            </w:tr>
            <w:tr w14:paraId="6FE36E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7" w:type="dxa"/>
                  <w:gridSpan w:val="2"/>
                  <w:vAlign w:val="center"/>
                </w:tcPr>
                <w:p w14:paraId="63A617E1">
                  <w:pPr>
                    <w:autoSpaceDE w:val="0"/>
                    <w:autoSpaceDN w:val="0"/>
                    <w:adjustRightInd w:val="0"/>
                    <w:snapToGrid w:val="0"/>
                    <w:jc w:val="center"/>
                    <w:rPr>
                      <w:b/>
                      <w:bCs/>
                      <w:color w:val="auto"/>
                      <w:kern w:val="0"/>
                      <w:szCs w:val="21"/>
                    </w:rPr>
                  </w:pPr>
                  <w:r>
                    <w:rPr>
                      <w:b/>
                      <w:bCs/>
                      <w:color w:val="auto"/>
                      <w:kern w:val="0"/>
                      <w:szCs w:val="21"/>
                    </w:rPr>
                    <w:t>地理位置</w:t>
                  </w:r>
                </w:p>
              </w:tc>
              <w:tc>
                <w:tcPr>
                  <w:tcW w:w="6166" w:type="dxa"/>
                  <w:gridSpan w:val="3"/>
                  <w:vAlign w:val="center"/>
                </w:tcPr>
                <w:p w14:paraId="3A020587">
                  <w:pPr>
                    <w:widowControl/>
                    <w:adjustRightInd w:val="0"/>
                    <w:snapToGrid w:val="0"/>
                    <w:jc w:val="center"/>
                    <w:textAlignment w:val="center"/>
                    <w:rPr>
                      <w:color w:val="auto"/>
                      <w:kern w:val="0"/>
                      <w:szCs w:val="21"/>
                    </w:rPr>
                  </w:pPr>
                  <w:r>
                    <w:rPr>
                      <w:color w:val="auto"/>
                      <w:kern w:val="0"/>
                      <w:szCs w:val="21"/>
                    </w:rPr>
                    <w:t>江西省九江市</w:t>
                  </w:r>
                  <w:r>
                    <w:rPr>
                      <w:rFonts w:hint="eastAsia"/>
                      <w:color w:val="auto"/>
                      <w:kern w:val="0"/>
                      <w:szCs w:val="21"/>
                    </w:rPr>
                    <w:t>庐山市</w:t>
                  </w:r>
                </w:p>
              </w:tc>
            </w:tr>
            <w:tr w14:paraId="4461BA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7" w:type="dxa"/>
                  <w:gridSpan w:val="2"/>
                  <w:vAlign w:val="center"/>
                </w:tcPr>
                <w:p w14:paraId="31FC99DA">
                  <w:pPr>
                    <w:autoSpaceDE w:val="0"/>
                    <w:autoSpaceDN w:val="0"/>
                    <w:adjustRightInd w:val="0"/>
                    <w:snapToGrid w:val="0"/>
                    <w:jc w:val="center"/>
                    <w:rPr>
                      <w:b/>
                      <w:bCs/>
                      <w:color w:val="auto"/>
                      <w:kern w:val="0"/>
                      <w:szCs w:val="21"/>
                    </w:rPr>
                  </w:pPr>
                  <w:r>
                    <w:rPr>
                      <w:b/>
                      <w:bCs/>
                      <w:color w:val="auto"/>
                      <w:kern w:val="0"/>
                      <w:szCs w:val="21"/>
                    </w:rPr>
                    <w:t>范围</w:t>
                  </w:r>
                </w:p>
              </w:tc>
              <w:tc>
                <w:tcPr>
                  <w:tcW w:w="6166" w:type="dxa"/>
                  <w:gridSpan w:val="3"/>
                  <w:vAlign w:val="center"/>
                </w:tcPr>
                <w:p w14:paraId="1170B2D5">
                  <w:pPr>
                    <w:widowControl/>
                    <w:adjustRightInd w:val="0"/>
                    <w:snapToGrid w:val="0"/>
                    <w:jc w:val="center"/>
                    <w:textAlignment w:val="center"/>
                    <w:rPr>
                      <w:color w:val="auto"/>
                      <w:kern w:val="0"/>
                      <w:szCs w:val="21"/>
                    </w:rPr>
                  </w:pPr>
                  <w:r>
                    <w:rPr>
                      <w:rFonts w:hint="eastAsia"/>
                      <w:color w:val="auto"/>
                      <w:kern w:val="0"/>
                      <w:szCs w:val="21"/>
                    </w:rPr>
                    <w:t>主要为城镇建设区域和集中居住区</w:t>
                  </w:r>
                </w:p>
              </w:tc>
            </w:tr>
            <w:tr w14:paraId="2EC49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7" w:type="dxa"/>
                  <w:gridSpan w:val="2"/>
                  <w:vAlign w:val="center"/>
                </w:tcPr>
                <w:p w14:paraId="13BF8B00">
                  <w:pPr>
                    <w:autoSpaceDE w:val="0"/>
                    <w:autoSpaceDN w:val="0"/>
                    <w:adjustRightInd w:val="0"/>
                    <w:snapToGrid w:val="0"/>
                    <w:jc w:val="center"/>
                    <w:rPr>
                      <w:b/>
                      <w:bCs/>
                      <w:color w:val="auto"/>
                      <w:kern w:val="0"/>
                      <w:szCs w:val="21"/>
                    </w:rPr>
                  </w:pPr>
                  <w:r>
                    <w:rPr>
                      <w:b/>
                      <w:bCs/>
                      <w:color w:val="auto"/>
                      <w:kern w:val="0"/>
                      <w:szCs w:val="21"/>
                    </w:rPr>
                    <w:t>管控单元分类</w:t>
                  </w:r>
                </w:p>
              </w:tc>
              <w:tc>
                <w:tcPr>
                  <w:tcW w:w="6166" w:type="dxa"/>
                  <w:gridSpan w:val="3"/>
                  <w:vAlign w:val="center"/>
                </w:tcPr>
                <w:p w14:paraId="101765A9">
                  <w:pPr>
                    <w:widowControl/>
                    <w:adjustRightInd w:val="0"/>
                    <w:snapToGrid w:val="0"/>
                    <w:jc w:val="center"/>
                    <w:textAlignment w:val="center"/>
                    <w:rPr>
                      <w:color w:val="auto"/>
                      <w:kern w:val="0"/>
                      <w:szCs w:val="21"/>
                    </w:rPr>
                  </w:pPr>
                  <w:r>
                    <w:rPr>
                      <w:rFonts w:hint="eastAsia"/>
                      <w:color w:val="auto"/>
                      <w:kern w:val="0"/>
                      <w:szCs w:val="21"/>
                    </w:rPr>
                    <w:t>重点管控单元</w:t>
                  </w:r>
                </w:p>
              </w:tc>
            </w:tr>
            <w:tr w14:paraId="6B955C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87" w:type="dxa"/>
                  <w:gridSpan w:val="2"/>
                  <w:vAlign w:val="center"/>
                </w:tcPr>
                <w:p w14:paraId="755BCF77">
                  <w:pPr>
                    <w:autoSpaceDE w:val="0"/>
                    <w:autoSpaceDN w:val="0"/>
                    <w:adjustRightInd w:val="0"/>
                    <w:snapToGrid w:val="0"/>
                    <w:jc w:val="center"/>
                    <w:rPr>
                      <w:b/>
                      <w:bCs/>
                      <w:color w:val="auto"/>
                      <w:kern w:val="0"/>
                      <w:szCs w:val="21"/>
                    </w:rPr>
                  </w:pPr>
                  <w:r>
                    <w:rPr>
                      <w:b/>
                      <w:bCs/>
                      <w:color w:val="auto"/>
                      <w:kern w:val="0"/>
                      <w:szCs w:val="21"/>
                    </w:rPr>
                    <w:t>单元特征</w:t>
                  </w:r>
                </w:p>
              </w:tc>
              <w:tc>
                <w:tcPr>
                  <w:tcW w:w="6166" w:type="dxa"/>
                  <w:gridSpan w:val="3"/>
                  <w:vAlign w:val="center"/>
                </w:tcPr>
                <w:p w14:paraId="2282AE6B">
                  <w:pPr>
                    <w:widowControl/>
                    <w:adjustRightInd w:val="0"/>
                    <w:snapToGrid w:val="0"/>
                    <w:jc w:val="left"/>
                    <w:textAlignment w:val="center"/>
                    <w:rPr>
                      <w:color w:val="auto"/>
                      <w:kern w:val="0"/>
                      <w:szCs w:val="21"/>
                    </w:rPr>
                  </w:pPr>
                  <w:r>
                    <w:rPr>
                      <w:rFonts w:hint="eastAsia"/>
                      <w:color w:val="auto"/>
                      <w:kern w:val="0"/>
                      <w:szCs w:val="21"/>
                    </w:rPr>
                    <w:t>主要涉及城镇重点区域和受体敏感区；涉及岸线为优先保护岸线。</w:t>
                  </w:r>
                </w:p>
              </w:tc>
            </w:tr>
            <w:tr w14:paraId="056775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dxa"/>
                  <w:vAlign w:val="center"/>
                </w:tcPr>
                <w:p w14:paraId="47BD27E4">
                  <w:pPr>
                    <w:adjustRightInd w:val="0"/>
                    <w:snapToGrid w:val="0"/>
                    <w:jc w:val="center"/>
                    <w:rPr>
                      <w:b/>
                      <w:bCs/>
                      <w:color w:val="auto"/>
                      <w:szCs w:val="21"/>
                    </w:rPr>
                  </w:pPr>
                </w:p>
              </w:tc>
              <w:tc>
                <w:tcPr>
                  <w:tcW w:w="1056" w:type="dxa"/>
                  <w:vAlign w:val="center"/>
                </w:tcPr>
                <w:p w14:paraId="7A41B895">
                  <w:pPr>
                    <w:adjustRightInd w:val="0"/>
                    <w:snapToGrid w:val="0"/>
                    <w:jc w:val="center"/>
                    <w:rPr>
                      <w:b/>
                      <w:bCs/>
                      <w:color w:val="auto"/>
                      <w:szCs w:val="21"/>
                    </w:rPr>
                  </w:pPr>
                  <w:r>
                    <w:rPr>
                      <w:b/>
                      <w:bCs/>
                      <w:color w:val="auto"/>
                      <w:szCs w:val="21"/>
                    </w:rPr>
                    <w:t>清单编制要求</w:t>
                  </w:r>
                </w:p>
              </w:tc>
              <w:tc>
                <w:tcPr>
                  <w:tcW w:w="3586" w:type="dxa"/>
                  <w:vAlign w:val="center"/>
                </w:tcPr>
                <w:p w14:paraId="2067B4AF">
                  <w:pPr>
                    <w:adjustRightInd w:val="0"/>
                    <w:snapToGrid w:val="0"/>
                    <w:jc w:val="center"/>
                    <w:rPr>
                      <w:b/>
                      <w:bCs/>
                      <w:color w:val="auto"/>
                      <w:szCs w:val="21"/>
                    </w:rPr>
                  </w:pPr>
                  <w:r>
                    <w:rPr>
                      <w:b/>
                      <w:bCs/>
                      <w:color w:val="auto"/>
                      <w:szCs w:val="21"/>
                    </w:rPr>
                    <w:t>生态环境准入要求</w:t>
                  </w:r>
                </w:p>
              </w:tc>
              <w:tc>
                <w:tcPr>
                  <w:tcW w:w="1946" w:type="dxa"/>
                  <w:vAlign w:val="center"/>
                </w:tcPr>
                <w:p w14:paraId="26D7E15A">
                  <w:pPr>
                    <w:adjustRightInd w:val="0"/>
                    <w:snapToGrid w:val="0"/>
                    <w:jc w:val="center"/>
                    <w:rPr>
                      <w:b/>
                      <w:bCs/>
                      <w:color w:val="auto"/>
                      <w:szCs w:val="21"/>
                    </w:rPr>
                  </w:pPr>
                  <w:r>
                    <w:rPr>
                      <w:b/>
                      <w:bCs/>
                      <w:color w:val="auto"/>
                      <w:szCs w:val="21"/>
                    </w:rPr>
                    <w:t>符合性分析</w:t>
                  </w:r>
                </w:p>
              </w:tc>
              <w:tc>
                <w:tcPr>
                  <w:tcW w:w="634" w:type="dxa"/>
                  <w:vAlign w:val="center"/>
                </w:tcPr>
                <w:p w14:paraId="2CA5920B">
                  <w:pPr>
                    <w:adjustRightInd w:val="0"/>
                    <w:snapToGrid w:val="0"/>
                    <w:jc w:val="center"/>
                    <w:rPr>
                      <w:b/>
                      <w:bCs/>
                      <w:color w:val="auto"/>
                      <w:szCs w:val="21"/>
                    </w:rPr>
                  </w:pPr>
                  <w:r>
                    <w:rPr>
                      <w:b/>
                      <w:bCs/>
                      <w:color w:val="auto"/>
                      <w:szCs w:val="21"/>
                    </w:rPr>
                    <w:t>是否符合</w:t>
                  </w:r>
                </w:p>
              </w:tc>
            </w:tr>
            <w:tr w14:paraId="730B2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31" w:type="dxa"/>
                  <w:vMerge w:val="restart"/>
                  <w:vAlign w:val="center"/>
                </w:tcPr>
                <w:p w14:paraId="1AA8DE4C">
                  <w:pPr>
                    <w:adjustRightInd w:val="0"/>
                    <w:snapToGrid w:val="0"/>
                    <w:jc w:val="center"/>
                    <w:rPr>
                      <w:color w:val="auto"/>
                      <w:szCs w:val="21"/>
                    </w:rPr>
                  </w:pPr>
                  <w:r>
                    <w:rPr>
                      <w:color w:val="auto"/>
                      <w:szCs w:val="21"/>
                    </w:rPr>
                    <w:t>空间布局约束</w:t>
                  </w:r>
                </w:p>
              </w:tc>
              <w:tc>
                <w:tcPr>
                  <w:tcW w:w="1056" w:type="dxa"/>
                  <w:vAlign w:val="center"/>
                </w:tcPr>
                <w:p w14:paraId="681D1121">
                  <w:pPr>
                    <w:adjustRightInd w:val="0"/>
                    <w:snapToGrid w:val="0"/>
                    <w:jc w:val="center"/>
                    <w:rPr>
                      <w:color w:val="auto"/>
                      <w:szCs w:val="21"/>
                    </w:rPr>
                  </w:pPr>
                  <w:r>
                    <w:rPr>
                      <w:rFonts w:hint="eastAsia"/>
                      <w:color w:val="auto"/>
                      <w:szCs w:val="21"/>
                    </w:rPr>
                    <w:t>禁止</w:t>
                  </w:r>
                  <w:r>
                    <w:rPr>
                      <w:color w:val="auto"/>
                      <w:szCs w:val="21"/>
                    </w:rPr>
                    <w:t>开发建设活动的要求</w:t>
                  </w:r>
                </w:p>
              </w:tc>
              <w:tc>
                <w:tcPr>
                  <w:tcW w:w="3586" w:type="dxa"/>
                  <w:vAlign w:val="center"/>
                </w:tcPr>
                <w:p w14:paraId="6B8BFD5A">
                  <w:pPr>
                    <w:adjustRightInd w:val="0"/>
                    <w:snapToGrid w:val="0"/>
                    <w:jc w:val="center"/>
                    <w:rPr>
                      <w:color w:val="auto"/>
                      <w:szCs w:val="21"/>
                    </w:rPr>
                  </w:pPr>
                  <w:r>
                    <w:rPr>
                      <w:rFonts w:hint="eastAsia"/>
                      <w:color w:val="auto"/>
                      <w:szCs w:val="21"/>
                    </w:rPr>
                    <w:t>按饮用水源保护区相关管理规定执行。</w:t>
                  </w:r>
                </w:p>
              </w:tc>
              <w:tc>
                <w:tcPr>
                  <w:tcW w:w="1946" w:type="dxa"/>
                  <w:vAlign w:val="center"/>
                </w:tcPr>
                <w:p w14:paraId="29FB7B61">
                  <w:pPr>
                    <w:adjustRightInd w:val="0"/>
                    <w:snapToGrid w:val="0"/>
                    <w:jc w:val="left"/>
                    <w:rPr>
                      <w:color w:val="auto"/>
                      <w:szCs w:val="21"/>
                    </w:rPr>
                  </w:pPr>
                  <w:r>
                    <w:rPr>
                      <w:color w:val="auto"/>
                      <w:szCs w:val="21"/>
                    </w:rPr>
                    <w:t>项目不涉及</w:t>
                  </w:r>
                </w:p>
              </w:tc>
              <w:tc>
                <w:tcPr>
                  <w:tcW w:w="634" w:type="dxa"/>
                  <w:vAlign w:val="center"/>
                </w:tcPr>
                <w:p w14:paraId="7A2B53F8">
                  <w:pPr>
                    <w:jc w:val="center"/>
                    <w:rPr>
                      <w:color w:val="auto"/>
                      <w:szCs w:val="21"/>
                    </w:rPr>
                  </w:pPr>
                  <w:r>
                    <w:rPr>
                      <w:rFonts w:hint="eastAsia"/>
                      <w:color w:val="auto"/>
                      <w:szCs w:val="21"/>
                    </w:rPr>
                    <w:t>符合</w:t>
                  </w:r>
                </w:p>
              </w:tc>
            </w:tr>
            <w:tr w14:paraId="2ED775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34" w:hRule="atLeast"/>
                <w:jc w:val="center"/>
              </w:trPr>
              <w:tc>
                <w:tcPr>
                  <w:tcW w:w="331" w:type="dxa"/>
                  <w:vMerge w:val="continue"/>
                  <w:vAlign w:val="center"/>
                </w:tcPr>
                <w:p w14:paraId="746783CA">
                  <w:pPr>
                    <w:adjustRightInd w:val="0"/>
                    <w:snapToGrid w:val="0"/>
                    <w:jc w:val="center"/>
                    <w:rPr>
                      <w:color w:val="auto"/>
                      <w:szCs w:val="21"/>
                    </w:rPr>
                  </w:pPr>
                </w:p>
              </w:tc>
              <w:tc>
                <w:tcPr>
                  <w:tcW w:w="1056" w:type="dxa"/>
                  <w:vAlign w:val="center"/>
                </w:tcPr>
                <w:p w14:paraId="2622215B">
                  <w:pPr>
                    <w:adjustRightInd w:val="0"/>
                    <w:snapToGrid w:val="0"/>
                    <w:jc w:val="center"/>
                    <w:rPr>
                      <w:color w:val="auto"/>
                      <w:szCs w:val="21"/>
                    </w:rPr>
                  </w:pPr>
                  <w:r>
                    <w:rPr>
                      <w:rFonts w:hint="eastAsia"/>
                      <w:color w:val="auto"/>
                      <w:szCs w:val="21"/>
                    </w:rPr>
                    <w:t>限制</w:t>
                  </w:r>
                  <w:r>
                    <w:rPr>
                      <w:color w:val="auto"/>
                      <w:szCs w:val="21"/>
                    </w:rPr>
                    <w:t>开发建设活动的要求</w:t>
                  </w:r>
                </w:p>
              </w:tc>
              <w:tc>
                <w:tcPr>
                  <w:tcW w:w="3586" w:type="dxa"/>
                  <w:vAlign w:val="center"/>
                </w:tcPr>
                <w:p w14:paraId="48D9EEA2">
                  <w:pPr>
                    <w:adjustRightInd w:val="0"/>
                    <w:snapToGrid w:val="0"/>
                    <w:rPr>
                      <w:color w:val="auto"/>
                      <w:szCs w:val="21"/>
                    </w:rPr>
                  </w:pPr>
                  <w:r>
                    <w:rPr>
                      <w:rFonts w:hint="eastAsia"/>
                      <w:color w:val="auto"/>
                      <w:szCs w:val="21"/>
                    </w:rPr>
                    <w:t>限制引入含磷废水排放量大的项目。</w:t>
                  </w:r>
                </w:p>
              </w:tc>
              <w:tc>
                <w:tcPr>
                  <w:tcW w:w="1946" w:type="dxa"/>
                  <w:vAlign w:val="center"/>
                </w:tcPr>
                <w:p w14:paraId="1A4CDC77">
                  <w:pPr>
                    <w:adjustRightInd w:val="0"/>
                    <w:snapToGrid w:val="0"/>
                    <w:rPr>
                      <w:color w:val="auto"/>
                      <w:szCs w:val="21"/>
                    </w:rPr>
                  </w:pPr>
                  <w:r>
                    <w:rPr>
                      <w:rFonts w:hint="eastAsia"/>
                      <w:color w:val="auto"/>
                      <w:szCs w:val="21"/>
                    </w:rPr>
                    <w:t>本项目产生含磷废水</w:t>
                  </w:r>
                  <w:r>
                    <w:rPr>
                      <w:rFonts w:hint="eastAsia"/>
                      <w:color w:val="auto"/>
                      <w:szCs w:val="21"/>
                      <w:lang w:val="en-US" w:eastAsia="zh-CN"/>
                    </w:rPr>
                    <w:t>较少</w:t>
                  </w:r>
                  <w:r>
                    <w:rPr>
                      <w:rFonts w:hint="eastAsia"/>
                      <w:color w:val="auto"/>
                      <w:szCs w:val="21"/>
                    </w:rPr>
                    <w:t>。</w:t>
                  </w:r>
                </w:p>
              </w:tc>
              <w:tc>
                <w:tcPr>
                  <w:tcW w:w="634" w:type="dxa"/>
                  <w:vAlign w:val="center"/>
                </w:tcPr>
                <w:p w14:paraId="47E6F197">
                  <w:pPr>
                    <w:jc w:val="center"/>
                    <w:rPr>
                      <w:color w:val="auto"/>
                      <w:szCs w:val="21"/>
                    </w:rPr>
                  </w:pPr>
                  <w:r>
                    <w:rPr>
                      <w:rFonts w:hint="eastAsia"/>
                      <w:color w:val="auto"/>
                      <w:szCs w:val="21"/>
                    </w:rPr>
                    <w:t>符合</w:t>
                  </w:r>
                </w:p>
              </w:tc>
            </w:tr>
            <w:tr w14:paraId="74BC94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47" w:hRule="atLeast"/>
                <w:jc w:val="center"/>
              </w:trPr>
              <w:tc>
                <w:tcPr>
                  <w:tcW w:w="331" w:type="dxa"/>
                  <w:vMerge w:val="continue"/>
                  <w:vAlign w:val="center"/>
                </w:tcPr>
                <w:p w14:paraId="459AAEF6">
                  <w:pPr>
                    <w:adjustRightInd w:val="0"/>
                    <w:snapToGrid w:val="0"/>
                    <w:jc w:val="center"/>
                    <w:rPr>
                      <w:color w:val="auto"/>
                      <w:szCs w:val="21"/>
                    </w:rPr>
                  </w:pPr>
                </w:p>
              </w:tc>
              <w:tc>
                <w:tcPr>
                  <w:tcW w:w="1056" w:type="dxa"/>
                  <w:vAlign w:val="center"/>
                </w:tcPr>
                <w:p w14:paraId="6B8220B0">
                  <w:pPr>
                    <w:adjustRightInd w:val="0"/>
                    <w:snapToGrid w:val="0"/>
                    <w:jc w:val="center"/>
                    <w:rPr>
                      <w:color w:val="auto"/>
                      <w:szCs w:val="21"/>
                    </w:rPr>
                  </w:pPr>
                  <w:r>
                    <w:rPr>
                      <w:rFonts w:hint="eastAsia"/>
                      <w:color w:val="auto"/>
                      <w:szCs w:val="21"/>
                    </w:rPr>
                    <w:t>允许</w:t>
                  </w:r>
                  <w:r>
                    <w:rPr>
                      <w:color w:val="auto"/>
                      <w:szCs w:val="21"/>
                    </w:rPr>
                    <w:t>开发建设活动的要求</w:t>
                  </w:r>
                </w:p>
              </w:tc>
              <w:tc>
                <w:tcPr>
                  <w:tcW w:w="3586" w:type="dxa"/>
                  <w:vAlign w:val="center"/>
                </w:tcPr>
                <w:p w14:paraId="35B8C86C">
                  <w:pPr>
                    <w:adjustRightInd w:val="0"/>
                    <w:snapToGrid w:val="0"/>
                    <w:rPr>
                      <w:color w:val="auto"/>
                      <w:szCs w:val="21"/>
                    </w:rPr>
                  </w:pPr>
                  <w:r>
                    <w:rPr>
                      <w:rFonts w:hint="eastAsia"/>
                      <w:color w:val="auto"/>
                      <w:szCs w:val="21"/>
                    </w:rPr>
                    <w:t>涉及河湖（含水库）管理范围的按照相关法律法规执行。</w:t>
                  </w:r>
                </w:p>
              </w:tc>
              <w:tc>
                <w:tcPr>
                  <w:tcW w:w="1946" w:type="dxa"/>
                  <w:vAlign w:val="center"/>
                </w:tcPr>
                <w:p w14:paraId="4FBD831A">
                  <w:pPr>
                    <w:adjustRightInd w:val="0"/>
                    <w:snapToGrid w:val="0"/>
                    <w:jc w:val="center"/>
                    <w:rPr>
                      <w:color w:val="auto"/>
                      <w:szCs w:val="21"/>
                    </w:rPr>
                  </w:pPr>
                  <w:r>
                    <w:rPr>
                      <w:rFonts w:hint="eastAsia"/>
                      <w:color w:val="auto"/>
                      <w:szCs w:val="21"/>
                    </w:rPr>
                    <w:t>项目不涉及河湖（含水库）管理范围</w:t>
                  </w:r>
                </w:p>
              </w:tc>
              <w:tc>
                <w:tcPr>
                  <w:tcW w:w="634" w:type="dxa"/>
                  <w:vAlign w:val="center"/>
                </w:tcPr>
                <w:p w14:paraId="3BE7FF1F">
                  <w:pPr>
                    <w:adjustRightInd w:val="0"/>
                    <w:snapToGrid w:val="0"/>
                    <w:jc w:val="center"/>
                    <w:rPr>
                      <w:color w:val="auto"/>
                      <w:szCs w:val="21"/>
                    </w:rPr>
                  </w:pPr>
                  <w:r>
                    <w:rPr>
                      <w:rFonts w:hint="eastAsia"/>
                      <w:color w:val="auto"/>
                      <w:szCs w:val="21"/>
                    </w:rPr>
                    <w:t>符合</w:t>
                  </w:r>
                </w:p>
              </w:tc>
            </w:tr>
            <w:tr w14:paraId="6BAC95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95" w:hRule="atLeast"/>
                <w:jc w:val="center"/>
              </w:trPr>
              <w:tc>
                <w:tcPr>
                  <w:tcW w:w="331" w:type="dxa"/>
                  <w:vMerge w:val="continue"/>
                  <w:vAlign w:val="center"/>
                </w:tcPr>
                <w:p w14:paraId="69D8EEEA">
                  <w:pPr>
                    <w:adjustRightInd w:val="0"/>
                    <w:snapToGrid w:val="0"/>
                    <w:jc w:val="center"/>
                    <w:rPr>
                      <w:color w:val="auto"/>
                      <w:szCs w:val="21"/>
                    </w:rPr>
                  </w:pPr>
                </w:p>
              </w:tc>
              <w:tc>
                <w:tcPr>
                  <w:tcW w:w="1056" w:type="dxa"/>
                  <w:vAlign w:val="center"/>
                </w:tcPr>
                <w:p w14:paraId="3CAA82DB">
                  <w:pPr>
                    <w:adjustRightInd w:val="0"/>
                    <w:snapToGrid w:val="0"/>
                    <w:jc w:val="center"/>
                    <w:rPr>
                      <w:color w:val="auto"/>
                      <w:szCs w:val="21"/>
                    </w:rPr>
                  </w:pPr>
                  <w:r>
                    <w:rPr>
                      <w:color w:val="auto"/>
                      <w:szCs w:val="21"/>
                    </w:rPr>
                    <w:t>不符合空间布局要求活动的退出要求</w:t>
                  </w:r>
                </w:p>
              </w:tc>
              <w:tc>
                <w:tcPr>
                  <w:tcW w:w="3586" w:type="dxa"/>
                  <w:vAlign w:val="center"/>
                </w:tcPr>
                <w:p w14:paraId="2A205DBA">
                  <w:pPr>
                    <w:adjustRightInd w:val="0"/>
                    <w:snapToGrid w:val="0"/>
                    <w:rPr>
                      <w:color w:val="auto"/>
                      <w:szCs w:val="21"/>
                    </w:rPr>
                  </w:pPr>
                  <w:r>
                    <w:rPr>
                      <w:rFonts w:hint="eastAsia"/>
                      <w:color w:val="auto"/>
                      <w:szCs w:val="21"/>
                    </w:rPr>
                    <w:t>岸线优先保护区范围内不符合要求设施或项目，逐步退出。</w:t>
                  </w:r>
                </w:p>
              </w:tc>
              <w:tc>
                <w:tcPr>
                  <w:tcW w:w="1946" w:type="dxa"/>
                  <w:vAlign w:val="center"/>
                </w:tcPr>
                <w:p w14:paraId="1DFD3A51">
                  <w:pPr>
                    <w:adjustRightInd w:val="0"/>
                    <w:snapToGrid w:val="0"/>
                    <w:rPr>
                      <w:color w:val="auto"/>
                      <w:szCs w:val="21"/>
                    </w:rPr>
                  </w:pPr>
                  <w:r>
                    <w:rPr>
                      <w:rFonts w:hint="eastAsia"/>
                      <w:color w:val="auto"/>
                      <w:szCs w:val="21"/>
                    </w:rPr>
                    <w:t>项目不位于岸线优先保护区范围内</w:t>
                  </w:r>
                </w:p>
              </w:tc>
              <w:tc>
                <w:tcPr>
                  <w:tcW w:w="634" w:type="dxa"/>
                  <w:vAlign w:val="center"/>
                </w:tcPr>
                <w:p w14:paraId="3AF634E3">
                  <w:pPr>
                    <w:adjustRightInd w:val="0"/>
                    <w:snapToGrid w:val="0"/>
                    <w:jc w:val="center"/>
                    <w:rPr>
                      <w:color w:val="auto"/>
                      <w:szCs w:val="21"/>
                    </w:rPr>
                  </w:pPr>
                  <w:r>
                    <w:rPr>
                      <w:rFonts w:hint="eastAsia"/>
                      <w:color w:val="auto"/>
                      <w:szCs w:val="21"/>
                    </w:rPr>
                    <w:t>符合</w:t>
                  </w:r>
                </w:p>
              </w:tc>
            </w:tr>
            <w:tr w14:paraId="221B97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41" w:hRule="atLeast"/>
                <w:jc w:val="center"/>
              </w:trPr>
              <w:tc>
                <w:tcPr>
                  <w:tcW w:w="331" w:type="dxa"/>
                  <w:vMerge w:val="restart"/>
                  <w:vAlign w:val="center"/>
                </w:tcPr>
                <w:p w14:paraId="72F7C39D">
                  <w:pPr>
                    <w:adjustRightInd w:val="0"/>
                    <w:snapToGrid w:val="0"/>
                    <w:jc w:val="center"/>
                    <w:rPr>
                      <w:color w:val="auto"/>
                      <w:szCs w:val="21"/>
                    </w:rPr>
                  </w:pPr>
                  <w:r>
                    <w:rPr>
                      <w:color w:val="auto"/>
                      <w:szCs w:val="21"/>
                    </w:rPr>
                    <w:t>污染物排放管 控</w:t>
                  </w:r>
                </w:p>
              </w:tc>
              <w:tc>
                <w:tcPr>
                  <w:tcW w:w="1056" w:type="dxa"/>
                  <w:vAlign w:val="center"/>
                </w:tcPr>
                <w:p w14:paraId="275B84D4">
                  <w:pPr>
                    <w:widowControl/>
                    <w:adjustRightInd w:val="0"/>
                    <w:snapToGrid w:val="0"/>
                    <w:jc w:val="center"/>
                    <w:textAlignment w:val="center"/>
                    <w:rPr>
                      <w:color w:val="auto"/>
                      <w:szCs w:val="21"/>
                    </w:rPr>
                  </w:pPr>
                  <w:r>
                    <w:rPr>
                      <w:color w:val="auto"/>
                      <w:kern w:val="0"/>
                      <w:szCs w:val="21"/>
                    </w:rPr>
                    <w:t>现有源提标升级改造</w:t>
                  </w:r>
                </w:p>
              </w:tc>
              <w:tc>
                <w:tcPr>
                  <w:tcW w:w="3586" w:type="dxa"/>
                  <w:vAlign w:val="center"/>
                </w:tcPr>
                <w:p w14:paraId="0298FAD0">
                  <w:pPr>
                    <w:adjustRightInd w:val="0"/>
                    <w:snapToGrid w:val="0"/>
                    <w:jc w:val="center"/>
                    <w:rPr>
                      <w:color w:val="auto"/>
                      <w:szCs w:val="21"/>
                    </w:rPr>
                  </w:pPr>
                  <w:r>
                    <w:rPr>
                      <w:rFonts w:hint="eastAsia"/>
                      <w:color w:val="auto"/>
                      <w:szCs w:val="21"/>
                    </w:rPr>
                    <w:t>城市建成区生活污水需集中收集，其尾水排放应逐步达到一级A标准</w:t>
                  </w:r>
                </w:p>
              </w:tc>
              <w:tc>
                <w:tcPr>
                  <w:tcW w:w="1946" w:type="dxa"/>
                  <w:vAlign w:val="center"/>
                </w:tcPr>
                <w:p w14:paraId="55718E64">
                  <w:pPr>
                    <w:adjustRightInd w:val="0"/>
                    <w:snapToGrid w:val="0"/>
                    <w:jc w:val="center"/>
                    <w:rPr>
                      <w:color w:val="auto"/>
                      <w:szCs w:val="21"/>
                    </w:rPr>
                  </w:pPr>
                  <w:r>
                    <w:rPr>
                      <w:rFonts w:hint="eastAsia"/>
                      <w:color w:val="auto"/>
                      <w:szCs w:val="21"/>
                    </w:rPr>
                    <w:t>污水处理站排放的废水通过市政管网后排入华林镇集镇污水处理厂，达到一级A排放标准后排放。</w:t>
                  </w:r>
                </w:p>
              </w:tc>
              <w:tc>
                <w:tcPr>
                  <w:tcW w:w="634" w:type="dxa"/>
                  <w:vAlign w:val="center"/>
                </w:tcPr>
                <w:p w14:paraId="3F089947">
                  <w:pPr>
                    <w:adjustRightInd w:val="0"/>
                    <w:snapToGrid w:val="0"/>
                    <w:jc w:val="center"/>
                    <w:rPr>
                      <w:color w:val="auto"/>
                      <w:szCs w:val="21"/>
                    </w:rPr>
                  </w:pPr>
                  <w:r>
                    <w:rPr>
                      <w:rFonts w:hint="eastAsia"/>
                      <w:color w:val="auto"/>
                      <w:szCs w:val="21"/>
                    </w:rPr>
                    <w:t>符合</w:t>
                  </w:r>
                </w:p>
              </w:tc>
            </w:tr>
            <w:tr w14:paraId="386522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dxa"/>
                  <w:vMerge w:val="continue"/>
                  <w:vAlign w:val="center"/>
                </w:tcPr>
                <w:p w14:paraId="4DF93990">
                  <w:pPr>
                    <w:adjustRightInd w:val="0"/>
                    <w:snapToGrid w:val="0"/>
                    <w:jc w:val="center"/>
                    <w:rPr>
                      <w:color w:val="auto"/>
                      <w:szCs w:val="21"/>
                    </w:rPr>
                  </w:pPr>
                </w:p>
              </w:tc>
              <w:tc>
                <w:tcPr>
                  <w:tcW w:w="1056" w:type="dxa"/>
                  <w:vAlign w:val="center"/>
                </w:tcPr>
                <w:p w14:paraId="0DC2C97B">
                  <w:pPr>
                    <w:adjustRightInd w:val="0"/>
                    <w:snapToGrid w:val="0"/>
                    <w:jc w:val="center"/>
                    <w:rPr>
                      <w:color w:val="auto"/>
                      <w:szCs w:val="21"/>
                    </w:rPr>
                  </w:pPr>
                  <w:r>
                    <w:rPr>
                      <w:color w:val="auto"/>
                      <w:szCs w:val="21"/>
                    </w:rPr>
                    <w:t>新增源等量或倍量替代</w:t>
                  </w:r>
                </w:p>
              </w:tc>
              <w:tc>
                <w:tcPr>
                  <w:tcW w:w="3586" w:type="dxa"/>
                  <w:vAlign w:val="center"/>
                </w:tcPr>
                <w:p w14:paraId="0EF8C244">
                  <w:pPr>
                    <w:adjustRightInd w:val="0"/>
                    <w:snapToGrid w:val="0"/>
                    <w:jc w:val="center"/>
                    <w:rPr>
                      <w:color w:val="auto"/>
                      <w:szCs w:val="21"/>
                    </w:rPr>
                  </w:pPr>
                  <w:r>
                    <w:rPr>
                      <w:rFonts w:hint="eastAsia"/>
                      <w:color w:val="auto"/>
                      <w:szCs w:val="21"/>
                    </w:rPr>
                    <w:t>无</w:t>
                  </w:r>
                </w:p>
              </w:tc>
              <w:tc>
                <w:tcPr>
                  <w:tcW w:w="1946" w:type="dxa"/>
                  <w:vAlign w:val="center"/>
                </w:tcPr>
                <w:p w14:paraId="1A94C202">
                  <w:pPr>
                    <w:adjustRightInd w:val="0"/>
                    <w:snapToGrid w:val="0"/>
                    <w:jc w:val="center"/>
                    <w:rPr>
                      <w:color w:val="auto"/>
                      <w:szCs w:val="21"/>
                    </w:rPr>
                  </w:pPr>
                  <w:r>
                    <w:rPr>
                      <w:rFonts w:hint="eastAsia"/>
                      <w:color w:val="auto"/>
                      <w:szCs w:val="21"/>
                    </w:rPr>
                    <w:t>/</w:t>
                  </w:r>
                </w:p>
              </w:tc>
              <w:tc>
                <w:tcPr>
                  <w:tcW w:w="634" w:type="dxa"/>
                  <w:vAlign w:val="center"/>
                </w:tcPr>
                <w:p w14:paraId="131DBC20">
                  <w:pPr>
                    <w:adjustRightInd w:val="0"/>
                    <w:snapToGrid w:val="0"/>
                    <w:jc w:val="center"/>
                    <w:rPr>
                      <w:color w:val="auto"/>
                      <w:szCs w:val="21"/>
                    </w:rPr>
                  </w:pPr>
                  <w:r>
                    <w:rPr>
                      <w:rFonts w:hint="eastAsia"/>
                      <w:color w:val="auto"/>
                      <w:szCs w:val="21"/>
                    </w:rPr>
                    <w:t>/</w:t>
                  </w:r>
                </w:p>
              </w:tc>
            </w:tr>
            <w:tr w14:paraId="064402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dxa"/>
                  <w:vMerge w:val="continue"/>
                  <w:vAlign w:val="center"/>
                </w:tcPr>
                <w:p w14:paraId="1A8E64AF">
                  <w:pPr>
                    <w:adjustRightInd w:val="0"/>
                    <w:snapToGrid w:val="0"/>
                    <w:jc w:val="center"/>
                    <w:rPr>
                      <w:color w:val="auto"/>
                      <w:szCs w:val="21"/>
                    </w:rPr>
                  </w:pPr>
                </w:p>
              </w:tc>
              <w:tc>
                <w:tcPr>
                  <w:tcW w:w="1056" w:type="dxa"/>
                  <w:vAlign w:val="center"/>
                </w:tcPr>
                <w:p w14:paraId="74EFE2F3">
                  <w:pPr>
                    <w:adjustRightInd w:val="0"/>
                    <w:snapToGrid w:val="0"/>
                    <w:jc w:val="center"/>
                    <w:rPr>
                      <w:color w:val="auto"/>
                      <w:szCs w:val="21"/>
                    </w:rPr>
                  </w:pPr>
                  <w:r>
                    <w:rPr>
                      <w:color w:val="auto"/>
                      <w:szCs w:val="21"/>
                    </w:rPr>
                    <w:t>新增源排放标准限值</w:t>
                  </w:r>
                </w:p>
              </w:tc>
              <w:tc>
                <w:tcPr>
                  <w:tcW w:w="3586" w:type="dxa"/>
                  <w:vAlign w:val="center"/>
                </w:tcPr>
                <w:p w14:paraId="0383B774">
                  <w:pPr>
                    <w:adjustRightInd w:val="0"/>
                    <w:snapToGrid w:val="0"/>
                    <w:jc w:val="center"/>
                    <w:rPr>
                      <w:color w:val="auto"/>
                      <w:szCs w:val="21"/>
                    </w:rPr>
                  </w:pPr>
                  <w:r>
                    <w:rPr>
                      <w:rFonts w:hint="eastAsia"/>
                      <w:color w:val="auto"/>
                      <w:szCs w:val="21"/>
                    </w:rPr>
                    <w:t>无</w:t>
                  </w:r>
                </w:p>
              </w:tc>
              <w:tc>
                <w:tcPr>
                  <w:tcW w:w="1946" w:type="dxa"/>
                  <w:vAlign w:val="center"/>
                </w:tcPr>
                <w:p w14:paraId="6766FDE0">
                  <w:pPr>
                    <w:adjustRightInd w:val="0"/>
                    <w:snapToGrid w:val="0"/>
                    <w:jc w:val="center"/>
                    <w:rPr>
                      <w:color w:val="auto"/>
                      <w:szCs w:val="21"/>
                    </w:rPr>
                  </w:pPr>
                  <w:r>
                    <w:rPr>
                      <w:rFonts w:hint="eastAsia"/>
                      <w:color w:val="auto"/>
                      <w:szCs w:val="21"/>
                    </w:rPr>
                    <w:t>/</w:t>
                  </w:r>
                </w:p>
              </w:tc>
              <w:tc>
                <w:tcPr>
                  <w:tcW w:w="634" w:type="dxa"/>
                  <w:vAlign w:val="center"/>
                </w:tcPr>
                <w:p w14:paraId="105EF7F2">
                  <w:pPr>
                    <w:adjustRightInd w:val="0"/>
                    <w:snapToGrid w:val="0"/>
                    <w:jc w:val="center"/>
                    <w:rPr>
                      <w:color w:val="auto"/>
                      <w:szCs w:val="21"/>
                    </w:rPr>
                  </w:pPr>
                  <w:r>
                    <w:rPr>
                      <w:rFonts w:hint="eastAsia"/>
                      <w:color w:val="auto"/>
                      <w:szCs w:val="21"/>
                    </w:rPr>
                    <w:t>/</w:t>
                  </w:r>
                </w:p>
              </w:tc>
            </w:tr>
            <w:tr w14:paraId="466F32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dxa"/>
                  <w:vMerge w:val="continue"/>
                  <w:vAlign w:val="center"/>
                </w:tcPr>
                <w:p w14:paraId="6635C77C">
                  <w:pPr>
                    <w:adjustRightInd w:val="0"/>
                    <w:snapToGrid w:val="0"/>
                    <w:jc w:val="center"/>
                    <w:rPr>
                      <w:color w:val="auto"/>
                      <w:szCs w:val="21"/>
                    </w:rPr>
                  </w:pPr>
                </w:p>
              </w:tc>
              <w:tc>
                <w:tcPr>
                  <w:tcW w:w="1056" w:type="dxa"/>
                  <w:vAlign w:val="center"/>
                </w:tcPr>
                <w:p w14:paraId="53B5E4B1">
                  <w:pPr>
                    <w:adjustRightInd w:val="0"/>
                    <w:snapToGrid w:val="0"/>
                    <w:jc w:val="center"/>
                    <w:rPr>
                      <w:color w:val="auto"/>
                      <w:szCs w:val="21"/>
                    </w:rPr>
                  </w:pPr>
                  <w:r>
                    <w:rPr>
                      <w:color w:val="auto"/>
                      <w:szCs w:val="21"/>
                    </w:rPr>
                    <w:t>污染物排放绩效水平准入要求</w:t>
                  </w:r>
                </w:p>
              </w:tc>
              <w:tc>
                <w:tcPr>
                  <w:tcW w:w="3586" w:type="dxa"/>
                  <w:vAlign w:val="center"/>
                </w:tcPr>
                <w:p w14:paraId="67BBBF08">
                  <w:pPr>
                    <w:adjustRightInd w:val="0"/>
                    <w:snapToGrid w:val="0"/>
                    <w:jc w:val="center"/>
                    <w:rPr>
                      <w:color w:val="auto"/>
                      <w:szCs w:val="21"/>
                    </w:rPr>
                  </w:pPr>
                  <w:r>
                    <w:rPr>
                      <w:rFonts w:hint="eastAsia"/>
                      <w:color w:val="auto"/>
                      <w:szCs w:val="21"/>
                    </w:rPr>
                    <w:t>无</w:t>
                  </w:r>
                </w:p>
              </w:tc>
              <w:tc>
                <w:tcPr>
                  <w:tcW w:w="1946" w:type="dxa"/>
                  <w:vAlign w:val="center"/>
                </w:tcPr>
                <w:p w14:paraId="34F97599">
                  <w:pPr>
                    <w:adjustRightInd w:val="0"/>
                    <w:snapToGrid w:val="0"/>
                    <w:jc w:val="center"/>
                    <w:rPr>
                      <w:color w:val="auto"/>
                      <w:szCs w:val="21"/>
                    </w:rPr>
                  </w:pPr>
                  <w:r>
                    <w:rPr>
                      <w:rFonts w:hint="eastAsia"/>
                      <w:color w:val="auto"/>
                      <w:szCs w:val="21"/>
                    </w:rPr>
                    <w:t>/</w:t>
                  </w:r>
                </w:p>
              </w:tc>
              <w:tc>
                <w:tcPr>
                  <w:tcW w:w="634" w:type="dxa"/>
                  <w:vAlign w:val="center"/>
                </w:tcPr>
                <w:p w14:paraId="0142B858">
                  <w:pPr>
                    <w:adjustRightInd w:val="0"/>
                    <w:snapToGrid w:val="0"/>
                    <w:jc w:val="center"/>
                    <w:rPr>
                      <w:color w:val="auto"/>
                      <w:szCs w:val="21"/>
                    </w:rPr>
                  </w:pPr>
                  <w:r>
                    <w:rPr>
                      <w:rFonts w:hint="eastAsia"/>
                      <w:color w:val="auto"/>
                      <w:szCs w:val="21"/>
                    </w:rPr>
                    <w:t>/</w:t>
                  </w:r>
                </w:p>
              </w:tc>
            </w:tr>
            <w:tr w14:paraId="1E27DF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dxa"/>
                  <w:vMerge w:val="restart"/>
                  <w:vAlign w:val="center"/>
                </w:tcPr>
                <w:p w14:paraId="708B3417">
                  <w:pPr>
                    <w:adjustRightInd w:val="0"/>
                    <w:snapToGrid w:val="0"/>
                    <w:jc w:val="center"/>
                    <w:rPr>
                      <w:color w:val="auto"/>
                      <w:szCs w:val="21"/>
                    </w:rPr>
                  </w:pPr>
                  <w:r>
                    <w:rPr>
                      <w:color w:val="auto"/>
                      <w:szCs w:val="21"/>
                    </w:rPr>
                    <w:t>环境风险防控</w:t>
                  </w:r>
                </w:p>
              </w:tc>
              <w:tc>
                <w:tcPr>
                  <w:tcW w:w="1056" w:type="dxa"/>
                  <w:vAlign w:val="center"/>
                </w:tcPr>
                <w:p w14:paraId="6F1A7BEF">
                  <w:pPr>
                    <w:adjustRightInd w:val="0"/>
                    <w:snapToGrid w:val="0"/>
                    <w:jc w:val="center"/>
                    <w:rPr>
                      <w:color w:val="auto"/>
                      <w:szCs w:val="21"/>
                    </w:rPr>
                  </w:pPr>
                  <w:r>
                    <w:rPr>
                      <w:color w:val="auto"/>
                      <w:szCs w:val="21"/>
                    </w:rPr>
                    <w:t>严格管控类农用地环境风险防控要求</w:t>
                  </w:r>
                </w:p>
              </w:tc>
              <w:tc>
                <w:tcPr>
                  <w:tcW w:w="3586" w:type="dxa"/>
                  <w:vAlign w:val="center"/>
                </w:tcPr>
                <w:p w14:paraId="3BD1CA2D">
                  <w:pPr>
                    <w:adjustRightInd w:val="0"/>
                    <w:snapToGrid w:val="0"/>
                    <w:jc w:val="center"/>
                    <w:rPr>
                      <w:color w:val="auto"/>
                      <w:szCs w:val="21"/>
                    </w:rPr>
                  </w:pPr>
                  <w:r>
                    <w:rPr>
                      <w:rFonts w:hint="eastAsia"/>
                      <w:color w:val="auto"/>
                      <w:szCs w:val="21"/>
                    </w:rPr>
                    <w:t>严格管控农用地，不得在污染地块种植食用农产品。</w:t>
                  </w:r>
                </w:p>
              </w:tc>
              <w:tc>
                <w:tcPr>
                  <w:tcW w:w="1946" w:type="dxa"/>
                  <w:vAlign w:val="center"/>
                </w:tcPr>
                <w:p w14:paraId="0446F67D">
                  <w:pPr>
                    <w:adjustRightInd w:val="0"/>
                    <w:snapToGrid w:val="0"/>
                    <w:jc w:val="center"/>
                    <w:rPr>
                      <w:color w:val="auto"/>
                      <w:szCs w:val="21"/>
                    </w:rPr>
                  </w:pPr>
                  <w:r>
                    <w:rPr>
                      <w:rFonts w:hint="eastAsia"/>
                      <w:color w:val="auto"/>
                      <w:szCs w:val="21"/>
                    </w:rPr>
                    <w:t>本项目不属于农用地</w:t>
                  </w:r>
                </w:p>
              </w:tc>
              <w:tc>
                <w:tcPr>
                  <w:tcW w:w="634" w:type="dxa"/>
                  <w:vAlign w:val="center"/>
                </w:tcPr>
                <w:p w14:paraId="2B02A420">
                  <w:pPr>
                    <w:adjustRightInd w:val="0"/>
                    <w:snapToGrid w:val="0"/>
                    <w:jc w:val="center"/>
                    <w:rPr>
                      <w:color w:val="auto"/>
                      <w:szCs w:val="21"/>
                    </w:rPr>
                  </w:pPr>
                  <w:r>
                    <w:rPr>
                      <w:rFonts w:hint="eastAsia"/>
                      <w:color w:val="auto"/>
                      <w:szCs w:val="21"/>
                    </w:rPr>
                    <w:t>符合</w:t>
                  </w:r>
                </w:p>
              </w:tc>
            </w:tr>
            <w:tr w14:paraId="6B19B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dxa"/>
                  <w:vMerge w:val="continue"/>
                  <w:vAlign w:val="center"/>
                </w:tcPr>
                <w:p w14:paraId="35A7823A">
                  <w:pPr>
                    <w:adjustRightInd w:val="0"/>
                    <w:snapToGrid w:val="0"/>
                    <w:jc w:val="center"/>
                    <w:rPr>
                      <w:color w:val="auto"/>
                      <w:szCs w:val="21"/>
                    </w:rPr>
                  </w:pPr>
                </w:p>
              </w:tc>
              <w:tc>
                <w:tcPr>
                  <w:tcW w:w="1056" w:type="dxa"/>
                  <w:vAlign w:val="center"/>
                </w:tcPr>
                <w:p w14:paraId="1F104315">
                  <w:pPr>
                    <w:adjustRightInd w:val="0"/>
                    <w:snapToGrid w:val="0"/>
                    <w:jc w:val="center"/>
                    <w:rPr>
                      <w:color w:val="auto"/>
                      <w:szCs w:val="21"/>
                    </w:rPr>
                  </w:pPr>
                  <w:r>
                    <w:rPr>
                      <w:color w:val="auto"/>
                      <w:szCs w:val="21"/>
                    </w:rPr>
                    <w:t>安全利用类农用地环境风险防控要求</w:t>
                  </w:r>
                </w:p>
              </w:tc>
              <w:tc>
                <w:tcPr>
                  <w:tcW w:w="3586" w:type="dxa"/>
                  <w:vAlign w:val="center"/>
                </w:tcPr>
                <w:p w14:paraId="3625EEBE">
                  <w:pPr>
                    <w:adjustRightInd w:val="0"/>
                    <w:snapToGrid w:val="0"/>
                    <w:jc w:val="center"/>
                    <w:rPr>
                      <w:color w:val="auto"/>
                      <w:szCs w:val="21"/>
                    </w:rPr>
                  </w:pPr>
                  <w:r>
                    <w:rPr>
                      <w:rFonts w:hint="eastAsia"/>
                      <w:color w:val="auto"/>
                      <w:szCs w:val="21"/>
                    </w:rPr>
                    <w:t>安全利用类农用地，应制定替代种植、轮耕休耕等安全利用方案，降低农产品超标风险。</w:t>
                  </w:r>
                </w:p>
              </w:tc>
              <w:tc>
                <w:tcPr>
                  <w:tcW w:w="1946" w:type="dxa"/>
                  <w:vAlign w:val="center"/>
                </w:tcPr>
                <w:p w14:paraId="227B5A10">
                  <w:pPr>
                    <w:adjustRightInd w:val="0"/>
                    <w:snapToGrid w:val="0"/>
                    <w:jc w:val="center"/>
                    <w:rPr>
                      <w:color w:val="auto"/>
                      <w:szCs w:val="21"/>
                    </w:rPr>
                  </w:pPr>
                  <w:r>
                    <w:rPr>
                      <w:rFonts w:hint="eastAsia"/>
                      <w:color w:val="auto"/>
                      <w:szCs w:val="21"/>
                    </w:rPr>
                    <w:t>本项目不属于农用地</w:t>
                  </w:r>
                </w:p>
              </w:tc>
              <w:tc>
                <w:tcPr>
                  <w:tcW w:w="634" w:type="dxa"/>
                  <w:vAlign w:val="center"/>
                </w:tcPr>
                <w:p w14:paraId="399F6931">
                  <w:pPr>
                    <w:adjustRightInd w:val="0"/>
                    <w:snapToGrid w:val="0"/>
                    <w:jc w:val="center"/>
                    <w:rPr>
                      <w:color w:val="auto"/>
                      <w:szCs w:val="21"/>
                    </w:rPr>
                  </w:pPr>
                  <w:r>
                    <w:rPr>
                      <w:rFonts w:hint="eastAsia"/>
                      <w:color w:val="auto"/>
                      <w:szCs w:val="21"/>
                    </w:rPr>
                    <w:t>符合</w:t>
                  </w:r>
                </w:p>
              </w:tc>
            </w:tr>
            <w:tr w14:paraId="54BE24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331" w:type="dxa"/>
                  <w:vMerge w:val="continue"/>
                  <w:vAlign w:val="center"/>
                </w:tcPr>
                <w:p w14:paraId="6B7BF4D4">
                  <w:pPr>
                    <w:adjustRightInd w:val="0"/>
                    <w:snapToGrid w:val="0"/>
                    <w:jc w:val="center"/>
                    <w:rPr>
                      <w:color w:val="auto"/>
                      <w:szCs w:val="21"/>
                    </w:rPr>
                  </w:pPr>
                </w:p>
              </w:tc>
              <w:tc>
                <w:tcPr>
                  <w:tcW w:w="1056" w:type="dxa"/>
                  <w:vAlign w:val="center"/>
                </w:tcPr>
                <w:p w14:paraId="7491EB42">
                  <w:pPr>
                    <w:adjustRightInd w:val="0"/>
                    <w:snapToGrid w:val="0"/>
                    <w:jc w:val="center"/>
                    <w:rPr>
                      <w:color w:val="auto"/>
                      <w:szCs w:val="21"/>
                    </w:rPr>
                  </w:pPr>
                  <w:r>
                    <w:rPr>
                      <w:color w:val="auto"/>
                      <w:szCs w:val="21"/>
                    </w:rPr>
                    <w:t>污染地块（建设用地）环境风险防控要求</w:t>
                  </w:r>
                </w:p>
              </w:tc>
              <w:tc>
                <w:tcPr>
                  <w:tcW w:w="3586" w:type="dxa"/>
                  <w:vAlign w:val="center"/>
                </w:tcPr>
                <w:p w14:paraId="6B96C066">
                  <w:pPr>
                    <w:adjustRightInd w:val="0"/>
                    <w:snapToGrid w:val="0"/>
                    <w:jc w:val="center"/>
                    <w:rPr>
                      <w:color w:val="auto"/>
                      <w:szCs w:val="21"/>
                    </w:rPr>
                  </w:pPr>
                  <w:r>
                    <w:rPr>
                      <w:rFonts w:hint="eastAsia"/>
                      <w:color w:val="auto"/>
                      <w:szCs w:val="21"/>
                    </w:rPr>
                    <w:t>已污染地块，应当依法开展土壤污染状况调查、治理与修复，符合相应用地土壤环境质量要求后，方可进入用地程序。</w:t>
                  </w:r>
                </w:p>
              </w:tc>
              <w:tc>
                <w:tcPr>
                  <w:tcW w:w="1946" w:type="dxa"/>
                  <w:vAlign w:val="center"/>
                </w:tcPr>
                <w:p w14:paraId="2423C94F">
                  <w:pPr>
                    <w:adjustRightInd w:val="0"/>
                    <w:snapToGrid w:val="0"/>
                    <w:jc w:val="center"/>
                    <w:rPr>
                      <w:color w:val="auto"/>
                      <w:szCs w:val="21"/>
                    </w:rPr>
                  </w:pPr>
                  <w:r>
                    <w:rPr>
                      <w:rFonts w:hint="eastAsia"/>
                      <w:color w:val="auto"/>
                      <w:szCs w:val="21"/>
                    </w:rPr>
                    <w:t>本项目不属于已污染地块</w:t>
                  </w:r>
                </w:p>
              </w:tc>
              <w:tc>
                <w:tcPr>
                  <w:tcW w:w="634" w:type="dxa"/>
                  <w:vAlign w:val="center"/>
                </w:tcPr>
                <w:p w14:paraId="086D2146">
                  <w:pPr>
                    <w:adjustRightInd w:val="0"/>
                    <w:snapToGrid w:val="0"/>
                    <w:jc w:val="center"/>
                    <w:rPr>
                      <w:color w:val="auto"/>
                      <w:szCs w:val="21"/>
                    </w:rPr>
                  </w:pPr>
                  <w:r>
                    <w:rPr>
                      <w:rFonts w:hint="eastAsia"/>
                      <w:color w:val="auto"/>
                      <w:szCs w:val="21"/>
                    </w:rPr>
                    <w:t>符合</w:t>
                  </w:r>
                </w:p>
              </w:tc>
            </w:tr>
            <w:tr w14:paraId="1A53EC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2" w:hRule="atLeast"/>
                <w:jc w:val="center"/>
              </w:trPr>
              <w:tc>
                <w:tcPr>
                  <w:tcW w:w="331" w:type="dxa"/>
                  <w:vMerge w:val="continue"/>
                  <w:vAlign w:val="center"/>
                </w:tcPr>
                <w:p w14:paraId="5E5D24D6">
                  <w:pPr>
                    <w:adjustRightInd w:val="0"/>
                    <w:snapToGrid w:val="0"/>
                    <w:jc w:val="center"/>
                    <w:rPr>
                      <w:color w:val="auto"/>
                      <w:szCs w:val="21"/>
                    </w:rPr>
                  </w:pPr>
                </w:p>
              </w:tc>
              <w:tc>
                <w:tcPr>
                  <w:tcW w:w="1056" w:type="dxa"/>
                  <w:vAlign w:val="center"/>
                </w:tcPr>
                <w:p w14:paraId="57906493">
                  <w:pPr>
                    <w:adjustRightInd w:val="0"/>
                    <w:snapToGrid w:val="0"/>
                    <w:jc w:val="center"/>
                    <w:rPr>
                      <w:color w:val="auto"/>
                      <w:szCs w:val="21"/>
                    </w:rPr>
                  </w:pPr>
                  <w:r>
                    <w:rPr>
                      <w:color w:val="auto"/>
                      <w:szCs w:val="21"/>
                    </w:rPr>
                    <w:t>园区</w:t>
                  </w:r>
                  <w:r>
                    <w:rPr>
                      <w:rFonts w:hint="eastAsia"/>
                      <w:color w:val="auto"/>
                      <w:szCs w:val="21"/>
                    </w:rPr>
                    <w:t>环境风险防控要求</w:t>
                  </w:r>
                </w:p>
              </w:tc>
              <w:tc>
                <w:tcPr>
                  <w:tcW w:w="3586" w:type="dxa"/>
                  <w:vAlign w:val="center"/>
                </w:tcPr>
                <w:p w14:paraId="62A7DABE">
                  <w:pPr>
                    <w:adjustRightInd w:val="0"/>
                    <w:snapToGrid w:val="0"/>
                    <w:jc w:val="center"/>
                    <w:rPr>
                      <w:color w:val="auto"/>
                      <w:szCs w:val="21"/>
                    </w:rPr>
                  </w:pPr>
                  <w:r>
                    <w:rPr>
                      <w:rFonts w:hint="eastAsia"/>
                      <w:color w:val="auto"/>
                      <w:szCs w:val="21"/>
                    </w:rPr>
                    <w:t>无</w:t>
                  </w:r>
                </w:p>
              </w:tc>
              <w:tc>
                <w:tcPr>
                  <w:tcW w:w="1946" w:type="dxa"/>
                  <w:vAlign w:val="center"/>
                </w:tcPr>
                <w:p w14:paraId="5AD22B9F">
                  <w:pPr>
                    <w:adjustRightInd w:val="0"/>
                    <w:snapToGrid w:val="0"/>
                    <w:jc w:val="center"/>
                    <w:rPr>
                      <w:color w:val="auto"/>
                      <w:szCs w:val="21"/>
                    </w:rPr>
                  </w:pPr>
                  <w:r>
                    <w:rPr>
                      <w:rFonts w:hint="eastAsia"/>
                      <w:color w:val="auto"/>
                      <w:szCs w:val="21"/>
                    </w:rPr>
                    <w:t>/</w:t>
                  </w:r>
                </w:p>
              </w:tc>
              <w:tc>
                <w:tcPr>
                  <w:tcW w:w="634" w:type="dxa"/>
                  <w:vAlign w:val="center"/>
                </w:tcPr>
                <w:p w14:paraId="7A6C8267">
                  <w:pPr>
                    <w:adjustRightInd w:val="0"/>
                    <w:snapToGrid w:val="0"/>
                    <w:jc w:val="center"/>
                    <w:rPr>
                      <w:color w:val="auto"/>
                      <w:szCs w:val="21"/>
                    </w:rPr>
                  </w:pPr>
                  <w:r>
                    <w:rPr>
                      <w:rFonts w:hint="eastAsia"/>
                      <w:color w:val="auto"/>
                      <w:szCs w:val="21"/>
                    </w:rPr>
                    <w:t>/</w:t>
                  </w:r>
                </w:p>
              </w:tc>
            </w:tr>
            <w:tr w14:paraId="35814D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dxa"/>
                  <w:vMerge w:val="continue"/>
                  <w:vAlign w:val="center"/>
                </w:tcPr>
                <w:p w14:paraId="534A534A">
                  <w:pPr>
                    <w:adjustRightInd w:val="0"/>
                    <w:snapToGrid w:val="0"/>
                    <w:jc w:val="center"/>
                    <w:rPr>
                      <w:color w:val="auto"/>
                      <w:szCs w:val="21"/>
                    </w:rPr>
                  </w:pPr>
                </w:p>
              </w:tc>
              <w:tc>
                <w:tcPr>
                  <w:tcW w:w="1056" w:type="dxa"/>
                  <w:vAlign w:val="center"/>
                </w:tcPr>
                <w:p w14:paraId="5451E313">
                  <w:pPr>
                    <w:adjustRightInd w:val="0"/>
                    <w:snapToGrid w:val="0"/>
                    <w:jc w:val="center"/>
                    <w:rPr>
                      <w:color w:val="auto"/>
                      <w:szCs w:val="21"/>
                    </w:rPr>
                  </w:pPr>
                  <w:r>
                    <w:rPr>
                      <w:rFonts w:hint="eastAsia"/>
                      <w:color w:val="auto"/>
                      <w:szCs w:val="21"/>
                    </w:rPr>
                    <w:t>企业环境风险防控要求</w:t>
                  </w:r>
                </w:p>
              </w:tc>
              <w:tc>
                <w:tcPr>
                  <w:tcW w:w="3586" w:type="dxa"/>
                  <w:vAlign w:val="center"/>
                </w:tcPr>
                <w:p w14:paraId="28F3CC06">
                  <w:pPr>
                    <w:adjustRightInd w:val="0"/>
                    <w:snapToGrid w:val="0"/>
                    <w:jc w:val="center"/>
                    <w:rPr>
                      <w:color w:val="auto"/>
                      <w:szCs w:val="21"/>
                    </w:rPr>
                  </w:pPr>
                  <w:r>
                    <w:rPr>
                      <w:rFonts w:hint="eastAsia"/>
                      <w:color w:val="auto"/>
                      <w:szCs w:val="21"/>
                    </w:rPr>
                    <w:t>无</w:t>
                  </w:r>
                </w:p>
              </w:tc>
              <w:tc>
                <w:tcPr>
                  <w:tcW w:w="1946" w:type="dxa"/>
                  <w:vAlign w:val="center"/>
                </w:tcPr>
                <w:p w14:paraId="01B61DE0">
                  <w:pPr>
                    <w:adjustRightInd w:val="0"/>
                    <w:snapToGrid w:val="0"/>
                    <w:jc w:val="center"/>
                    <w:rPr>
                      <w:color w:val="auto"/>
                      <w:szCs w:val="21"/>
                    </w:rPr>
                  </w:pPr>
                  <w:r>
                    <w:rPr>
                      <w:rFonts w:hint="eastAsia"/>
                      <w:color w:val="auto"/>
                      <w:szCs w:val="21"/>
                    </w:rPr>
                    <w:t>/</w:t>
                  </w:r>
                </w:p>
              </w:tc>
              <w:tc>
                <w:tcPr>
                  <w:tcW w:w="634" w:type="dxa"/>
                  <w:vAlign w:val="center"/>
                </w:tcPr>
                <w:p w14:paraId="4BF5D278">
                  <w:pPr>
                    <w:adjustRightInd w:val="0"/>
                    <w:snapToGrid w:val="0"/>
                    <w:jc w:val="center"/>
                    <w:rPr>
                      <w:color w:val="auto"/>
                      <w:szCs w:val="21"/>
                    </w:rPr>
                  </w:pPr>
                  <w:r>
                    <w:rPr>
                      <w:rFonts w:hint="eastAsia"/>
                      <w:color w:val="auto"/>
                      <w:szCs w:val="21"/>
                    </w:rPr>
                    <w:t>/</w:t>
                  </w:r>
                </w:p>
              </w:tc>
            </w:tr>
            <w:tr w14:paraId="0D19D0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dxa"/>
                  <w:vMerge w:val="restart"/>
                  <w:vAlign w:val="center"/>
                </w:tcPr>
                <w:p w14:paraId="312285DD">
                  <w:pPr>
                    <w:adjustRightInd w:val="0"/>
                    <w:snapToGrid w:val="0"/>
                    <w:jc w:val="center"/>
                    <w:rPr>
                      <w:color w:val="auto"/>
                      <w:szCs w:val="21"/>
                    </w:rPr>
                  </w:pPr>
                  <w:r>
                    <w:rPr>
                      <w:color w:val="auto"/>
                      <w:szCs w:val="21"/>
                    </w:rPr>
                    <w:t>资源利用效率要求</w:t>
                  </w:r>
                </w:p>
              </w:tc>
              <w:tc>
                <w:tcPr>
                  <w:tcW w:w="1056" w:type="dxa"/>
                  <w:vAlign w:val="center"/>
                </w:tcPr>
                <w:p w14:paraId="737E8F89">
                  <w:pPr>
                    <w:adjustRightInd w:val="0"/>
                    <w:snapToGrid w:val="0"/>
                    <w:jc w:val="center"/>
                    <w:rPr>
                      <w:color w:val="auto"/>
                      <w:szCs w:val="21"/>
                    </w:rPr>
                  </w:pPr>
                  <w:r>
                    <w:rPr>
                      <w:color w:val="auto"/>
                      <w:szCs w:val="21"/>
                    </w:rPr>
                    <w:t>水资源利用率要求</w:t>
                  </w:r>
                </w:p>
              </w:tc>
              <w:tc>
                <w:tcPr>
                  <w:tcW w:w="3586" w:type="dxa"/>
                  <w:vAlign w:val="center"/>
                </w:tcPr>
                <w:p w14:paraId="04081BAF">
                  <w:pPr>
                    <w:adjustRightInd w:val="0"/>
                    <w:snapToGrid w:val="0"/>
                    <w:jc w:val="center"/>
                    <w:rPr>
                      <w:color w:val="auto"/>
                      <w:szCs w:val="21"/>
                    </w:rPr>
                  </w:pPr>
                  <w:r>
                    <w:rPr>
                      <w:rFonts w:hint="eastAsia"/>
                      <w:color w:val="auto"/>
                      <w:szCs w:val="21"/>
                    </w:rPr>
                    <w:t>无</w:t>
                  </w:r>
                </w:p>
              </w:tc>
              <w:tc>
                <w:tcPr>
                  <w:tcW w:w="1946" w:type="dxa"/>
                  <w:vAlign w:val="center"/>
                </w:tcPr>
                <w:p w14:paraId="06FFA7C0">
                  <w:pPr>
                    <w:adjustRightInd w:val="0"/>
                    <w:snapToGrid w:val="0"/>
                    <w:jc w:val="center"/>
                    <w:rPr>
                      <w:color w:val="auto"/>
                      <w:szCs w:val="21"/>
                    </w:rPr>
                  </w:pPr>
                  <w:r>
                    <w:rPr>
                      <w:rFonts w:hint="eastAsia"/>
                      <w:color w:val="auto"/>
                      <w:szCs w:val="21"/>
                    </w:rPr>
                    <w:t>/</w:t>
                  </w:r>
                </w:p>
              </w:tc>
              <w:tc>
                <w:tcPr>
                  <w:tcW w:w="634" w:type="dxa"/>
                  <w:vAlign w:val="center"/>
                </w:tcPr>
                <w:p w14:paraId="56B529F2">
                  <w:pPr>
                    <w:adjustRightInd w:val="0"/>
                    <w:snapToGrid w:val="0"/>
                    <w:jc w:val="center"/>
                    <w:rPr>
                      <w:color w:val="auto"/>
                      <w:szCs w:val="21"/>
                    </w:rPr>
                  </w:pPr>
                  <w:r>
                    <w:rPr>
                      <w:rFonts w:hint="eastAsia"/>
                      <w:color w:val="auto"/>
                      <w:szCs w:val="21"/>
                    </w:rPr>
                    <w:t>/</w:t>
                  </w:r>
                </w:p>
              </w:tc>
            </w:tr>
            <w:tr w14:paraId="6D439D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14" w:hRule="atLeast"/>
                <w:jc w:val="center"/>
              </w:trPr>
              <w:tc>
                <w:tcPr>
                  <w:tcW w:w="331" w:type="dxa"/>
                  <w:vMerge w:val="continue"/>
                  <w:vAlign w:val="center"/>
                </w:tcPr>
                <w:p w14:paraId="5F867519">
                  <w:pPr>
                    <w:adjustRightInd w:val="0"/>
                    <w:snapToGrid w:val="0"/>
                    <w:jc w:val="center"/>
                    <w:rPr>
                      <w:color w:val="auto"/>
                      <w:szCs w:val="21"/>
                    </w:rPr>
                  </w:pPr>
                </w:p>
              </w:tc>
              <w:tc>
                <w:tcPr>
                  <w:tcW w:w="1056" w:type="dxa"/>
                  <w:vAlign w:val="center"/>
                </w:tcPr>
                <w:p w14:paraId="2F4DF847">
                  <w:pPr>
                    <w:adjustRightInd w:val="0"/>
                    <w:snapToGrid w:val="0"/>
                    <w:jc w:val="center"/>
                    <w:rPr>
                      <w:color w:val="auto"/>
                      <w:szCs w:val="21"/>
                    </w:rPr>
                  </w:pPr>
                  <w:r>
                    <w:rPr>
                      <w:color w:val="auto"/>
                      <w:szCs w:val="21"/>
                    </w:rPr>
                    <w:t>地下水开采要求</w:t>
                  </w:r>
                </w:p>
              </w:tc>
              <w:tc>
                <w:tcPr>
                  <w:tcW w:w="3586" w:type="dxa"/>
                  <w:vAlign w:val="center"/>
                </w:tcPr>
                <w:p w14:paraId="7438DAC0">
                  <w:pPr>
                    <w:adjustRightInd w:val="0"/>
                    <w:snapToGrid w:val="0"/>
                    <w:jc w:val="center"/>
                    <w:rPr>
                      <w:color w:val="auto"/>
                      <w:szCs w:val="21"/>
                    </w:rPr>
                  </w:pPr>
                  <w:r>
                    <w:rPr>
                      <w:rFonts w:hint="eastAsia"/>
                      <w:color w:val="auto"/>
                      <w:szCs w:val="21"/>
                    </w:rPr>
                    <w:t>按江西省水资源条例执行</w:t>
                  </w:r>
                </w:p>
              </w:tc>
              <w:tc>
                <w:tcPr>
                  <w:tcW w:w="1946" w:type="dxa"/>
                  <w:vAlign w:val="center"/>
                </w:tcPr>
                <w:p w14:paraId="78B083A7">
                  <w:pPr>
                    <w:adjustRightInd w:val="0"/>
                    <w:snapToGrid w:val="0"/>
                    <w:jc w:val="center"/>
                    <w:rPr>
                      <w:color w:val="auto"/>
                      <w:szCs w:val="21"/>
                    </w:rPr>
                  </w:pPr>
                  <w:r>
                    <w:rPr>
                      <w:color w:val="auto"/>
                      <w:szCs w:val="21"/>
                    </w:rPr>
                    <w:t>/</w:t>
                  </w:r>
                </w:p>
              </w:tc>
              <w:tc>
                <w:tcPr>
                  <w:tcW w:w="634" w:type="dxa"/>
                  <w:vAlign w:val="center"/>
                </w:tcPr>
                <w:p w14:paraId="4974C6F7">
                  <w:pPr>
                    <w:adjustRightInd w:val="0"/>
                    <w:snapToGrid w:val="0"/>
                    <w:jc w:val="center"/>
                    <w:rPr>
                      <w:color w:val="auto"/>
                      <w:szCs w:val="21"/>
                    </w:rPr>
                  </w:pPr>
                  <w:r>
                    <w:rPr>
                      <w:color w:val="auto"/>
                      <w:szCs w:val="21"/>
                    </w:rPr>
                    <w:t>/</w:t>
                  </w:r>
                </w:p>
              </w:tc>
            </w:tr>
            <w:tr w14:paraId="3DECB5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4" w:hRule="atLeast"/>
                <w:jc w:val="center"/>
              </w:trPr>
              <w:tc>
                <w:tcPr>
                  <w:tcW w:w="331" w:type="dxa"/>
                  <w:vMerge w:val="continue"/>
                  <w:vAlign w:val="center"/>
                </w:tcPr>
                <w:p w14:paraId="0C3E525B">
                  <w:pPr>
                    <w:adjustRightInd w:val="0"/>
                    <w:snapToGrid w:val="0"/>
                    <w:jc w:val="center"/>
                    <w:rPr>
                      <w:color w:val="auto"/>
                      <w:szCs w:val="21"/>
                    </w:rPr>
                  </w:pPr>
                </w:p>
              </w:tc>
              <w:tc>
                <w:tcPr>
                  <w:tcW w:w="1056" w:type="dxa"/>
                  <w:vAlign w:val="center"/>
                </w:tcPr>
                <w:p w14:paraId="4A2B69EE">
                  <w:pPr>
                    <w:adjustRightInd w:val="0"/>
                    <w:snapToGrid w:val="0"/>
                    <w:jc w:val="center"/>
                    <w:rPr>
                      <w:color w:val="auto"/>
                      <w:szCs w:val="21"/>
                    </w:rPr>
                  </w:pPr>
                  <w:r>
                    <w:rPr>
                      <w:color w:val="auto"/>
                      <w:szCs w:val="21"/>
                    </w:rPr>
                    <w:t>能源利用效率要求</w:t>
                  </w:r>
                </w:p>
              </w:tc>
              <w:tc>
                <w:tcPr>
                  <w:tcW w:w="3586" w:type="dxa"/>
                  <w:vAlign w:val="center"/>
                </w:tcPr>
                <w:p w14:paraId="7973FFB1">
                  <w:pPr>
                    <w:adjustRightInd w:val="0"/>
                    <w:snapToGrid w:val="0"/>
                    <w:jc w:val="center"/>
                    <w:rPr>
                      <w:color w:val="auto"/>
                      <w:szCs w:val="21"/>
                    </w:rPr>
                  </w:pPr>
                  <w:r>
                    <w:rPr>
                      <w:rFonts w:hint="eastAsia"/>
                      <w:color w:val="auto"/>
                      <w:szCs w:val="21"/>
                    </w:rPr>
                    <w:t>无</w:t>
                  </w:r>
                </w:p>
              </w:tc>
              <w:tc>
                <w:tcPr>
                  <w:tcW w:w="1946" w:type="dxa"/>
                  <w:vAlign w:val="center"/>
                </w:tcPr>
                <w:p w14:paraId="691CA25E">
                  <w:pPr>
                    <w:adjustRightInd w:val="0"/>
                    <w:snapToGrid w:val="0"/>
                    <w:jc w:val="center"/>
                    <w:rPr>
                      <w:color w:val="auto"/>
                      <w:szCs w:val="21"/>
                    </w:rPr>
                  </w:pPr>
                  <w:r>
                    <w:rPr>
                      <w:rFonts w:hint="eastAsia"/>
                      <w:color w:val="auto"/>
                      <w:szCs w:val="21"/>
                    </w:rPr>
                    <w:t>/</w:t>
                  </w:r>
                </w:p>
              </w:tc>
              <w:tc>
                <w:tcPr>
                  <w:tcW w:w="634" w:type="dxa"/>
                  <w:vAlign w:val="center"/>
                </w:tcPr>
                <w:p w14:paraId="1410F298">
                  <w:pPr>
                    <w:adjustRightInd w:val="0"/>
                    <w:snapToGrid w:val="0"/>
                    <w:jc w:val="center"/>
                    <w:rPr>
                      <w:color w:val="auto"/>
                      <w:szCs w:val="21"/>
                    </w:rPr>
                  </w:pPr>
                  <w:r>
                    <w:rPr>
                      <w:rFonts w:hint="eastAsia"/>
                      <w:color w:val="auto"/>
                      <w:szCs w:val="21"/>
                    </w:rPr>
                    <w:t>/</w:t>
                  </w:r>
                </w:p>
              </w:tc>
            </w:tr>
            <w:tr w14:paraId="793CDA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dxa"/>
                  <w:vMerge w:val="continue"/>
                  <w:vAlign w:val="center"/>
                </w:tcPr>
                <w:p w14:paraId="2F4EABD9">
                  <w:pPr>
                    <w:adjustRightInd w:val="0"/>
                    <w:snapToGrid w:val="0"/>
                    <w:jc w:val="center"/>
                    <w:rPr>
                      <w:color w:val="auto"/>
                      <w:szCs w:val="21"/>
                    </w:rPr>
                  </w:pPr>
                </w:p>
              </w:tc>
              <w:tc>
                <w:tcPr>
                  <w:tcW w:w="1056" w:type="dxa"/>
                  <w:vAlign w:val="center"/>
                </w:tcPr>
                <w:p w14:paraId="248C034A">
                  <w:pPr>
                    <w:adjustRightInd w:val="0"/>
                    <w:snapToGrid w:val="0"/>
                    <w:jc w:val="center"/>
                    <w:rPr>
                      <w:color w:val="auto"/>
                      <w:szCs w:val="21"/>
                    </w:rPr>
                  </w:pPr>
                  <w:r>
                    <w:rPr>
                      <w:rFonts w:hint="eastAsia"/>
                      <w:color w:val="auto"/>
                      <w:szCs w:val="21"/>
                    </w:rPr>
                    <w:t>其他资源利用效率要求</w:t>
                  </w:r>
                </w:p>
              </w:tc>
              <w:tc>
                <w:tcPr>
                  <w:tcW w:w="3586" w:type="dxa"/>
                  <w:vAlign w:val="center"/>
                </w:tcPr>
                <w:p w14:paraId="633DF256">
                  <w:pPr>
                    <w:adjustRightInd w:val="0"/>
                    <w:snapToGrid w:val="0"/>
                    <w:jc w:val="center"/>
                    <w:rPr>
                      <w:color w:val="auto"/>
                      <w:szCs w:val="21"/>
                    </w:rPr>
                  </w:pPr>
                  <w:r>
                    <w:rPr>
                      <w:rFonts w:hint="eastAsia"/>
                      <w:color w:val="auto"/>
                      <w:szCs w:val="21"/>
                    </w:rPr>
                    <w:t>重点管控岸线按开发利用岸线管理要求执行。</w:t>
                  </w:r>
                </w:p>
              </w:tc>
              <w:tc>
                <w:tcPr>
                  <w:tcW w:w="1946" w:type="dxa"/>
                  <w:vAlign w:val="center"/>
                </w:tcPr>
                <w:p w14:paraId="396C9598">
                  <w:pPr>
                    <w:adjustRightInd w:val="0"/>
                    <w:snapToGrid w:val="0"/>
                    <w:jc w:val="center"/>
                    <w:rPr>
                      <w:color w:val="auto"/>
                      <w:szCs w:val="21"/>
                    </w:rPr>
                  </w:pPr>
                  <w:r>
                    <w:rPr>
                      <w:rFonts w:hint="eastAsia"/>
                      <w:color w:val="auto"/>
                      <w:szCs w:val="21"/>
                    </w:rPr>
                    <w:t>本项目不位于重点管控岸线。</w:t>
                  </w:r>
                </w:p>
              </w:tc>
              <w:tc>
                <w:tcPr>
                  <w:tcW w:w="634" w:type="dxa"/>
                  <w:vAlign w:val="center"/>
                </w:tcPr>
                <w:p w14:paraId="260937B1">
                  <w:pPr>
                    <w:adjustRightInd w:val="0"/>
                    <w:snapToGrid w:val="0"/>
                    <w:jc w:val="center"/>
                    <w:rPr>
                      <w:color w:val="auto"/>
                      <w:szCs w:val="21"/>
                    </w:rPr>
                  </w:pPr>
                  <w:r>
                    <w:rPr>
                      <w:rFonts w:hint="eastAsia"/>
                      <w:color w:val="auto"/>
                      <w:szCs w:val="21"/>
                    </w:rPr>
                    <w:t>/</w:t>
                  </w:r>
                </w:p>
              </w:tc>
            </w:tr>
          </w:tbl>
          <w:p w14:paraId="20457EA4">
            <w:pPr>
              <w:pStyle w:val="25"/>
              <w:spacing w:before="120" w:beforeLines="50" w:line="360" w:lineRule="auto"/>
              <w:ind w:firstLine="482" w:firstLineChars="200"/>
              <w:rPr>
                <w:rFonts w:ascii="Times New Roman" w:cs="Times New Roman"/>
                <w:b/>
                <w:bCs/>
                <w:color w:val="auto"/>
              </w:rPr>
            </w:pPr>
            <w:r>
              <w:rPr>
                <w:rFonts w:hint="eastAsia"/>
                <w:b/>
                <w:bCs/>
                <w:color w:val="auto"/>
                <w:kern w:val="0"/>
              </w:rPr>
              <w:t>4、与长江经济带发展负面清单指南</w:t>
            </w:r>
            <w:r>
              <w:rPr>
                <w:rFonts w:hint="eastAsia" w:ascii="Times New Roman" w:cs="Times New Roman"/>
                <w:b/>
                <w:bCs/>
                <w:color w:val="auto"/>
              </w:rPr>
              <w:t>及</w:t>
            </w:r>
            <w:r>
              <w:rPr>
                <w:rFonts w:ascii="Times New Roman" w:cs="Times New Roman"/>
                <w:b/>
                <w:bCs/>
                <w:color w:val="auto"/>
              </w:rPr>
              <w:t>江西省长江经济带发展负面清单符合性分析</w:t>
            </w:r>
          </w:p>
          <w:p w14:paraId="2A86B238">
            <w:pPr>
              <w:jc w:val="center"/>
              <w:rPr>
                <w:b/>
                <w:bCs/>
                <w:color w:val="auto"/>
                <w:szCs w:val="21"/>
                <w:lang w:val="zh-CN"/>
              </w:rPr>
            </w:pPr>
            <w:r>
              <w:rPr>
                <w:rFonts w:hint="eastAsia"/>
                <w:b/>
                <w:bCs/>
                <w:color w:val="auto"/>
                <w:szCs w:val="21"/>
                <w:lang w:val="zh-CN"/>
              </w:rPr>
              <w:t>表1-</w:t>
            </w:r>
            <w:r>
              <w:rPr>
                <w:rFonts w:hint="eastAsia"/>
                <w:b/>
                <w:bCs/>
                <w:color w:val="auto"/>
                <w:szCs w:val="21"/>
              </w:rPr>
              <w:t>4</w:t>
            </w:r>
            <w:r>
              <w:rPr>
                <w:rFonts w:hint="eastAsia"/>
                <w:b/>
                <w:bCs/>
                <w:color w:val="auto"/>
                <w:szCs w:val="21"/>
                <w:lang w:val="zh-CN"/>
              </w:rPr>
              <w:t xml:space="preserve">  与长江经济带发展负面清单指南相符性分析</w:t>
            </w:r>
          </w:p>
          <w:tbl>
            <w:tblPr>
              <w:tblStyle w:val="17"/>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662"/>
              <w:gridCol w:w="2157"/>
              <w:gridCol w:w="734"/>
            </w:tblGrid>
            <w:tr w14:paraId="3FB615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62" w:type="dxa"/>
                  <w:vAlign w:val="center"/>
                </w:tcPr>
                <w:p w14:paraId="02B5DDAA">
                  <w:pPr>
                    <w:adjustRightInd w:val="0"/>
                    <w:snapToGrid w:val="0"/>
                    <w:jc w:val="center"/>
                    <w:rPr>
                      <w:b/>
                      <w:color w:val="auto"/>
                      <w:szCs w:val="21"/>
                    </w:rPr>
                  </w:pPr>
                  <w:r>
                    <w:rPr>
                      <w:b/>
                      <w:color w:val="auto"/>
                      <w:szCs w:val="21"/>
                    </w:rPr>
                    <w:t>《长江经济带负面清单指南（试行，2022年版）》</w:t>
                  </w:r>
                </w:p>
              </w:tc>
              <w:tc>
                <w:tcPr>
                  <w:tcW w:w="2157" w:type="dxa"/>
                  <w:vAlign w:val="center"/>
                </w:tcPr>
                <w:p w14:paraId="085C546E">
                  <w:pPr>
                    <w:adjustRightInd w:val="0"/>
                    <w:snapToGrid w:val="0"/>
                    <w:jc w:val="center"/>
                    <w:rPr>
                      <w:b/>
                      <w:color w:val="auto"/>
                      <w:szCs w:val="21"/>
                    </w:rPr>
                  </w:pPr>
                  <w:r>
                    <w:rPr>
                      <w:b/>
                      <w:color w:val="auto"/>
                      <w:szCs w:val="21"/>
                    </w:rPr>
                    <w:t>本项目</w:t>
                  </w:r>
                </w:p>
              </w:tc>
              <w:tc>
                <w:tcPr>
                  <w:tcW w:w="734" w:type="dxa"/>
                  <w:vAlign w:val="center"/>
                </w:tcPr>
                <w:p w14:paraId="7F306869">
                  <w:pPr>
                    <w:adjustRightInd w:val="0"/>
                    <w:snapToGrid w:val="0"/>
                    <w:jc w:val="center"/>
                    <w:rPr>
                      <w:b/>
                      <w:color w:val="auto"/>
                      <w:szCs w:val="21"/>
                    </w:rPr>
                  </w:pPr>
                  <w:r>
                    <w:rPr>
                      <w:b/>
                      <w:color w:val="auto"/>
                      <w:szCs w:val="21"/>
                    </w:rPr>
                    <w:t>相符性</w:t>
                  </w:r>
                </w:p>
              </w:tc>
            </w:tr>
            <w:tr w14:paraId="3CE56E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47" w:hRule="atLeast"/>
              </w:trPr>
              <w:tc>
                <w:tcPr>
                  <w:tcW w:w="4662" w:type="dxa"/>
                  <w:vAlign w:val="center"/>
                </w:tcPr>
                <w:p w14:paraId="04F4E73E">
                  <w:pPr>
                    <w:adjustRightInd w:val="0"/>
                    <w:snapToGrid w:val="0"/>
                    <w:jc w:val="center"/>
                    <w:rPr>
                      <w:color w:val="auto"/>
                      <w:szCs w:val="21"/>
                    </w:rPr>
                  </w:pPr>
                  <w:r>
                    <w:rPr>
                      <w:color w:val="auto"/>
                      <w:szCs w:val="21"/>
                    </w:rPr>
                    <w:t>1、禁止建设不符合全国和省级港口布局规划以及港口总体规划的码头项目，禁止建设不符合《长江干线过江通道布局规划》的过长江通道项目</w:t>
                  </w:r>
                </w:p>
              </w:tc>
              <w:tc>
                <w:tcPr>
                  <w:tcW w:w="2157" w:type="dxa"/>
                  <w:vAlign w:val="center"/>
                </w:tcPr>
                <w:p w14:paraId="20B9AAF9">
                  <w:pPr>
                    <w:adjustRightInd w:val="0"/>
                    <w:snapToGrid w:val="0"/>
                    <w:rPr>
                      <w:color w:val="auto"/>
                      <w:szCs w:val="21"/>
                    </w:rPr>
                  </w:pPr>
                  <w:r>
                    <w:rPr>
                      <w:color w:val="auto"/>
                      <w:szCs w:val="21"/>
                    </w:rPr>
                    <w:t>本项目不属于码头项目和长江通道项目</w:t>
                  </w:r>
                </w:p>
              </w:tc>
              <w:tc>
                <w:tcPr>
                  <w:tcW w:w="734" w:type="dxa"/>
                  <w:vAlign w:val="center"/>
                </w:tcPr>
                <w:p w14:paraId="180EE41C">
                  <w:pPr>
                    <w:adjustRightInd w:val="0"/>
                    <w:snapToGrid w:val="0"/>
                    <w:jc w:val="center"/>
                    <w:rPr>
                      <w:color w:val="auto"/>
                      <w:szCs w:val="21"/>
                    </w:rPr>
                  </w:pPr>
                  <w:r>
                    <w:rPr>
                      <w:color w:val="auto"/>
                      <w:szCs w:val="21"/>
                    </w:rPr>
                    <w:t>符合</w:t>
                  </w:r>
                </w:p>
              </w:tc>
            </w:tr>
            <w:tr w14:paraId="72A07D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69" w:hRule="atLeast"/>
              </w:trPr>
              <w:tc>
                <w:tcPr>
                  <w:tcW w:w="4662" w:type="dxa"/>
                  <w:vAlign w:val="center"/>
                </w:tcPr>
                <w:p w14:paraId="00072E0D">
                  <w:pPr>
                    <w:adjustRightInd w:val="0"/>
                    <w:snapToGrid w:val="0"/>
                    <w:jc w:val="center"/>
                    <w:rPr>
                      <w:color w:val="auto"/>
                      <w:szCs w:val="21"/>
                    </w:rPr>
                  </w:pPr>
                  <w:r>
                    <w:rPr>
                      <w:color w:val="auto"/>
                      <w:szCs w:val="21"/>
                    </w:rPr>
                    <w:t>2、禁止在自然保护区核心区、缓冲区的岸线和河段范围内投资建设旅游和生产经营项目。禁止在风景名胜区核心景区的岸线和河段范围内投资建设与风景名胜资源保护无关的项目</w:t>
                  </w:r>
                </w:p>
              </w:tc>
              <w:tc>
                <w:tcPr>
                  <w:tcW w:w="2157" w:type="dxa"/>
                  <w:vAlign w:val="center"/>
                </w:tcPr>
                <w:p w14:paraId="61EB0E14">
                  <w:pPr>
                    <w:adjustRightInd w:val="0"/>
                    <w:snapToGrid w:val="0"/>
                    <w:rPr>
                      <w:color w:val="auto"/>
                      <w:szCs w:val="21"/>
                    </w:rPr>
                  </w:pPr>
                  <w:r>
                    <w:rPr>
                      <w:color w:val="auto"/>
                      <w:szCs w:val="21"/>
                    </w:rPr>
                    <w:t>本项目不涉及自然保护区</w:t>
                  </w:r>
                  <w:r>
                    <w:rPr>
                      <w:rFonts w:hint="eastAsia"/>
                      <w:color w:val="auto"/>
                      <w:szCs w:val="21"/>
                    </w:rPr>
                    <w:t>的核心区、缓冲区以及</w:t>
                  </w:r>
                  <w:r>
                    <w:rPr>
                      <w:color w:val="auto"/>
                      <w:szCs w:val="21"/>
                    </w:rPr>
                    <w:t>风景名胜区</w:t>
                  </w:r>
                  <w:r>
                    <w:rPr>
                      <w:rFonts w:hint="eastAsia"/>
                      <w:color w:val="auto"/>
                      <w:szCs w:val="21"/>
                    </w:rPr>
                    <w:t>的核心景区</w:t>
                  </w:r>
                </w:p>
              </w:tc>
              <w:tc>
                <w:tcPr>
                  <w:tcW w:w="734" w:type="dxa"/>
                  <w:vAlign w:val="center"/>
                </w:tcPr>
                <w:p w14:paraId="26BB16EF">
                  <w:pPr>
                    <w:adjustRightInd w:val="0"/>
                    <w:snapToGrid w:val="0"/>
                    <w:jc w:val="center"/>
                    <w:rPr>
                      <w:color w:val="auto"/>
                      <w:szCs w:val="21"/>
                    </w:rPr>
                  </w:pPr>
                  <w:r>
                    <w:rPr>
                      <w:color w:val="auto"/>
                      <w:szCs w:val="21"/>
                    </w:rPr>
                    <w:t>符合</w:t>
                  </w:r>
                </w:p>
              </w:tc>
            </w:tr>
            <w:tr w14:paraId="35E77B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74" w:hRule="atLeast"/>
              </w:trPr>
              <w:tc>
                <w:tcPr>
                  <w:tcW w:w="4662" w:type="dxa"/>
                  <w:vAlign w:val="center"/>
                </w:tcPr>
                <w:p w14:paraId="5C39E1EA">
                  <w:pPr>
                    <w:adjustRightInd w:val="0"/>
                    <w:snapToGrid w:val="0"/>
                    <w:jc w:val="center"/>
                    <w:rPr>
                      <w:color w:val="auto"/>
                      <w:szCs w:val="21"/>
                    </w:rPr>
                  </w:pPr>
                  <w:r>
                    <w:rPr>
                      <w:color w:val="auto"/>
                      <w:szCs w:val="21"/>
                    </w:rPr>
                    <w:t>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157" w:type="dxa"/>
                  <w:vAlign w:val="center"/>
                </w:tcPr>
                <w:p w14:paraId="4070E096">
                  <w:pPr>
                    <w:adjustRightInd w:val="0"/>
                    <w:snapToGrid w:val="0"/>
                    <w:jc w:val="center"/>
                    <w:rPr>
                      <w:color w:val="auto"/>
                      <w:szCs w:val="21"/>
                    </w:rPr>
                  </w:pPr>
                  <w:r>
                    <w:rPr>
                      <w:color w:val="auto"/>
                      <w:szCs w:val="21"/>
                    </w:rPr>
                    <w:t>本项目不涉及饮用水源保护区</w:t>
                  </w:r>
                </w:p>
              </w:tc>
              <w:tc>
                <w:tcPr>
                  <w:tcW w:w="734" w:type="dxa"/>
                  <w:vAlign w:val="center"/>
                </w:tcPr>
                <w:p w14:paraId="336E207E">
                  <w:pPr>
                    <w:adjustRightInd w:val="0"/>
                    <w:snapToGrid w:val="0"/>
                    <w:jc w:val="center"/>
                    <w:rPr>
                      <w:color w:val="auto"/>
                      <w:szCs w:val="21"/>
                    </w:rPr>
                  </w:pPr>
                  <w:r>
                    <w:rPr>
                      <w:color w:val="auto"/>
                      <w:szCs w:val="21"/>
                    </w:rPr>
                    <w:t>符合</w:t>
                  </w:r>
                </w:p>
              </w:tc>
            </w:tr>
            <w:tr w14:paraId="0D8D62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26" w:hRule="atLeast"/>
              </w:trPr>
              <w:tc>
                <w:tcPr>
                  <w:tcW w:w="4662" w:type="dxa"/>
                  <w:vAlign w:val="center"/>
                </w:tcPr>
                <w:p w14:paraId="7497BFA7">
                  <w:pPr>
                    <w:adjustRightInd w:val="0"/>
                    <w:snapToGrid w:val="0"/>
                    <w:jc w:val="center"/>
                    <w:rPr>
                      <w:color w:val="auto"/>
                      <w:szCs w:val="21"/>
                    </w:rPr>
                  </w:pPr>
                  <w:r>
                    <w:rPr>
                      <w:color w:val="auto"/>
                      <w:szCs w:val="21"/>
                    </w:rPr>
                    <w:t>4、禁止在水产种质资源保护区的岸线和河段范围内新建围湖造田、围海造地或围填海等投资建设项目。禁止在国家湿地公园的岸线和河段范围内挖沙、采矿，以及任何不符合主体功能定位的投资建设项目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157" w:type="dxa"/>
                  <w:vAlign w:val="center"/>
                </w:tcPr>
                <w:p w14:paraId="6DC35839">
                  <w:pPr>
                    <w:adjustRightInd w:val="0"/>
                    <w:snapToGrid w:val="0"/>
                    <w:rPr>
                      <w:b/>
                      <w:bCs/>
                      <w:color w:val="auto"/>
                      <w:szCs w:val="21"/>
                    </w:rPr>
                  </w:pPr>
                  <w:r>
                    <w:rPr>
                      <w:color w:val="auto"/>
                      <w:szCs w:val="21"/>
                    </w:rPr>
                    <w:t>本项目在水产种质资源保护区的岸线和河段范围外</w:t>
                  </w:r>
                  <w:r>
                    <w:rPr>
                      <w:bCs/>
                      <w:color w:val="auto"/>
                      <w:szCs w:val="21"/>
                    </w:rPr>
                    <w:t>；</w:t>
                  </w:r>
                  <w:r>
                    <w:rPr>
                      <w:color w:val="auto"/>
                      <w:szCs w:val="21"/>
                    </w:rPr>
                    <w:t>本项目不涉及国家湿地公园的岸线和河段</w:t>
                  </w:r>
                </w:p>
              </w:tc>
              <w:tc>
                <w:tcPr>
                  <w:tcW w:w="734" w:type="dxa"/>
                  <w:vAlign w:val="center"/>
                </w:tcPr>
                <w:p w14:paraId="5926FCE7">
                  <w:pPr>
                    <w:adjustRightInd w:val="0"/>
                    <w:snapToGrid w:val="0"/>
                    <w:jc w:val="center"/>
                    <w:rPr>
                      <w:color w:val="auto"/>
                      <w:szCs w:val="21"/>
                    </w:rPr>
                  </w:pPr>
                  <w:r>
                    <w:rPr>
                      <w:color w:val="auto"/>
                      <w:szCs w:val="21"/>
                    </w:rPr>
                    <w:t>符合</w:t>
                  </w:r>
                </w:p>
              </w:tc>
            </w:tr>
            <w:tr w14:paraId="6232E5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26" w:hRule="atLeast"/>
              </w:trPr>
              <w:tc>
                <w:tcPr>
                  <w:tcW w:w="4662" w:type="dxa"/>
                  <w:vAlign w:val="center"/>
                </w:tcPr>
                <w:p w14:paraId="3686E5F1">
                  <w:pPr>
                    <w:adjustRightInd w:val="0"/>
                    <w:snapToGrid w:val="0"/>
                    <w:jc w:val="center"/>
                    <w:rPr>
                      <w:color w:val="auto"/>
                      <w:szCs w:val="21"/>
                    </w:rPr>
                  </w:pPr>
                  <w:r>
                    <w:rPr>
                      <w:color w:val="auto"/>
                      <w:szCs w:val="21"/>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157" w:type="dxa"/>
                  <w:vAlign w:val="center"/>
                </w:tcPr>
                <w:p w14:paraId="7FFC0F68">
                  <w:pPr>
                    <w:adjustRightInd w:val="0"/>
                    <w:snapToGrid w:val="0"/>
                    <w:rPr>
                      <w:color w:val="auto"/>
                      <w:szCs w:val="21"/>
                    </w:rPr>
                  </w:pPr>
                  <w:r>
                    <w:rPr>
                      <w:color w:val="auto"/>
                      <w:szCs w:val="21"/>
                    </w:rPr>
                    <w:t>项目不占用长江流域河湖岸线；项目不属于《长江岸线保护和开发利用总体规划》划定的岸线保护区；不属于《全国重要江河湖泊水功能区划》划定的河段保护区、保留区</w:t>
                  </w:r>
                </w:p>
              </w:tc>
              <w:tc>
                <w:tcPr>
                  <w:tcW w:w="734" w:type="dxa"/>
                  <w:vAlign w:val="center"/>
                </w:tcPr>
                <w:p w14:paraId="5B4C1172">
                  <w:pPr>
                    <w:adjustRightInd w:val="0"/>
                    <w:snapToGrid w:val="0"/>
                    <w:jc w:val="center"/>
                    <w:rPr>
                      <w:color w:val="auto"/>
                      <w:szCs w:val="21"/>
                    </w:rPr>
                  </w:pPr>
                  <w:r>
                    <w:rPr>
                      <w:color w:val="auto"/>
                      <w:szCs w:val="21"/>
                    </w:rPr>
                    <w:t>符合</w:t>
                  </w:r>
                </w:p>
              </w:tc>
            </w:tr>
            <w:tr w14:paraId="6CE7D1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84" w:hRule="atLeast"/>
              </w:trPr>
              <w:tc>
                <w:tcPr>
                  <w:tcW w:w="4662" w:type="dxa"/>
                  <w:vAlign w:val="center"/>
                </w:tcPr>
                <w:p w14:paraId="5EBA2E09">
                  <w:pPr>
                    <w:adjustRightInd w:val="0"/>
                    <w:snapToGrid w:val="0"/>
                    <w:jc w:val="center"/>
                    <w:rPr>
                      <w:color w:val="auto"/>
                      <w:szCs w:val="21"/>
                    </w:rPr>
                  </w:pPr>
                  <w:r>
                    <w:rPr>
                      <w:color w:val="auto"/>
                      <w:szCs w:val="21"/>
                    </w:rPr>
                    <w:t>6、禁止未经许可在长江干支流及湖泊新设、改设或扩大排污口</w:t>
                  </w:r>
                </w:p>
              </w:tc>
              <w:tc>
                <w:tcPr>
                  <w:tcW w:w="2157" w:type="dxa"/>
                  <w:vAlign w:val="center"/>
                </w:tcPr>
                <w:p w14:paraId="6FECF41C">
                  <w:pPr>
                    <w:adjustRightInd w:val="0"/>
                    <w:snapToGrid w:val="0"/>
                    <w:rPr>
                      <w:color w:val="auto"/>
                      <w:szCs w:val="21"/>
                    </w:rPr>
                  </w:pPr>
                  <w:r>
                    <w:rPr>
                      <w:color w:val="auto"/>
                      <w:szCs w:val="21"/>
                    </w:rPr>
                    <w:t>本项目不新增排污口</w:t>
                  </w:r>
                </w:p>
              </w:tc>
              <w:tc>
                <w:tcPr>
                  <w:tcW w:w="734" w:type="dxa"/>
                  <w:vAlign w:val="center"/>
                </w:tcPr>
                <w:p w14:paraId="0CCB660C">
                  <w:pPr>
                    <w:adjustRightInd w:val="0"/>
                    <w:snapToGrid w:val="0"/>
                    <w:jc w:val="center"/>
                    <w:rPr>
                      <w:color w:val="auto"/>
                      <w:szCs w:val="21"/>
                    </w:rPr>
                  </w:pPr>
                  <w:r>
                    <w:rPr>
                      <w:color w:val="auto"/>
                      <w:szCs w:val="21"/>
                    </w:rPr>
                    <w:t>符合</w:t>
                  </w:r>
                </w:p>
              </w:tc>
            </w:tr>
            <w:tr w14:paraId="49303F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4662" w:type="dxa"/>
                  <w:vAlign w:val="center"/>
                </w:tcPr>
                <w:p w14:paraId="525D7494">
                  <w:pPr>
                    <w:adjustRightInd w:val="0"/>
                    <w:snapToGrid w:val="0"/>
                    <w:jc w:val="center"/>
                    <w:rPr>
                      <w:color w:val="auto"/>
                      <w:szCs w:val="21"/>
                    </w:rPr>
                  </w:pPr>
                  <w:r>
                    <w:rPr>
                      <w:color w:val="auto"/>
                      <w:szCs w:val="21"/>
                    </w:rPr>
                    <w:t>7、禁止在</w:t>
                  </w:r>
                  <w:r>
                    <w:rPr>
                      <w:rFonts w:ascii="宋体" w:hAnsi="宋体"/>
                      <w:color w:val="auto"/>
                      <w:szCs w:val="21"/>
                    </w:rPr>
                    <w:t>“一江一口两湖七河”</w:t>
                  </w:r>
                  <w:r>
                    <w:rPr>
                      <w:color w:val="auto"/>
                      <w:szCs w:val="21"/>
                    </w:rPr>
                    <w:t>和332个水生生物保护区开展生产性捕捞</w:t>
                  </w:r>
                </w:p>
              </w:tc>
              <w:tc>
                <w:tcPr>
                  <w:tcW w:w="2157" w:type="dxa"/>
                  <w:vAlign w:val="center"/>
                </w:tcPr>
                <w:p w14:paraId="2117D34A">
                  <w:pPr>
                    <w:adjustRightInd w:val="0"/>
                    <w:snapToGrid w:val="0"/>
                    <w:rPr>
                      <w:color w:val="auto"/>
                      <w:szCs w:val="21"/>
                    </w:rPr>
                  </w:pPr>
                  <w:r>
                    <w:rPr>
                      <w:color w:val="auto"/>
                      <w:szCs w:val="21"/>
                    </w:rPr>
                    <w:t>不位于</w:t>
                  </w:r>
                  <w:r>
                    <w:rPr>
                      <w:rFonts w:hint="eastAsia"/>
                      <w:color w:val="auto"/>
                      <w:szCs w:val="21"/>
                    </w:rPr>
                    <w:t>“</w:t>
                  </w:r>
                  <w:r>
                    <w:rPr>
                      <w:color w:val="auto"/>
                      <w:szCs w:val="21"/>
                    </w:rPr>
                    <w:t>一江一口两湖七河</w:t>
                  </w:r>
                  <w:r>
                    <w:rPr>
                      <w:rFonts w:hint="eastAsia"/>
                      <w:color w:val="auto"/>
                      <w:szCs w:val="21"/>
                    </w:rPr>
                    <w:t>”</w:t>
                  </w:r>
                  <w:r>
                    <w:rPr>
                      <w:color w:val="auto"/>
                      <w:szCs w:val="21"/>
                    </w:rPr>
                    <w:t>和332个水生生物保护区范围内</w:t>
                  </w:r>
                </w:p>
              </w:tc>
              <w:tc>
                <w:tcPr>
                  <w:tcW w:w="734" w:type="dxa"/>
                  <w:vAlign w:val="center"/>
                </w:tcPr>
                <w:p w14:paraId="548FAECA">
                  <w:pPr>
                    <w:adjustRightInd w:val="0"/>
                    <w:snapToGrid w:val="0"/>
                    <w:jc w:val="center"/>
                    <w:rPr>
                      <w:color w:val="auto"/>
                      <w:szCs w:val="21"/>
                    </w:rPr>
                  </w:pPr>
                  <w:r>
                    <w:rPr>
                      <w:color w:val="auto"/>
                      <w:szCs w:val="21"/>
                    </w:rPr>
                    <w:t>符合</w:t>
                  </w:r>
                </w:p>
              </w:tc>
            </w:tr>
            <w:tr w14:paraId="614428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74" w:hRule="atLeast"/>
              </w:trPr>
              <w:tc>
                <w:tcPr>
                  <w:tcW w:w="4662" w:type="dxa"/>
                  <w:vAlign w:val="center"/>
                </w:tcPr>
                <w:p w14:paraId="00507B91">
                  <w:pPr>
                    <w:adjustRightInd w:val="0"/>
                    <w:snapToGrid w:val="0"/>
                    <w:jc w:val="center"/>
                    <w:rPr>
                      <w:color w:val="auto"/>
                      <w:szCs w:val="21"/>
                    </w:rPr>
                  </w:pPr>
                  <w:r>
                    <w:rPr>
                      <w:color w:val="auto"/>
                      <w:szCs w:val="21"/>
                    </w:rPr>
                    <w:t>8、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改建除外。</w:t>
                  </w:r>
                </w:p>
              </w:tc>
              <w:tc>
                <w:tcPr>
                  <w:tcW w:w="2157" w:type="dxa"/>
                  <w:vAlign w:val="center"/>
                </w:tcPr>
                <w:p w14:paraId="7573EDCE">
                  <w:pPr>
                    <w:adjustRightInd w:val="0"/>
                    <w:snapToGrid w:val="0"/>
                    <w:rPr>
                      <w:color w:val="auto"/>
                      <w:szCs w:val="21"/>
                    </w:rPr>
                  </w:pPr>
                  <w:r>
                    <w:rPr>
                      <w:color w:val="auto"/>
                      <w:szCs w:val="21"/>
                    </w:rPr>
                    <w:t>项目不位于长江干支流、重要湖泊岸线一公里范围内；项目不涉及尾矿库、冶炼渣库和磷石膏库</w:t>
                  </w:r>
                  <w:r>
                    <w:rPr>
                      <w:rFonts w:hint="eastAsia"/>
                      <w:color w:val="auto"/>
                      <w:szCs w:val="21"/>
                    </w:rPr>
                    <w:t>。</w:t>
                  </w:r>
                </w:p>
              </w:tc>
              <w:tc>
                <w:tcPr>
                  <w:tcW w:w="734" w:type="dxa"/>
                  <w:vAlign w:val="center"/>
                </w:tcPr>
                <w:p w14:paraId="7127069D">
                  <w:pPr>
                    <w:adjustRightInd w:val="0"/>
                    <w:snapToGrid w:val="0"/>
                    <w:jc w:val="center"/>
                    <w:rPr>
                      <w:color w:val="auto"/>
                      <w:szCs w:val="21"/>
                    </w:rPr>
                  </w:pPr>
                  <w:r>
                    <w:rPr>
                      <w:color w:val="auto"/>
                      <w:szCs w:val="21"/>
                    </w:rPr>
                    <w:t>符合</w:t>
                  </w:r>
                </w:p>
              </w:tc>
            </w:tr>
            <w:tr w14:paraId="54198A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4" w:hRule="atLeast"/>
              </w:trPr>
              <w:tc>
                <w:tcPr>
                  <w:tcW w:w="4662" w:type="dxa"/>
                  <w:vAlign w:val="center"/>
                </w:tcPr>
                <w:p w14:paraId="39A19B7E">
                  <w:pPr>
                    <w:adjustRightInd w:val="0"/>
                    <w:snapToGrid w:val="0"/>
                    <w:jc w:val="center"/>
                    <w:rPr>
                      <w:color w:val="auto"/>
                      <w:szCs w:val="21"/>
                    </w:rPr>
                  </w:pPr>
                  <w:r>
                    <w:rPr>
                      <w:color w:val="auto"/>
                      <w:szCs w:val="21"/>
                    </w:rPr>
                    <w:t>9、禁止在合规园区外新建、扩建钢铁、石化、化工、焦化、建材、有色、制浆造纸等高污染项目。</w:t>
                  </w:r>
                </w:p>
              </w:tc>
              <w:tc>
                <w:tcPr>
                  <w:tcW w:w="2157" w:type="dxa"/>
                  <w:vAlign w:val="center"/>
                </w:tcPr>
                <w:p w14:paraId="6944483F">
                  <w:pPr>
                    <w:adjustRightInd w:val="0"/>
                    <w:snapToGrid w:val="0"/>
                    <w:rPr>
                      <w:color w:val="auto"/>
                      <w:szCs w:val="21"/>
                    </w:rPr>
                  </w:pPr>
                  <w:r>
                    <w:rPr>
                      <w:rFonts w:hint="eastAsia"/>
                      <w:color w:val="auto"/>
                      <w:szCs w:val="21"/>
                    </w:rPr>
                    <w:t>项目不属于化工</w:t>
                  </w:r>
                  <w:r>
                    <w:rPr>
                      <w:color w:val="auto"/>
                      <w:szCs w:val="21"/>
                    </w:rPr>
                    <w:t>等高污染项目</w:t>
                  </w:r>
                  <w:r>
                    <w:rPr>
                      <w:rFonts w:hint="eastAsia"/>
                      <w:color w:val="auto"/>
                      <w:szCs w:val="21"/>
                    </w:rPr>
                    <w:t>。</w:t>
                  </w:r>
                </w:p>
              </w:tc>
              <w:tc>
                <w:tcPr>
                  <w:tcW w:w="734" w:type="dxa"/>
                  <w:vAlign w:val="center"/>
                </w:tcPr>
                <w:p w14:paraId="181A4F4E">
                  <w:pPr>
                    <w:adjustRightInd w:val="0"/>
                    <w:snapToGrid w:val="0"/>
                    <w:jc w:val="center"/>
                    <w:rPr>
                      <w:color w:val="auto"/>
                      <w:szCs w:val="21"/>
                    </w:rPr>
                  </w:pPr>
                  <w:r>
                    <w:rPr>
                      <w:color w:val="auto"/>
                      <w:szCs w:val="21"/>
                    </w:rPr>
                    <w:t>符合</w:t>
                  </w:r>
                </w:p>
              </w:tc>
            </w:tr>
            <w:tr w14:paraId="161758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24" w:hRule="atLeast"/>
              </w:trPr>
              <w:tc>
                <w:tcPr>
                  <w:tcW w:w="4662" w:type="dxa"/>
                  <w:vAlign w:val="center"/>
                </w:tcPr>
                <w:p w14:paraId="3008B6B1">
                  <w:pPr>
                    <w:adjustRightInd w:val="0"/>
                    <w:snapToGrid w:val="0"/>
                    <w:jc w:val="center"/>
                    <w:rPr>
                      <w:color w:val="auto"/>
                      <w:szCs w:val="21"/>
                    </w:rPr>
                  </w:pPr>
                  <w:r>
                    <w:rPr>
                      <w:color w:val="auto"/>
                      <w:szCs w:val="21"/>
                    </w:rPr>
                    <w:t>10、禁止新建、扩建不符合国家石化、现代煤化工等产业布局规划的项目。</w:t>
                  </w:r>
                </w:p>
              </w:tc>
              <w:tc>
                <w:tcPr>
                  <w:tcW w:w="2157" w:type="dxa"/>
                  <w:vAlign w:val="center"/>
                </w:tcPr>
                <w:p w14:paraId="090318E6">
                  <w:pPr>
                    <w:adjustRightInd w:val="0"/>
                    <w:snapToGrid w:val="0"/>
                    <w:rPr>
                      <w:color w:val="auto"/>
                      <w:szCs w:val="21"/>
                    </w:rPr>
                  </w:pPr>
                  <w:r>
                    <w:rPr>
                      <w:color w:val="auto"/>
                      <w:szCs w:val="21"/>
                    </w:rPr>
                    <w:t>项目不属于石化、现代煤化工等产业</w:t>
                  </w:r>
                  <w:r>
                    <w:rPr>
                      <w:rFonts w:hint="eastAsia"/>
                      <w:color w:val="auto"/>
                      <w:szCs w:val="21"/>
                    </w:rPr>
                    <w:t>。</w:t>
                  </w:r>
                </w:p>
              </w:tc>
              <w:tc>
                <w:tcPr>
                  <w:tcW w:w="734" w:type="dxa"/>
                  <w:vAlign w:val="center"/>
                </w:tcPr>
                <w:p w14:paraId="36959617">
                  <w:pPr>
                    <w:adjustRightInd w:val="0"/>
                    <w:snapToGrid w:val="0"/>
                    <w:jc w:val="center"/>
                    <w:rPr>
                      <w:color w:val="auto"/>
                      <w:szCs w:val="21"/>
                    </w:rPr>
                  </w:pPr>
                  <w:r>
                    <w:rPr>
                      <w:color w:val="auto"/>
                      <w:szCs w:val="21"/>
                    </w:rPr>
                    <w:t>符合</w:t>
                  </w:r>
                </w:p>
              </w:tc>
            </w:tr>
            <w:tr w14:paraId="17A98E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62" w:type="dxa"/>
                  <w:vAlign w:val="center"/>
                </w:tcPr>
                <w:p w14:paraId="4961E896">
                  <w:pPr>
                    <w:adjustRightInd w:val="0"/>
                    <w:snapToGrid w:val="0"/>
                    <w:jc w:val="center"/>
                    <w:rPr>
                      <w:color w:val="auto"/>
                      <w:szCs w:val="21"/>
                    </w:rPr>
                  </w:pPr>
                  <w:r>
                    <w:rPr>
                      <w:color w:val="auto"/>
                      <w:szCs w:val="21"/>
                    </w:rPr>
                    <w:t>11、禁止新建、扩建法律法规和相关政策明令禁止的落后产能项目。禁止新建、扩建不符合国家产能置换要求的严重过剩产能行业的项目</w:t>
                  </w:r>
                </w:p>
              </w:tc>
              <w:tc>
                <w:tcPr>
                  <w:tcW w:w="2157" w:type="dxa"/>
                  <w:vAlign w:val="center"/>
                </w:tcPr>
                <w:p w14:paraId="6C1D8095">
                  <w:pPr>
                    <w:adjustRightInd w:val="0"/>
                    <w:snapToGrid w:val="0"/>
                    <w:rPr>
                      <w:color w:val="auto"/>
                      <w:szCs w:val="21"/>
                    </w:rPr>
                  </w:pPr>
                  <w:r>
                    <w:rPr>
                      <w:color w:val="auto"/>
                      <w:szCs w:val="21"/>
                    </w:rPr>
                    <w:t>项目不属于法律法规和相关政策明令禁止的落后产能项目；不属于产能过剩行业</w:t>
                  </w:r>
                  <w:r>
                    <w:rPr>
                      <w:rFonts w:hint="eastAsia"/>
                      <w:color w:val="auto"/>
                      <w:szCs w:val="21"/>
                    </w:rPr>
                    <w:t>。</w:t>
                  </w:r>
                </w:p>
              </w:tc>
              <w:tc>
                <w:tcPr>
                  <w:tcW w:w="734" w:type="dxa"/>
                  <w:vAlign w:val="center"/>
                </w:tcPr>
                <w:p w14:paraId="1756B435">
                  <w:pPr>
                    <w:adjustRightInd w:val="0"/>
                    <w:snapToGrid w:val="0"/>
                    <w:jc w:val="center"/>
                    <w:rPr>
                      <w:color w:val="auto"/>
                      <w:szCs w:val="21"/>
                    </w:rPr>
                  </w:pPr>
                  <w:r>
                    <w:rPr>
                      <w:color w:val="auto"/>
                      <w:szCs w:val="21"/>
                    </w:rPr>
                    <w:t>符合</w:t>
                  </w:r>
                </w:p>
              </w:tc>
            </w:tr>
          </w:tbl>
          <w:p w14:paraId="531D4C97">
            <w:pPr>
              <w:jc w:val="center"/>
              <w:rPr>
                <w:b/>
                <w:bCs/>
                <w:color w:val="auto"/>
                <w:szCs w:val="21"/>
                <w:lang w:val="zh-CN"/>
              </w:rPr>
            </w:pPr>
            <w:r>
              <w:rPr>
                <w:b/>
                <w:bCs/>
                <w:color w:val="auto"/>
                <w:szCs w:val="21"/>
                <w:lang w:val="zh-CN"/>
              </w:rPr>
              <w:t>表1</w:t>
            </w:r>
            <w:bookmarkStart w:id="4" w:name="_Toc18497"/>
            <w:r>
              <w:rPr>
                <w:rFonts w:hint="eastAsia"/>
                <w:b/>
                <w:bCs/>
                <w:color w:val="auto"/>
                <w:szCs w:val="21"/>
              </w:rPr>
              <w:t>-5</w:t>
            </w:r>
            <w:r>
              <w:rPr>
                <w:b/>
                <w:bCs/>
                <w:color w:val="auto"/>
                <w:szCs w:val="21"/>
                <w:lang w:val="zh-CN"/>
              </w:rPr>
              <w:t xml:space="preserve"> 与《江西省长江经济带发展负面清单实施细则（试行，2022年版）》（赣长江办〔2022〕7号）相符性分析</w:t>
            </w:r>
            <w:bookmarkEnd w:id="4"/>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81"/>
              <w:gridCol w:w="4689"/>
              <w:gridCol w:w="1936"/>
              <w:gridCol w:w="544"/>
            </w:tblGrid>
            <w:tr w14:paraId="1E06EE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3" w:hRule="atLeast"/>
                <w:tblHeader/>
                <w:jc w:val="center"/>
              </w:trPr>
              <w:tc>
                <w:tcPr>
                  <w:tcW w:w="252" w:type="pct"/>
                  <w:vAlign w:val="center"/>
                </w:tcPr>
                <w:p w14:paraId="5D40851A">
                  <w:pPr>
                    <w:pStyle w:val="10"/>
                    <w:tabs>
                      <w:tab w:val="left" w:pos="3012"/>
                    </w:tabs>
                    <w:adjustRightInd w:val="0"/>
                    <w:spacing w:after="0"/>
                    <w:ind w:firstLine="0" w:firstLineChars="0"/>
                    <w:jc w:val="center"/>
                    <w:rPr>
                      <w:rFonts w:ascii="Times New Roman" w:hAnsi="Times New Roman" w:eastAsia="宋体"/>
                      <w:b/>
                      <w:bCs/>
                      <w:color w:val="auto"/>
                      <w:szCs w:val="21"/>
                    </w:rPr>
                  </w:pPr>
                  <w:r>
                    <w:rPr>
                      <w:rFonts w:ascii="Times New Roman" w:hAnsi="Times New Roman" w:eastAsia="宋体"/>
                      <w:b/>
                      <w:bCs/>
                      <w:color w:val="auto"/>
                      <w:szCs w:val="21"/>
                    </w:rPr>
                    <w:t>项目</w:t>
                  </w:r>
                </w:p>
              </w:tc>
              <w:tc>
                <w:tcPr>
                  <w:tcW w:w="3105" w:type="pct"/>
                  <w:vAlign w:val="center"/>
                </w:tcPr>
                <w:p w14:paraId="795B12C2">
                  <w:pPr>
                    <w:pStyle w:val="10"/>
                    <w:tabs>
                      <w:tab w:val="left" w:pos="3012"/>
                    </w:tabs>
                    <w:adjustRightInd w:val="0"/>
                    <w:spacing w:after="0"/>
                    <w:ind w:firstLine="0" w:firstLineChars="0"/>
                    <w:jc w:val="center"/>
                    <w:rPr>
                      <w:rFonts w:ascii="Times New Roman" w:hAnsi="Times New Roman" w:eastAsia="宋体"/>
                      <w:b/>
                      <w:bCs/>
                      <w:color w:val="auto"/>
                      <w:szCs w:val="21"/>
                    </w:rPr>
                  </w:pPr>
                  <w:r>
                    <w:rPr>
                      <w:rFonts w:ascii="Times New Roman" w:hAnsi="Times New Roman" w:eastAsia="宋体"/>
                      <w:b/>
                      <w:bCs/>
                      <w:color w:val="auto"/>
                      <w:szCs w:val="21"/>
                    </w:rPr>
                    <w:t>内容</w:t>
                  </w:r>
                </w:p>
              </w:tc>
              <w:tc>
                <w:tcPr>
                  <w:tcW w:w="1282" w:type="pct"/>
                  <w:vAlign w:val="center"/>
                </w:tcPr>
                <w:p w14:paraId="31307386">
                  <w:pPr>
                    <w:pStyle w:val="10"/>
                    <w:tabs>
                      <w:tab w:val="left" w:pos="3012"/>
                    </w:tabs>
                    <w:adjustRightInd w:val="0"/>
                    <w:spacing w:after="0"/>
                    <w:ind w:firstLine="0" w:firstLineChars="0"/>
                    <w:jc w:val="center"/>
                    <w:rPr>
                      <w:rFonts w:ascii="Times New Roman" w:hAnsi="Times New Roman" w:eastAsia="宋体"/>
                      <w:b/>
                      <w:bCs/>
                      <w:color w:val="auto"/>
                      <w:szCs w:val="21"/>
                    </w:rPr>
                  </w:pPr>
                  <w:r>
                    <w:rPr>
                      <w:rFonts w:ascii="Times New Roman" w:hAnsi="Times New Roman" w:eastAsia="宋体"/>
                      <w:b/>
                      <w:bCs/>
                      <w:color w:val="auto"/>
                      <w:szCs w:val="21"/>
                    </w:rPr>
                    <w:t>符合性分析</w:t>
                  </w:r>
                </w:p>
              </w:tc>
              <w:tc>
                <w:tcPr>
                  <w:tcW w:w="360" w:type="pct"/>
                  <w:vAlign w:val="center"/>
                </w:tcPr>
                <w:p w14:paraId="2B1B8790">
                  <w:pPr>
                    <w:pStyle w:val="10"/>
                    <w:tabs>
                      <w:tab w:val="left" w:pos="3012"/>
                    </w:tabs>
                    <w:adjustRightInd w:val="0"/>
                    <w:spacing w:after="0"/>
                    <w:ind w:firstLine="0" w:firstLineChars="0"/>
                    <w:jc w:val="center"/>
                    <w:rPr>
                      <w:rFonts w:ascii="Times New Roman" w:hAnsi="Times New Roman" w:eastAsia="宋体"/>
                      <w:b/>
                      <w:bCs/>
                      <w:color w:val="auto"/>
                      <w:szCs w:val="21"/>
                    </w:rPr>
                  </w:pPr>
                  <w:r>
                    <w:rPr>
                      <w:rFonts w:ascii="Times New Roman" w:hAnsi="Times New Roman" w:eastAsia="宋体"/>
                      <w:b/>
                      <w:bCs/>
                      <w:color w:val="auto"/>
                      <w:szCs w:val="21"/>
                    </w:rPr>
                    <w:t>符合性</w:t>
                  </w:r>
                </w:p>
              </w:tc>
            </w:tr>
            <w:tr w14:paraId="3AC6A1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87" w:hRule="atLeast"/>
                <w:jc w:val="center"/>
              </w:trPr>
              <w:tc>
                <w:tcPr>
                  <w:tcW w:w="252" w:type="pct"/>
                  <w:vMerge w:val="restart"/>
                  <w:vAlign w:val="center"/>
                </w:tcPr>
                <w:p w14:paraId="09CDA1BE">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严格岸线河段管控</w:t>
                  </w:r>
                </w:p>
              </w:tc>
              <w:tc>
                <w:tcPr>
                  <w:tcW w:w="3105" w:type="pct"/>
                  <w:vAlign w:val="center"/>
                </w:tcPr>
                <w:p w14:paraId="13E435CF">
                  <w:pPr>
                    <w:pStyle w:val="10"/>
                    <w:tabs>
                      <w:tab w:val="left" w:pos="3012"/>
                    </w:tabs>
                    <w:adjustRightInd w:val="0"/>
                    <w:spacing w:after="0"/>
                    <w:ind w:firstLine="0" w:firstLineChars="0"/>
                    <w:jc w:val="both"/>
                    <w:rPr>
                      <w:rFonts w:ascii="Times New Roman" w:hAnsi="Times New Roman" w:eastAsia="宋体"/>
                      <w:color w:val="auto"/>
                      <w:szCs w:val="21"/>
                    </w:rPr>
                  </w:pPr>
                  <w:r>
                    <w:rPr>
                      <w:rFonts w:ascii="Times New Roman" w:hAnsi="Times New Roman" w:eastAsia="宋体"/>
                      <w:color w:val="auto"/>
                      <w:szCs w:val="21"/>
                    </w:rPr>
                    <w:t>禁止建设不符合国家和省级港口布局规划以及港口总体规划的码头项目。禁止建设不符合《长江干线过江通道布局规划》的过长江通道项目。</w:t>
                  </w:r>
                </w:p>
              </w:tc>
              <w:tc>
                <w:tcPr>
                  <w:tcW w:w="1282" w:type="pct"/>
                  <w:vAlign w:val="center"/>
                </w:tcPr>
                <w:p w14:paraId="100D5AAE">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项目不属于码头项目和过长江通道项目。</w:t>
                  </w:r>
                </w:p>
              </w:tc>
              <w:tc>
                <w:tcPr>
                  <w:tcW w:w="360" w:type="pct"/>
                  <w:vAlign w:val="center"/>
                </w:tcPr>
                <w:p w14:paraId="0FC802AB">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符合</w:t>
                  </w:r>
                </w:p>
              </w:tc>
            </w:tr>
            <w:tr w14:paraId="7C1B22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329" w:hRule="atLeast"/>
                <w:jc w:val="center"/>
              </w:trPr>
              <w:tc>
                <w:tcPr>
                  <w:tcW w:w="252" w:type="pct"/>
                  <w:vMerge w:val="continue"/>
                  <w:vAlign w:val="center"/>
                </w:tcPr>
                <w:p w14:paraId="4B7CC0CF">
                  <w:pPr>
                    <w:pStyle w:val="10"/>
                    <w:tabs>
                      <w:tab w:val="left" w:pos="3012"/>
                    </w:tabs>
                    <w:adjustRightInd w:val="0"/>
                    <w:spacing w:after="0"/>
                    <w:ind w:firstLine="0" w:firstLineChars="0"/>
                    <w:jc w:val="center"/>
                    <w:rPr>
                      <w:rFonts w:ascii="Times New Roman" w:hAnsi="Times New Roman" w:eastAsia="宋体"/>
                      <w:color w:val="auto"/>
                      <w:szCs w:val="21"/>
                    </w:rPr>
                  </w:pPr>
                </w:p>
              </w:tc>
              <w:tc>
                <w:tcPr>
                  <w:tcW w:w="3105" w:type="pct"/>
                  <w:vAlign w:val="center"/>
                </w:tcPr>
                <w:p w14:paraId="58AFD232">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禁止在自然保护区核心区、缓冲区的岸线和河段范围内投资建设旅游和生产经营项目。</w:t>
                  </w:r>
                </w:p>
              </w:tc>
              <w:tc>
                <w:tcPr>
                  <w:tcW w:w="1282" w:type="pct"/>
                  <w:vAlign w:val="center"/>
                </w:tcPr>
                <w:p w14:paraId="2CD9A999">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本项目不在自然保护区核心区、缓冲区的岸线和河段范围内。</w:t>
                  </w:r>
                </w:p>
              </w:tc>
              <w:tc>
                <w:tcPr>
                  <w:tcW w:w="360" w:type="pct"/>
                  <w:vAlign w:val="center"/>
                </w:tcPr>
                <w:p w14:paraId="2F0DFA35">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符合</w:t>
                  </w:r>
                </w:p>
              </w:tc>
            </w:tr>
            <w:tr w14:paraId="2DBB4A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814" w:hRule="atLeast"/>
                <w:jc w:val="center"/>
              </w:trPr>
              <w:tc>
                <w:tcPr>
                  <w:tcW w:w="252" w:type="pct"/>
                  <w:vMerge w:val="continue"/>
                  <w:vAlign w:val="center"/>
                </w:tcPr>
                <w:p w14:paraId="6C406A4F">
                  <w:pPr>
                    <w:pStyle w:val="10"/>
                    <w:tabs>
                      <w:tab w:val="left" w:pos="3012"/>
                    </w:tabs>
                    <w:adjustRightInd w:val="0"/>
                    <w:spacing w:after="0"/>
                    <w:ind w:firstLine="0" w:firstLineChars="0"/>
                    <w:jc w:val="center"/>
                    <w:rPr>
                      <w:rFonts w:ascii="Times New Roman" w:hAnsi="Times New Roman" w:eastAsia="宋体"/>
                      <w:color w:val="auto"/>
                      <w:szCs w:val="21"/>
                    </w:rPr>
                  </w:pPr>
                </w:p>
              </w:tc>
              <w:tc>
                <w:tcPr>
                  <w:tcW w:w="3105" w:type="pct"/>
                  <w:vAlign w:val="center"/>
                </w:tcPr>
                <w:p w14:paraId="5F9EE528">
                  <w:pPr>
                    <w:adjustRightInd w:val="0"/>
                    <w:snapToGrid w:val="0"/>
                    <w:jc w:val="both"/>
                    <w:rPr>
                      <w:color w:val="auto"/>
                      <w:szCs w:val="21"/>
                    </w:rPr>
                  </w:pPr>
                  <w:r>
                    <w:rPr>
                      <w:color w:val="auto"/>
                      <w:szCs w:val="21"/>
                    </w:rPr>
                    <w:t>禁止在风景名胜区核心景区的岸线和河段范围内开展以下行为：（一）开山、采石、开矿、开荒、修坟立碑等破坏景观、植被和地形地貌的活动。（二）修建储存爆炸性、易燃性、放射性、毒害性、腐蚀性物品的设施。（三）违反风景名胜区规划，建设与风景名胜资源保护无关的设施。</w:t>
                  </w:r>
                </w:p>
              </w:tc>
              <w:tc>
                <w:tcPr>
                  <w:tcW w:w="1282" w:type="pct"/>
                  <w:vAlign w:val="center"/>
                </w:tcPr>
                <w:p w14:paraId="48C57C1C">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本项目不在风景名胜区核心景区的岸线和河段范围内。</w:t>
                  </w:r>
                </w:p>
              </w:tc>
              <w:tc>
                <w:tcPr>
                  <w:tcW w:w="360" w:type="pct"/>
                  <w:vAlign w:val="center"/>
                </w:tcPr>
                <w:p w14:paraId="42DC1E84">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符合</w:t>
                  </w:r>
                </w:p>
              </w:tc>
            </w:tr>
            <w:tr w14:paraId="284D8C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26" w:hRule="atLeast"/>
                <w:jc w:val="center"/>
              </w:trPr>
              <w:tc>
                <w:tcPr>
                  <w:tcW w:w="252" w:type="pct"/>
                  <w:vMerge w:val="continue"/>
                  <w:vAlign w:val="center"/>
                </w:tcPr>
                <w:p w14:paraId="2F44BA9A">
                  <w:pPr>
                    <w:pStyle w:val="10"/>
                    <w:tabs>
                      <w:tab w:val="left" w:pos="3012"/>
                    </w:tabs>
                    <w:adjustRightInd w:val="0"/>
                    <w:spacing w:after="0"/>
                    <w:ind w:firstLine="0" w:firstLineChars="0"/>
                    <w:jc w:val="center"/>
                    <w:rPr>
                      <w:rFonts w:ascii="Times New Roman" w:hAnsi="Times New Roman" w:eastAsia="宋体"/>
                      <w:color w:val="auto"/>
                      <w:szCs w:val="21"/>
                    </w:rPr>
                  </w:pPr>
                </w:p>
              </w:tc>
              <w:tc>
                <w:tcPr>
                  <w:tcW w:w="3105" w:type="pct"/>
                  <w:vAlign w:val="center"/>
                </w:tcPr>
                <w:p w14:paraId="276E83EF">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禁止在饮用水水源一级保护区的岸线和河段范围内开展下列行为：（一）新建、改建、扩建与供水设施和保护水源无关的建设项目；已建成的与供水设施和保护水源无关的建设项目，由县级以上人民政府责令拆除或者关闭。（二）禁止在饮用水水源一级保护区内从事网箱养殖、旅游、游泳、垂钓或者其他可能污染饮用水水体的活动。</w:t>
                  </w:r>
                </w:p>
              </w:tc>
              <w:tc>
                <w:tcPr>
                  <w:tcW w:w="1282" w:type="pct"/>
                  <w:vAlign w:val="center"/>
                </w:tcPr>
                <w:p w14:paraId="2ECFC730">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本项目不在饮用水水源一级保护区的岸线和河段范围内。</w:t>
                  </w:r>
                </w:p>
              </w:tc>
              <w:tc>
                <w:tcPr>
                  <w:tcW w:w="360" w:type="pct"/>
                  <w:vAlign w:val="center"/>
                </w:tcPr>
                <w:p w14:paraId="7A7CDDA9">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符合</w:t>
                  </w:r>
                </w:p>
              </w:tc>
            </w:tr>
            <w:tr w14:paraId="37FDD2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884" w:hRule="atLeast"/>
                <w:jc w:val="center"/>
              </w:trPr>
              <w:tc>
                <w:tcPr>
                  <w:tcW w:w="252" w:type="pct"/>
                  <w:vMerge w:val="continue"/>
                  <w:vAlign w:val="center"/>
                </w:tcPr>
                <w:p w14:paraId="4F940741">
                  <w:pPr>
                    <w:pStyle w:val="10"/>
                    <w:tabs>
                      <w:tab w:val="left" w:pos="3012"/>
                    </w:tabs>
                    <w:adjustRightInd w:val="0"/>
                    <w:spacing w:after="0"/>
                    <w:ind w:firstLine="0" w:firstLineChars="0"/>
                    <w:jc w:val="center"/>
                    <w:rPr>
                      <w:rFonts w:ascii="Times New Roman" w:hAnsi="Times New Roman" w:eastAsia="宋体"/>
                      <w:color w:val="auto"/>
                      <w:szCs w:val="21"/>
                    </w:rPr>
                  </w:pPr>
                </w:p>
              </w:tc>
              <w:tc>
                <w:tcPr>
                  <w:tcW w:w="3105" w:type="pct"/>
                  <w:vAlign w:val="center"/>
                </w:tcPr>
                <w:p w14:paraId="453BCF22">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禁止在饮用水水源二级保护区的岸线和河段范围内开展下列行为：（一）新建、改建、扩建排放污染物的建设项目；已建成的排放污染物的建设项目，由县级以上人民政府责令拆除或者关闭。（二）在饮用水水源二级保护区内从事网箱养殖、旅游等活动的，应当按照规定</w:t>
                  </w:r>
                  <w:r>
                    <w:rPr>
                      <w:rFonts w:hint="eastAsia" w:ascii="Times New Roman" w:hAnsi="Times New Roman" w:eastAsia="宋体"/>
                      <w:color w:val="auto"/>
                      <w:szCs w:val="21"/>
                      <w:lang w:val="en-US" w:eastAsia="zh-CN"/>
                    </w:rPr>
                    <w:t>采取</w:t>
                  </w:r>
                  <w:r>
                    <w:rPr>
                      <w:rFonts w:ascii="Times New Roman" w:hAnsi="Times New Roman" w:eastAsia="宋体"/>
                      <w:color w:val="auto"/>
                      <w:szCs w:val="21"/>
                    </w:rPr>
                    <w:t>措施。</w:t>
                  </w:r>
                </w:p>
              </w:tc>
              <w:tc>
                <w:tcPr>
                  <w:tcW w:w="1282" w:type="pct"/>
                  <w:vAlign w:val="center"/>
                </w:tcPr>
                <w:p w14:paraId="0271CF3B">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本项目不在饮用水水源二级保护区的岸线和河段范围内。</w:t>
                  </w:r>
                </w:p>
              </w:tc>
              <w:tc>
                <w:tcPr>
                  <w:tcW w:w="360" w:type="pct"/>
                  <w:vAlign w:val="center"/>
                </w:tcPr>
                <w:p w14:paraId="295C6F55">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符合</w:t>
                  </w:r>
                </w:p>
              </w:tc>
            </w:tr>
            <w:tr w14:paraId="734D7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814" w:hRule="atLeast"/>
                <w:jc w:val="center"/>
              </w:trPr>
              <w:tc>
                <w:tcPr>
                  <w:tcW w:w="252" w:type="pct"/>
                  <w:vMerge w:val="continue"/>
                  <w:vAlign w:val="center"/>
                </w:tcPr>
                <w:p w14:paraId="1041A3D7">
                  <w:pPr>
                    <w:pStyle w:val="10"/>
                    <w:tabs>
                      <w:tab w:val="left" w:pos="3012"/>
                    </w:tabs>
                    <w:adjustRightInd w:val="0"/>
                    <w:spacing w:after="0"/>
                    <w:ind w:firstLine="0" w:firstLineChars="0"/>
                    <w:jc w:val="center"/>
                    <w:rPr>
                      <w:rFonts w:ascii="Times New Roman" w:hAnsi="Times New Roman" w:eastAsia="宋体"/>
                      <w:color w:val="auto"/>
                      <w:szCs w:val="21"/>
                    </w:rPr>
                  </w:pPr>
                </w:p>
              </w:tc>
              <w:tc>
                <w:tcPr>
                  <w:tcW w:w="3105" w:type="pct"/>
                  <w:vAlign w:val="center"/>
                </w:tcPr>
                <w:p w14:paraId="7F58F382">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禁止在水产种质资源保护区的岸线和河段范围内新建围湖（河）造田（地）等投资建设项目。单位和个人在水产种质资源保护区内从事水生生物资源调查、科学研究、教学实习、参观游览、影视拍摄等活动，应当遵守有关法律法规和保护区管理制度，不得损害水产种质资源及其生存环境。</w:t>
                  </w:r>
                </w:p>
              </w:tc>
              <w:tc>
                <w:tcPr>
                  <w:tcW w:w="1282" w:type="pct"/>
                  <w:vAlign w:val="center"/>
                </w:tcPr>
                <w:p w14:paraId="20363FEB">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本项目不在水产种质资源保护区的岸线和河段范围内。</w:t>
                  </w:r>
                </w:p>
              </w:tc>
              <w:tc>
                <w:tcPr>
                  <w:tcW w:w="360" w:type="pct"/>
                  <w:vAlign w:val="center"/>
                </w:tcPr>
                <w:p w14:paraId="2DD59C4C">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符合</w:t>
                  </w:r>
                </w:p>
              </w:tc>
            </w:tr>
            <w:tr w14:paraId="47C6DF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161" w:hRule="atLeast"/>
                <w:jc w:val="center"/>
              </w:trPr>
              <w:tc>
                <w:tcPr>
                  <w:tcW w:w="252" w:type="pct"/>
                  <w:vMerge w:val="continue"/>
                  <w:vAlign w:val="center"/>
                </w:tcPr>
                <w:p w14:paraId="03C68E27">
                  <w:pPr>
                    <w:pStyle w:val="10"/>
                    <w:tabs>
                      <w:tab w:val="left" w:pos="3012"/>
                    </w:tabs>
                    <w:adjustRightInd w:val="0"/>
                    <w:spacing w:after="0"/>
                    <w:ind w:firstLine="0" w:firstLineChars="0"/>
                    <w:jc w:val="center"/>
                    <w:rPr>
                      <w:rFonts w:ascii="Times New Roman" w:hAnsi="Times New Roman" w:eastAsia="宋体"/>
                      <w:color w:val="auto"/>
                      <w:szCs w:val="21"/>
                    </w:rPr>
                  </w:pPr>
                </w:p>
              </w:tc>
              <w:tc>
                <w:tcPr>
                  <w:tcW w:w="3105" w:type="pct"/>
                  <w:vAlign w:val="center"/>
                </w:tcPr>
                <w:p w14:paraId="760FA90A">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除国家规定的外，禁止在国家湿地公园的岸线和河段范围内挖沙、釆矿以及任何不符合主体功能定位的投资建设项目。</w:t>
                  </w:r>
                </w:p>
              </w:tc>
              <w:tc>
                <w:tcPr>
                  <w:tcW w:w="1282" w:type="pct"/>
                  <w:vAlign w:val="center"/>
                </w:tcPr>
                <w:p w14:paraId="722A720D">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本项目不在国家湿地公园的岸线和河段范围内。</w:t>
                  </w:r>
                </w:p>
              </w:tc>
              <w:tc>
                <w:tcPr>
                  <w:tcW w:w="360" w:type="pct"/>
                  <w:vAlign w:val="center"/>
                </w:tcPr>
                <w:p w14:paraId="77E23D2F">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符合</w:t>
                  </w:r>
                </w:p>
              </w:tc>
            </w:tr>
            <w:tr w14:paraId="5CBB50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39" w:hRule="atLeast"/>
                <w:jc w:val="center"/>
              </w:trPr>
              <w:tc>
                <w:tcPr>
                  <w:tcW w:w="252" w:type="pct"/>
                  <w:vMerge w:val="continue"/>
                  <w:vAlign w:val="center"/>
                </w:tcPr>
                <w:p w14:paraId="55963810">
                  <w:pPr>
                    <w:pStyle w:val="10"/>
                    <w:tabs>
                      <w:tab w:val="left" w:pos="3012"/>
                    </w:tabs>
                    <w:adjustRightInd w:val="0"/>
                    <w:spacing w:after="0"/>
                    <w:ind w:firstLine="0" w:firstLineChars="0"/>
                    <w:jc w:val="center"/>
                    <w:rPr>
                      <w:rFonts w:ascii="Times New Roman" w:hAnsi="Times New Roman" w:eastAsia="宋体"/>
                      <w:color w:val="auto"/>
                      <w:szCs w:val="21"/>
                    </w:rPr>
                  </w:pPr>
                </w:p>
              </w:tc>
              <w:tc>
                <w:tcPr>
                  <w:tcW w:w="3105" w:type="pct"/>
                  <w:vAlign w:val="center"/>
                </w:tcPr>
                <w:p w14:paraId="15D0D555">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w:t>
                  </w:r>
                </w:p>
              </w:tc>
              <w:tc>
                <w:tcPr>
                  <w:tcW w:w="1282" w:type="pct"/>
                  <w:vAlign w:val="center"/>
                </w:tcPr>
                <w:p w14:paraId="40169570">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本项目不在《长江岸线保护和开发利用总体规划》划定的岸线保护区内。</w:t>
                  </w:r>
                </w:p>
              </w:tc>
              <w:tc>
                <w:tcPr>
                  <w:tcW w:w="360" w:type="pct"/>
                  <w:vAlign w:val="center"/>
                </w:tcPr>
                <w:p w14:paraId="0EF54D23">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符合</w:t>
                  </w:r>
                </w:p>
              </w:tc>
            </w:tr>
            <w:tr w14:paraId="4DD0DF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368" w:hRule="atLeast"/>
                <w:jc w:val="center"/>
              </w:trPr>
              <w:tc>
                <w:tcPr>
                  <w:tcW w:w="252" w:type="pct"/>
                  <w:vMerge w:val="continue"/>
                  <w:vAlign w:val="center"/>
                </w:tcPr>
                <w:p w14:paraId="53DC7FCB">
                  <w:pPr>
                    <w:pStyle w:val="10"/>
                    <w:tabs>
                      <w:tab w:val="left" w:pos="3012"/>
                    </w:tabs>
                    <w:adjustRightInd w:val="0"/>
                    <w:spacing w:after="0"/>
                    <w:ind w:firstLine="0" w:firstLineChars="0"/>
                    <w:jc w:val="center"/>
                    <w:rPr>
                      <w:rFonts w:ascii="Times New Roman" w:hAnsi="Times New Roman" w:eastAsia="宋体"/>
                      <w:color w:val="auto"/>
                      <w:szCs w:val="21"/>
                    </w:rPr>
                  </w:pPr>
                </w:p>
              </w:tc>
              <w:tc>
                <w:tcPr>
                  <w:tcW w:w="3105" w:type="pct"/>
                  <w:vAlign w:val="center"/>
                </w:tcPr>
                <w:p w14:paraId="3B318805">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禁止在《全国重要江河湖泊水功能区划》划定的河段及湖泊保护区、保留区内投资建设不利于水资源及自然生态保护的项目。</w:t>
                  </w:r>
                </w:p>
              </w:tc>
              <w:tc>
                <w:tcPr>
                  <w:tcW w:w="1282" w:type="pct"/>
                  <w:vAlign w:val="center"/>
                </w:tcPr>
                <w:p w14:paraId="2BEED5FB">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本项目不在《全国重要江河湖泊水功能区划》划定的河段保护区、保留区内。</w:t>
                  </w:r>
                </w:p>
              </w:tc>
              <w:tc>
                <w:tcPr>
                  <w:tcW w:w="360" w:type="pct"/>
                  <w:vAlign w:val="center"/>
                </w:tcPr>
                <w:p w14:paraId="047919AD">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符合</w:t>
                  </w:r>
                </w:p>
              </w:tc>
            </w:tr>
            <w:tr w14:paraId="6BF972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21" w:hRule="atLeast"/>
                <w:jc w:val="center"/>
              </w:trPr>
              <w:tc>
                <w:tcPr>
                  <w:tcW w:w="252" w:type="pct"/>
                  <w:vMerge w:val="restart"/>
                  <w:vAlign w:val="center"/>
                </w:tcPr>
                <w:p w14:paraId="03F93425">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严控区域活动管控</w:t>
                  </w:r>
                </w:p>
              </w:tc>
              <w:tc>
                <w:tcPr>
                  <w:tcW w:w="3105" w:type="pct"/>
                  <w:vAlign w:val="center"/>
                </w:tcPr>
                <w:p w14:paraId="68637E14">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禁止未经许可在长江干支流及湖泊新设、改设或扩大排污口。</w:t>
                  </w:r>
                </w:p>
              </w:tc>
              <w:tc>
                <w:tcPr>
                  <w:tcW w:w="1282" w:type="pct"/>
                  <w:vAlign w:val="center"/>
                </w:tcPr>
                <w:p w14:paraId="577B2D02">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本项目不在长江干支流及湖泊新设、改设或扩大排污口。</w:t>
                  </w:r>
                </w:p>
              </w:tc>
              <w:tc>
                <w:tcPr>
                  <w:tcW w:w="360" w:type="pct"/>
                  <w:vAlign w:val="center"/>
                </w:tcPr>
                <w:p w14:paraId="7D4D14F0">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符合</w:t>
                  </w:r>
                </w:p>
              </w:tc>
            </w:tr>
            <w:tr w14:paraId="18ACEE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37" w:hRule="atLeast"/>
                <w:jc w:val="center"/>
              </w:trPr>
              <w:tc>
                <w:tcPr>
                  <w:tcW w:w="252" w:type="pct"/>
                  <w:vMerge w:val="continue"/>
                  <w:vAlign w:val="center"/>
                </w:tcPr>
                <w:p w14:paraId="6654C757">
                  <w:pPr>
                    <w:pStyle w:val="10"/>
                    <w:tabs>
                      <w:tab w:val="left" w:pos="3012"/>
                    </w:tabs>
                    <w:adjustRightInd w:val="0"/>
                    <w:spacing w:after="0"/>
                    <w:ind w:firstLine="0" w:firstLineChars="0"/>
                    <w:jc w:val="center"/>
                    <w:rPr>
                      <w:rFonts w:ascii="Times New Roman" w:hAnsi="Times New Roman" w:eastAsia="宋体"/>
                      <w:color w:val="auto"/>
                      <w:szCs w:val="21"/>
                    </w:rPr>
                  </w:pPr>
                </w:p>
              </w:tc>
              <w:tc>
                <w:tcPr>
                  <w:tcW w:w="3105" w:type="pct"/>
                  <w:vAlign w:val="center"/>
                </w:tcPr>
                <w:p w14:paraId="20463A23">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禁止在长江干流江西段、鄱阳湖和《率先全面禁捕的长江流域水生生物保护区名录》中的水生生物保护区开展生产性捕捞。</w:t>
                  </w:r>
                </w:p>
              </w:tc>
              <w:tc>
                <w:tcPr>
                  <w:tcW w:w="1282" w:type="pct"/>
                  <w:vAlign w:val="center"/>
                </w:tcPr>
                <w:p w14:paraId="70FAD734">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不涉及生产性捕捞。</w:t>
                  </w:r>
                </w:p>
              </w:tc>
              <w:tc>
                <w:tcPr>
                  <w:tcW w:w="360" w:type="pct"/>
                  <w:vAlign w:val="center"/>
                </w:tcPr>
                <w:p w14:paraId="4BEA963B">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符合</w:t>
                  </w:r>
                </w:p>
              </w:tc>
            </w:tr>
            <w:tr w14:paraId="7E8AD9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54" w:hRule="atLeast"/>
                <w:jc w:val="center"/>
              </w:trPr>
              <w:tc>
                <w:tcPr>
                  <w:tcW w:w="252" w:type="pct"/>
                  <w:vMerge w:val="continue"/>
                  <w:vAlign w:val="center"/>
                </w:tcPr>
                <w:p w14:paraId="12266B67">
                  <w:pPr>
                    <w:pStyle w:val="10"/>
                    <w:tabs>
                      <w:tab w:val="left" w:pos="3012"/>
                    </w:tabs>
                    <w:adjustRightInd w:val="0"/>
                    <w:spacing w:after="0"/>
                    <w:ind w:firstLine="0" w:firstLineChars="0"/>
                    <w:jc w:val="center"/>
                    <w:rPr>
                      <w:rFonts w:ascii="Times New Roman" w:hAnsi="Times New Roman" w:eastAsia="宋体"/>
                      <w:color w:val="auto"/>
                      <w:szCs w:val="21"/>
                    </w:rPr>
                  </w:pPr>
                </w:p>
              </w:tc>
              <w:tc>
                <w:tcPr>
                  <w:tcW w:w="3105" w:type="pct"/>
                  <w:vAlign w:val="center"/>
                </w:tcPr>
                <w:p w14:paraId="4AEC2BC8">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禁止在长江干支流、重要湖泊岸线一公里范围内新建、扩建化工园区和化工项目。</w:t>
                  </w:r>
                </w:p>
              </w:tc>
              <w:tc>
                <w:tcPr>
                  <w:tcW w:w="1282" w:type="pct"/>
                  <w:vAlign w:val="center"/>
                </w:tcPr>
                <w:p w14:paraId="00C79ECF">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本项目不属于此类项目。</w:t>
                  </w:r>
                </w:p>
              </w:tc>
              <w:tc>
                <w:tcPr>
                  <w:tcW w:w="360" w:type="pct"/>
                  <w:vAlign w:val="center"/>
                </w:tcPr>
                <w:p w14:paraId="4D93A2FC">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符合</w:t>
                  </w:r>
                </w:p>
              </w:tc>
            </w:tr>
            <w:tr w14:paraId="6412B0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339" w:hRule="atLeast"/>
                <w:jc w:val="center"/>
              </w:trPr>
              <w:tc>
                <w:tcPr>
                  <w:tcW w:w="252" w:type="pct"/>
                  <w:vMerge w:val="continue"/>
                  <w:vAlign w:val="center"/>
                </w:tcPr>
                <w:p w14:paraId="3E6A1A0C">
                  <w:pPr>
                    <w:pStyle w:val="10"/>
                    <w:tabs>
                      <w:tab w:val="left" w:pos="3012"/>
                    </w:tabs>
                    <w:adjustRightInd w:val="0"/>
                    <w:spacing w:after="0"/>
                    <w:ind w:firstLine="0" w:firstLineChars="0"/>
                    <w:jc w:val="center"/>
                    <w:rPr>
                      <w:rFonts w:ascii="Times New Roman" w:hAnsi="Times New Roman" w:eastAsia="宋体"/>
                      <w:color w:val="auto"/>
                      <w:szCs w:val="21"/>
                    </w:rPr>
                  </w:pPr>
                </w:p>
              </w:tc>
              <w:tc>
                <w:tcPr>
                  <w:tcW w:w="3105" w:type="pct"/>
                  <w:vAlign w:val="center"/>
                </w:tcPr>
                <w:p w14:paraId="50F68C31">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禁止在长江干流岸线三公里范围内和重要支流岸线一公里范围内新建、改建、扩建尾矿库、冶炼渣库和磷石膏库，以提升安全、生态环境保护水平为目的的改建除外。</w:t>
                  </w:r>
                </w:p>
              </w:tc>
              <w:tc>
                <w:tcPr>
                  <w:tcW w:w="1282" w:type="pct"/>
                  <w:vAlign w:val="center"/>
                </w:tcPr>
                <w:p w14:paraId="5E64441B">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本项目不属于此类项目。</w:t>
                  </w:r>
                </w:p>
              </w:tc>
              <w:tc>
                <w:tcPr>
                  <w:tcW w:w="360" w:type="pct"/>
                  <w:vAlign w:val="center"/>
                </w:tcPr>
                <w:p w14:paraId="304E80EF">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符合</w:t>
                  </w:r>
                </w:p>
              </w:tc>
            </w:tr>
            <w:tr w14:paraId="3339A6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34" w:hRule="atLeast"/>
                <w:jc w:val="center"/>
              </w:trPr>
              <w:tc>
                <w:tcPr>
                  <w:tcW w:w="252" w:type="pct"/>
                  <w:vMerge w:val="continue"/>
                  <w:vAlign w:val="center"/>
                </w:tcPr>
                <w:p w14:paraId="1F653707">
                  <w:pPr>
                    <w:pStyle w:val="10"/>
                    <w:tabs>
                      <w:tab w:val="left" w:pos="3012"/>
                    </w:tabs>
                    <w:adjustRightInd w:val="0"/>
                    <w:spacing w:after="0"/>
                    <w:ind w:firstLine="0" w:firstLineChars="0"/>
                    <w:jc w:val="center"/>
                    <w:rPr>
                      <w:rFonts w:ascii="Times New Roman" w:hAnsi="Times New Roman" w:eastAsia="宋体"/>
                      <w:color w:val="auto"/>
                      <w:szCs w:val="21"/>
                    </w:rPr>
                  </w:pPr>
                </w:p>
              </w:tc>
              <w:tc>
                <w:tcPr>
                  <w:tcW w:w="3105" w:type="pct"/>
                  <w:vAlign w:val="center"/>
                </w:tcPr>
                <w:p w14:paraId="45DC9274">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禁止在合规园区外新建、扩建钢铁、石化、化工、焦化、建材、有色、制浆造纸等高污染项目。</w:t>
                  </w:r>
                </w:p>
              </w:tc>
              <w:tc>
                <w:tcPr>
                  <w:tcW w:w="1282" w:type="pct"/>
                  <w:vAlign w:val="center"/>
                </w:tcPr>
                <w:p w14:paraId="26D84811">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本项目不属于此类项目。</w:t>
                  </w:r>
                </w:p>
              </w:tc>
              <w:tc>
                <w:tcPr>
                  <w:tcW w:w="360" w:type="pct"/>
                  <w:vAlign w:val="center"/>
                </w:tcPr>
                <w:p w14:paraId="5D2B0049">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符合</w:t>
                  </w:r>
                </w:p>
              </w:tc>
            </w:tr>
            <w:tr w14:paraId="67692B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3" w:hRule="atLeast"/>
                <w:jc w:val="center"/>
              </w:trPr>
              <w:tc>
                <w:tcPr>
                  <w:tcW w:w="252" w:type="pct"/>
                  <w:vMerge w:val="restart"/>
                  <w:vAlign w:val="center"/>
                </w:tcPr>
                <w:p w14:paraId="4CEC917A">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严格产业准入</w:t>
                  </w:r>
                </w:p>
              </w:tc>
              <w:tc>
                <w:tcPr>
                  <w:tcW w:w="3105" w:type="pct"/>
                  <w:vAlign w:val="center"/>
                </w:tcPr>
                <w:p w14:paraId="539FC9ED">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禁止新建、扩建不符合国家石化、现代煤化工等产业布局规划的项目。</w:t>
                  </w:r>
                </w:p>
              </w:tc>
              <w:tc>
                <w:tcPr>
                  <w:tcW w:w="1282" w:type="pct"/>
                  <w:vAlign w:val="center"/>
                </w:tcPr>
                <w:p w14:paraId="21E577BD">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本项目不属于此类项目。</w:t>
                  </w:r>
                </w:p>
              </w:tc>
              <w:tc>
                <w:tcPr>
                  <w:tcW w:w="360" w:type="pct"/>
                  <w:vAlign w:val="center"/>
                </w:tcPr>
                <w:p w14:paraId="4915222D">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符合</w:t>
                  </w:r>
                </w:p>
              </w:tc>
            </w:tr>
            <w:tr w14:paraId="21B825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156" w:hRule="atLeast"/>
                <w:jc w:val="center"/>
              </w:trPr>
              <w:tc>
                <w:tcPr>
                  <w:tcW w:w="252" w:type="pct"/>
                  <w:vMerge w:val="continue"/>
                  <w:vAlign w:val="center"/>
                </w:tcPr>
                <w:p w14:paraId="56F44351">
                  <w:pPr>
                    <w:pStyle w:val="10"/>
                    <w:tabs>
                      <w:tab w:val="left" w:pos="3012"/>
                    </w:tabs>
                    <w:adjustRightInd w:val="0"/>
                    <w:spacing w:after="0"/>
                    <w:ind w:firstLine="0" w:firstLineChars="0"/>
                    <w:jc w:val="center"/>
                    <w:rPr>
                      <w:rFonts w:ascii="Times New Roman" w:hAnsi="Times New Roman" w:eastAsia="宋体"/>
                      <w:color w:val="auto"/>
                      <w:szCs w:val="21"/>
                    </w:rPr>
                  </w:pPr>
                </w:p>
              </w:tc>
              <w:tc>
                <w:tcPr>
                  <w:tcW w:w="3105" w:type="pct"/>
                  <w:vAlign w:val="center"/>
                </w:tcPr>
                <w:p w14:paraId="1F238E73">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禁止新建、扩建法律法规和相关政策明令禁止的落后产能项目，严格执行《产业结构调整指导目录》中淘汰类和限制类有关规定，禁止开展投资建设属于淘汰类的项目及其相关活动，禁止开展投资新建、扩建属于限制类的项目及其相关活动。对于属于限制类的现有生产能力，允许企业在一定期限内采取措施改造升级，严禁以改造为名扩大产能。</w:t>
                  </w:r>
                </w:p>
              </w:tc>
              <w:tc>
                <w:tcPr>
                  <w:tcW w:w="1282" w:type="pct"/>
                  <w:vAlign w:val="center"/>
                </w:tcPr>
                <w:p w14:paraId="4E7B9F53">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不属于此类项目。</w:t>
                  </w:r>
                </w:p>
              </w:tc>
              <w:tc>
                <w:tcPr>
                  <w:tcW w:w="360" w:type="pct"/>
                  <w:vAlign w:val="center"/>
                </w:tcPr>
                <w:p w14:paraId="5AD6A781">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符合</w:t>
                  </w:r>
                </w:p>
              </w:tc>
            </w:tr>
            <w:tr w14:paraId="2FCDF4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136" w:hRule="atLeast"/>
                <w:jc w:val="center"/>
              </w:trPr>
              <w:tc>
                <w:tcPr>
                  <w:tcW w:w="252" w:type="pct"/>
                  <w:vMerge w:val="continue"/>
                  <w:vAlign w:val="center"/>
                </w:tcPr>
                <w:p w14:paraId="37E86A14">
                  <w:pPr>
                    <w:pStyle w:val="10"/>
                    <w:tabs>
                      <w:tab w:val="left" w:pos="3012"/>
                    </w:tabs>
                    <w:adjustRightInd w:val="0"/>
                    <w:spacing w:after="0"/>
                    <w:ind w:firstLine="0" w:firstLineChars="0"/>
                    <w:jc w:val="center"/>
                    <w:rPr>
                      <w:rFonts w:ascii="Times New Roman" w:hAnsi="Times New Roman" w:eastAsia="宋体"/>
                      <w:color w:val="auto"/>
                      <w:szCs w:val="21"/>
                    </w:rPr>
                  </w:pPr>
                </w:p>
              </w:tc>
              <w:tc>
                <w:tcPr>
                  <w:tcW w:w="3105" w:type="pct"/>
                  <w:vAlign w:val="center"/>
                </w:tcPr>
                <w:p w14:paraId="002ED6E7">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kern w:val="21"/>
                      <w:szCs w:val="21"/>
                    </w:rPr>
                    <w:t>禁止新建、扩建不符合国家产能置换要求的钢铁、电解铝、水泥熟料、平板玻璃、船舶等严重过剩产能行业的项目。严格执行《国务院关于化解产能严重过剩矛盾的指导意见》，各地各部门不得以任何名义、任何方式新增产能片；对确有必要建设的，必须严格执行产能置换实施办法，实施减量或等量置换，依法依规办理有关手续。</w:t>
                  </w:r>
                </w:p>
              </w:tc>
              <w:tc>
                <w:tcPr>
                  <w:tcW w:w="1282" w:type="pct"/>
                  <w:vAlign w:val="center"/>
                </w:tcPr>
                <w:p w14:paraId="3458FA71">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本项目不属于此类项目</w:t>
                  </w:r>
                </w:p>
              </w:tc>
              <w:tc>
                <w:tcPr>
                  <w:tcW w:w="360" w:type="pct"/>
                  <w:vAlign w:val="center"/>
                </w:tcPr>
                <w:p w14:paraId="433BD117">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符合</w:t>
                  </w:r>
                </w:p>
              </w:tc>
            </w:tr>
            <w:tr w14:paraId="2F02EC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511" w:hRule="atLeast"/>
                <w:jc w:val="center"/>
              </w:trPr>
              <w:tc>
                <w:tcPr>
                  <w:tcW w:w="252" w:type="pct"/>
                  <w:vMerge w:val="continue"/>
                  <w:vAlign w:val="center"/>
                </w:tcPr>
                <w:p w14:paraId="2B6C251D">
                  <w:pPr>
                    <w:pStyle w:val="10"/>
                    <w:tabs>
                      <w:tab w:val="left" w:pos="3012"/>
                    </w:tabs>
                    <w:adjustRightInd w:val="0"/>
                    <w:spacing w:after="0"/>
                    <w:ind w:firstLine="0" w:firstLineChars="0"/>
                    <w:jc w:val="center"/>
                    <w:rPr>
                      <w:rFonts w:ascii="Times New Roman" w:hAnsi="Times New Roman" w:eastAsia="宋体"/>
                      <w:color w:val="auto"/>
                      <w:szCs w:val="21"/>
                    </w:rPr>
                  </w:pPr>
                </w:p>
              </w:tc>
              <w:tc>
                <w:tcPr>
                  <w:tcW w:w="3105" w:type="pct"/>
                  <w:vAlign w:val="center"/>
                </w:tcPr>
                <w:p w14:paraId="700D5BEE">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禁止新建、扩建不符合要求的高耗能高排放项目。严格执行《江西省人民政府办公厅关于严格高耗能高排放项目准入管理的实施意见》（赣府厅发〔2021〕33号），加强项目审查论证，落实等量、减量替代要求，规范项目行政审批。</w:t>
                  </w:r>
                </w:p>
              </w:tc>
              <w:tc>
                <w:tcPr>
                  <w:tcW w:w="1282" w:type="pct"/>
                  <w:vAlign w:val="center"/>
                </w:tcPr>
                <w:p w14:paraId="6B4904FA">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本项目不属于高耗能高排放项目。</w:t>
                  </w:r>
                </w:p>
              </w:tc>
              <w:tc>
                <w:tcPr>
                  <w:tcW w:w="360" w:type="pct"/>
                  <w:vAlign w:val="center"/>
                </w:tcPr>
                <w:p w14:paraId="649E9F1F">
                  <w:pPr>
                    <w:pStyle w:val="10"/>
                    <w:tabs>
                      <w:tab w:val="left" w:pos="3012"/>
                    </w:tabs>
                    <w:adjustRightInd w:val="0"/>
                    <w:spacing w:after="0"/>
                    <w:ind w:firstLine="0" w:firstLineChars="0"/>
                    <w:jc w:val="center"/>
                    <w:rPr>
                      <w:rFonts w:ascii="Times New Roman" w:hAnsi="Times New Roman" w:eastAsia="宋体"/>
                      <w:color w:val="auto"/>
                      <w:szCs w:val="21"/>
                    </w:rPr>
                  </w:pPr>
                  <w:r>
                    <w:rPr>
                      <w:rFonts w:ascii="Times New Roman" w:hAnsi="Times New Roman" w:eastAsia="宋体"/>
                      <w:color w:val="auto"/>
                      <w:szCs w:val="21"/>
                    </w:rPr>
                    <w:t>符合</w:t>
                  </w:r>
                </w:p>
              </w:tc>
            </w:tr>
          </w:tbl>
          <w:p w14:paraId="11BC7092">
            <w:pPr>
              <w:autoSpaceDE w:val="0"/>
              <w:autoSpaceDN w:val="0"/>
              <w:adjustRightInd w:val="0"/>
              <w:snapToGrid w:val="0"/>
              <w:spacing w:line="360" w:lineRule="auto"/>
              <w:ind w:firstLine="482" w:firstLineChars="200"/>
              <w:jc w:val="left"/>
              <w:rPr>
                <w:b/>
                <w:snapToGrid w:val="0"/>
                <w:color w:val="auto"/>
                <w:kern w:val="32"/>
                <w:sz w:val="24"/>
              </w:rPr>
            </w:pPr>
            <w:r>
              <w:rPr>
                <w:rFonts w:hint="eastAsia"/>
                <w:b/>
                <w:color w:val="auto"/>
                <w:kern w:val="0"/>
                <w:sz w:val="24"/>
              </w:rPr>
              <w:t>5、与《中华人民共和国长江保护法》相符性分析</w:t>
            </w:r>
          </w:p>
          <w:p w14:paraId="659B347C">
            <w:pPr>
              <w:autoSpaceDE w:val="0"/>
              <w:autoSpaceDN w:val="0"/>
              <w:adjustRightInd w:val="0"/>
              <w:snapToGrid w:val="0"/>
              <w:spacing w:line="360" w:lineRule="auto"/>
              <w:ind w:firstLine="480" w:firstLineChars="200"/>
              <w:jc w:val="left"/>
              <w:rPr>
                <w:color w:val="auto"/>
                <w:kern w:val="0"/>
                <w:sz w:val="24"/>
              </w:rPr>
            </w:pPr>
            <w:r>
              <w:rPr>
                <w:rFonts w:hint="eastAsia"/>
                <w:color w:val="auto"/>
                <w:kern w:val="0"/>
                <w:sz w:val="24"/>
              </w:rPr>
              <w:t>项目与其相符性分析详见下表。</w:t>
            </w:r>
          </w:p>
          <w:p w14:paraId="396D7EE3">
            <w:pPr>
              <w:jc w:val="center"/>
              <w:rPr>
                <w:b/>
                <w:bCs/>
                <w:color w:val="auto"/>
                <w:szCs w:val="21"/>
                <w:lang w:val="zh-CN"/>
              </w:rPr>
            </w:pPr>
            <w:r>
              <w:rPr>
                <w:rFonts w:hint="eastAsia"/>
                <w:b/>
                <w:bCs/>
                <w:color w:val="auto"/>
                <w:szCs w:val="21"/>
                <w:lang w:val="zh-CN"/>
              </w:rPr>
              <w:t>表1</w:t>
            </w:r>
            <w:r>
              <w:rPr>
                <w:b/>
                <w:bCs/>
                <w:color w:val="auto"/>
                <w:szCs w:val="21"/>
                <w:lang w:val="zh-CN"/>
              </w:rPr>
              <w:t xml:space="preserve">-6  </w:t>
            </w:r>
            <w:r>
              <w:rPr>
                <w:rFonts w:hint="eastAsia"/>
                <w:b/>
                <w:bCs/>
                <w:color w:val="auto"/>
                <w:szCs w:val="21"/>
                <w:lang w:val="zh-CN"/>
              </w:rPr>
              <w:t>与《中华人民共和国长江保护法》相符性分析</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5"/>
              <w:gridCol w:w="4985"/>
              <w:gridCol w:w="1310"/>
              <w:gridCol w:w="700"/>
            </w:tblGrid>
            <w:tr w14:paraId="5D18DB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367" w:type="pct"/>
                  <w:tcBorders>
                    <w:tl2br w:val="nil"/>
                    <w:tr2bl w:val="nil"/>
                  </w:tcBorders>
                  <w:noWrap w:val="0"/>
                  <w:vAlign w:val="center"/>
                </w:tcPr>
                <w:p w14:paraId="206551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重点</w:t>
                  </w:r>
                </w:p>
              </w:tc>
              <w:tc>
                <w:tcPr>
                  <w:tcW w:w="3301" w:type="pct"/>
                  <w:tcBorders>
                    <w:tl2br w:val="nil"/>
                    <w:tr2bl w:val="nil"/>
                  </w:tcBorders>
                  <w:noWrap w:val="0"/>
                  <w:vAlign w:val="center"/>
                </w:tcPr>
                <w:p w14:paraId="406BA8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相关要求</w:t>
                  </w:r>
                </w:p>
              </w:tc>
              <w:tc>
                <w:tcPr>
                  <w:tcW w:w="867" w:type="pct"/>
                  <w:tcBorders>
                    <w:tl2br w:val="nil"/>
                    <w:tr2bl w:val="nil"/>
                  </w:tcBorders>
                  <w:noWrap w:val="0"/>
                  <w:vAlign w:val="center"/>
                </w:tcPr>
                <w:p w14:paraId="388BA4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项目情况</w:t>
                  </w:r>
                </w:p>
              </w:tc>
              <w:tc>
                <w:tcPr>
                  <w:tcW w:w="463" w:type="pct"/>
                  <w:tcBorders>
                    <w:tl2br w:val="nil"/>
                    <w:tr2bl w:val="nil"/>
                  </w:tcBorders>
                  <w:noWrap w:val="0"/>
                  <w:vAlign w:val="center"/>
                </w:tcPr>
                <w:p w14:paraId="639F7C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符合性分析</w:t>
                  </w:r>
                </w:p>
              </w:tc>
            </w:tr>
            <w:tr w14:paraId="49D0D6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4" w:hRule="atLeast"/>
                <w:jc w:val="center"/>
              </w:trPr>
              <w:tc>
                <w:tcPr>
                  <w:tcW w:w="367" w:type="pct"/>
                  <w:vMerge w:val="restart"/>
                  <w:tcBorders>
                    <w:tl2br w:val="nil"/>
                    <w:tr2bl w:val="nil"/>
                  </w:tcBorders>
                  <w:noWrap w:val="0"/>
                  <w:vAlign w:val="center"/>
                </w:tcPr>
                <w:p w14:paraId="2F7307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rPr>
                  </w:pPr>
                  <w:r>
                    <w:rPr>
                      <w:rStyle w:val="20"/>
                      <w:rFonts w:hint="default" w:ascii="Times New Roman" w:hAnsi="Times New Roman" w:eastAsia="宋体" w:cs="Times New Roman"/>
                      <w:color w:val="auto"/>
                      <w:sz w:val="21"/>
                    </w:rPr>
                    <w:t>树立绿色发展规矩</w:t>
                  </w:r>
                </w:p>
              </w:tc>
              <w:tc>
                <w:tcPr>
                  <w:tcW w:w="3301" w:type="pct"/>
                  <w:tcBorders>
                    <w:tl2br w:val="nil"/>
                    <w:tr2bl w:val="nil"/>
                  </w:tcBorders>
                  <w:noWrap w:val="0"/>
                  <w:vAlign w:val="center"/>
                </w:tcPr>
                <w:p w14:paraId="714540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一是确立绿色发展理念。《长江法》在第三条中明确要求，长江流域经济社会发展，应当坚持生态优先、绿色发展，共抓大保护、不搞大开发；长江保护应当坚持统筹协调、科学规划、创新驱动、系统治理。将“共抓大保护、不搞大开发”写入法律，成为长江流域各地区经济发展必须共同遵守的法律制度。</w:t>
                  </w:r>
                </w:p>
              </w:tc>
              <w:tc>
                <w:tcPr>
                  <w:tcW w:w="867" w:type="pct"/>
                  <w:tcBorders>
                    <w:tl2br w:val="nil"/>
                    <w:tr2bl w:val="nil"/>
                  </w:tcBorders>
                  <w:noWrap w:val="0"/>
                  <w:vAlign w:val="center"/>
                </w:tcPr>
                <w:p w14:paraId="20FE6F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建设单位遵守环保相关法律法规</w:t>
                  </w:r>
                </w:p>
              </w:tc>
              <w:tc>
                <w:tcPr>
                  <w:tcW w:w="463" w:type="pct"/>
                  <w:tcBorders>
                    <w:tl2br w:val="nil"/>
                    <w:tr2bl w:val="nil"/>
                  </w:tcBorders>
                  <w:noWrap w:val="0"/>
                  <w:vAlign w:val="center"/>
                </w:tcPr>
                <w:p w14:paraId="1E07E5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符合</w:t>
                  </w:r>
                </w:p>
              </w:tc>
            </w:tr>
            <w:tr w14:paraId="27BBE8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1" w:hRule="atLeast"/>
                <w:jc w:val="center"/>
              </w:trPr>
              <w:tc>
                <w:tcPr>
                  <w:tcW w:w="367" w:type="pct"/>
                  <w:vMerge w:val="continue"/>
                  <w:tcBorders>
                    <w:tl2br w:val="nil"/>
                    <w:tr2bl w:val="nil"/>
                  </w:tcBorders>
                  <w:noWrap w:val="0"/>
                  <w:vAlign w:val="center"/>
                </w:tcPr>
                <w:p w14:paraId="503A00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rPr>
                  </w:pPr>
                </w:p>
              </w:tc>
              <w:tc>
                <w:tcPr>
                  <w:tcW w:w="3301" w:type="pct"/>
                  <w:tcBorders>
                    <w:tl2br w:val="nil"/>
                    <w:tr2bl w:val="nil"/>
                  </w:tcBorders>
                  <w:noWrap w:val="0"/>
                  <w:vAlign w:val="center"/>
                </w:tcPr>
                <w:p w14:paraId="288413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二是统筹绿色发展规划。《长江法》第十八条明确要求，国务院发展改革部门会同国务院有关部门编制长江流域发展规划，科学统筹长江流域上下游、左右岸、干支流生态环境保护和绿色发展，报国务院批准后实施。并在第二十二条中明确要求，长江流域产业结构和布局应当与长江流域生态系统和资源环境承载能力相适应；禁止在长江流域重点生态功能区布局对生态系统有严重影响的产业；禁止重污染企业和项目向长江中上游转移。</w:t>
                  </w:r>
                </w:p>
              </w:tc>
              <w:tc>
                <w:tcPr>
                  <w:tcW w:w="867" w:type="pct"/>
                  <w:tcBorders>
                    <w:tl2br w:val="nil"/>
                    <w:tr2bl w:val="nil"/>
                  </w:tcBorders>
                  <w:noWrap w:val="0"/>
                  <w:vAlign w:val="center"/>
                </w:tcPr>
                <w:p w14:paraId="44D649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本项目为卫生院项目，</w:t>
                  </w:r>
                  <w:r>
                    <w:rPr>
                      <w:rFonts w:hint="default" w:ascii="Times New Roman" w:hAnsi="Times New Roman" w:eastAsia="宋体" w:cs="Times New Roman"/>
                      <w:color w:val="auto"/>
                      <w:sz w:val="21"/>
                    </w:rPr>
                    <w:t>不属于重污染企业</w:t>
                  </w:r>
                </w:p>
              </w:tc>
              <w:tc>
                <w:tcPr>
                  <w:tcW w:w="463" w:type="pct"/>
                  <w:tcBorders>
                    <w:tl2br w:val="nil"/>
                    <w:tr2bl w:val="nil"/>
                  </w:tcBorders>
                  <w:noWrap w:val="0"/>
                  <w:vAlign w:val="center"/>
                </w:tcPr>
                <w:p w14:paraId="61D4BD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符合</w:t>
                  </w:r>
                </w:p>
              </w:tc>
            </w:tr>
            <w:tr w14:paraId="3A759C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4" w:hRule="atLeast"/>
                <w:jc w:val="center"/>
              </w:trPr>
              <w:tc>
                <w:tcPr>
                  <w:tcW w:w="367" w:type="pct"/>
                  <w:vMerge w:val="continue"/>
                  <w:tcBorders>
                    <w:tl2br w:val="nil"/>
                    <w:tr2bl w:val="nil"/>
                  </w:tcBorders>
                  <w:noWrap w:val="0"/>
                  <w:vAlign w:val="center"/>
                </w:tcPr>
                <w:p w14:paraId="3CBF2C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rPr>
                  </w:pPr>
                </w:p>
              </w:tc>
              <w:tc>
                <w:tcPr>
                  <w:tcW w:w="3301" w:type="pct"/>
                  <w:tcBorders>
                    <w:tl2br w:val="nil"/>
                    <w:tr2bl w:val="nil"/>
                  </w:tcBorders>
                  <w:noWrap w:val="0"/>
                  <w:vAlign w:val="center"/>
                </w:tcPr>
                <w:p w14:paraId="4C667B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三是制定绿色发展红线。《长江法》第二十六条明确要求，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867" w:type="pct"/>
                  <w:tcBorders>
                    <w:tl2br w:val="nil"/>
                    <w:tr2bl w:val="nil"/>
                  </w:tcBorders>
                  <w:noWrap w:val="0"/>
                  <w:vAlign w:val="center"/>
                </w:tcPr>
                <w:p w14:paraId="428779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本项目不属于化工项目、无尾矿库</w:t>
                  </w:r>
                </w:p>
              </w:tc>
              <w:tc>
                <w:tcPr>
                  <w:tcW w:w="463" w:type="pct"/>
                  <w:tcBorders>
                    <w:tl2br w:val="nil"/>
                    <w:tr2bl w:val="nil"/>
                  </w:tcBorders>
                  <w:noWrap w:val="0"/>
                  <w:vAlign w:val="center"/>
                </w:tcPr>
                <w:p w14:paraId="24CB34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符合</w:t>
                  </w:r>
                </w:p>
              </w:tc>
            </w:tr>
            <w:tr w14:paraId="70451B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8" w:hRule="atLeast"/>
                <w:jc w:val="center"/>
              </w:trPr>
              <w:tc>
                <w:tcPr>
                  <w:tcW w:w="367" w:type="pct"/>
                  <w:vMerge w:val="restart"/>
                  <w:tcBorders>
                    <w:tl2br w:val="nil"/>
                    <w:tr2bl w:val="nil"/>
                  </w:tcBorders>
                  <w:noWrap w:val="0"/>
                  <w:vAlign w:val="center"/>
                </w:tcPr>
                <w:p w14:paraId="4DF2A4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rPr>
                  </w:pPr>
                  <w:r>
                    <w:rPr>
                      <w:rStyle w:val="20"/>
                      <w:rFonts w:hint="default" w:ascii="Times New Roman" w:hAnsi="Times New Roman" w:eastAsia="宋体" w:cs="Times New Roman"/>
                      <w:color w:val="auto"/>
                      <w:sz w:val="21"/>
                    </w:rPr>
                    <w:t>完善污染防治措施</w:t>
                  </w:r>
                </w:p>
              </w:tc>
              <w:tc>
                <w:tcPr>
                  <w:tcW w:w="3301" w:type="pct"/>
                  <w:tcBorders>
                    <w:tl2br w:val="nil"/>
                    <w:tr2bl w:val="nil"/>
                  </w:tcBorders>
                  <w:noWrap w:val="0"/>
                  <w:vAlign w:val="center"/>
                </w:tcPr>
                <w:p w14:paraId="4EFBD9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控制总磷排放总量。第四十六条明确要求长江流域省级政府，要制定本行政区域的总磷污染控制方案，并组织实施。对磷矿、磷肥生产集中的长江干支流，有关省级人民政府应当制定更加严格的总磷排放管控要求，有效控制总磷排放总量；磷矿开采加工、磷肥和含磷农药制造等企业，应当按照排污许可要求，采取有效措施控制总磷排放浓度和排放总量；对排污口和周边环境进行总磷监测，依法公开监测信息。</w:t>
                  </w:r>
                </w:p>
              </w:tc>
              <w:tc>
                <w:tcPr>
                  <w:tcW w:w="867" w:type="pct"/>
                  <w:tcBorders>
                    <w:tl2br w:val="nil"/>
                    <w:tr2bl w:val="nil"/>
                  </w:tcBorders>
                  <w:noWrap w:val="0"/>
                  <w:vAlign w:val="center"/>
                </w:tcPr>
                <w:p w14:paraId="75293C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本项目</w:t>
                  </w:r>
                  <w:r>
                    <w:rPr>
                      <w:rFonts w:hint="eastAsia" w:ascii="Times New Roman" w:hAnsi="Times New Roman" w:eastAsia="宋体" w:cs="Times New Roman"/>
                      <w:color w:val="auto"/>
                      <w:sz w:val="21"/>
                      <w:lang w:val="en-US" w:eastAsia="zh-CN"/>
                    </w:rPr>
                    <w:t>废水排放符合要求</w:t>
                  </w:r>
                </w:p>
              </w:tc>
              <w:tc>
                <w:tcPr>
                  <w:tcW w:w="463" w:type="pct"/>
                  <w:tcBorders>
                    <w:tl2br w:val="nil"/>
                    <w:tr2bl w:val="nil"/>
                  </w:tcBorders>
                  <w:noWrap w:val="0"/>
                  <w:vAlign w:val="center"/>
                </w:tcPr>
                <w:p w14:paraId="34F502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符合</w:t>
                  </w:r>
                </w:p>
              </w:tc>
            </w:tr>
            <w:tr w14:paraId="569F87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367" w:type="pct"/>
                  <w:vMerge w:val="continue"/>
                  <w:tcBorders>
                    <w:tl2br w:val="nil"/>
                    <w:tr2bl w:val="nil"/>
                  </w:tcBorders>
                  <w:noWrap w:val="0"/>
                  <w:vAlign w:val="center"/>
                </w:tcPr>
                <w:p w14:paraId="37B450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rPr>
                  </w:pPr>
                </w:p>
              </w:tc>
              <w:tc>
                <w:tcPr>
                  <w:tcW w:w="3301" w:type="pct"/>
                  <w:tcBorders>
                    <w:tl2br w:val="nil"/>
                    <w:tr2bl w:val="nil"/>
                  </w:tcBorders>
                  <w:noWrap w:val="0"/>
                  <w:vAlign w:val="center"/>
                </w:tcPr>
                <w:p w14:paraId="2283BC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加强对固废的监管。第四十九条明确禁止在长江流域河湖管理范围内倾倒、填埋、堆放、弃置、处理固体废物，并要求长江流域县级以上地方人民政府应当加强对固体废物非法转移和倾倒的联防联控。</w:t>
                  </w:r>
                </w:p>
              </w:tc>
              <w:tc>
                <w:tcPr>
                  <w:tcW w:w="867" w:type="pct"/>
                  <w:tcBorders>
                    <w:tl2br w:val="nil"/>
                    <w:tr2bl w:val="nil"/>
                  </w:tcBorders>
                  <w:noWrap w:val="0"/>
                  <w:vAlign w:val="center"/>
                </w:tcPr>
                <w:p w14:paraId="50F4BA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本项目固体废物妥善处理，</w:t>
                  </w:r>
                  <w:r>
                    <w:rPr>
                      <w:rFonts w:hint="eastAsia" w:ascii="Times New Roman" w:hAnsi="Times New Roman" w:eastAsia="宋体" w:cs="Times New Roman"/>
                      <w:color w:val="auto"/>
                      <w:sz w:val="21"/>
                      <w:lang w:val="en-US" w:eastAsia="zh-CN"/>
                    </w:rPr>
                    <w:t>定期外运</w:t>
                  </w:r>
                </w:p>
              </w:tc>
              <w:tc>
                <w:tcPr>
                  <w:tcW w:w="463" w:type="pct"/>
                  <w:tcBorders>
                    <w:tl2br w:val="nil"/>
                    <w:tr2bl w:val="nil"/>
                  </w:tcBorders>
                  <w:noWrap w:val="0"/>
                  <w:vAlign w:val="center"/>
                </w:tcPr>
                <w:p w14:paraId="573248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符合</w:t>
                  </w:r>
                </w:p>
              </w:tc>
            </w:tr>
            <w:tr w14:paraId="600DAB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4" w:hRule="atLeast"/>
                <w:jc w:val="center"/>
              </w:trPr>
              <w:tc>
                <w:tcPr>
                  <w:tcW w:w="367" w:type="pct"/>
                  <w:vMerge w:val="continue"/>
                  <w:tcBorders>
                    <w:tl2br w:val="nil"/>
                    <w:tr2bl w:val="nil"/>
                  </w:tcBorders>
                  <w:noWrap w:val="0"/>
                  <w:vAlign w:val="center"/>
                </w:tcPr>
                <w:p w14:paraId="180482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rPr>
                  </w:pPr>
                </w:p>
              </w:tc>
              <w:tc>
                <w:tcPr>
                  <w:tcW w:w="3301" w:type="pct"/>
                  <w:tcBorders>
                    <w:tl2br w:val="nil"/>
                    <w:tr2bl w:val="nil"/>
                  </w:tcBorders>
                  <w:noWrap w:val="0"/>
                  <w:vAlign w:val="center"/>
                </w:tcPr>
                <w:p w14:paraId="78FB36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开展地下水重点污染源和环境风险隐患调查评估。第五十条要求长江流域县级以上地方人民政府，应当组织对沿河湖垃圾填埋场、加油站、矿山、尾矿库、危险废物处置场、化工园区和化工项目等地下水重点污染源及周边地下水环境风险隐患开展调查评估，并采取相应风险防范和整治措施。</w:t>
                  </w:r>
                </w:p>
              </w:tc>
              <w:tc>
                <w:tcPr>
                  <w:tcW w:w="867" w:type="pct"/>
                  <w:tcBorders>
                    <w:tl2br w:val="nil"/>
                    <w:tr2bl w:val="nil"/>
                  </w:tcBorders>
                  <w:noWrap w:val="0"/>
                  <w:vAlign w:val="center"/>
                </w:tcPr>
                <w:p w14:paraId="038D72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本项目属于</w:t>
                  </w:r>
                  <w:r>
                    <w:rPr>
                      <w:rFonts w:hint="eastAsia" w:ascii="Times New Roman" w:hAnsi="Times New Roman" w:eastAsia="宋体" w:cs="Times New Roman"/>
                      <w:color w:val="auto"/>
                      <w:sz w:val="21"/>
                      <w:lang w:val="en-US" w:eastAsia="zh-CN"/>
                    </w:rPr>
                    <w:t>卫生院项目</w:t>
                  </w:r>
                  <w:r>
                    <w:rPr>
                      <w:rFonts w:hint="default" w:ascii="Times New Roman" w:hAnsi="Times New Roman" w:eastAsia="宋体" w:cs="Times New Roman"/>
                      <w:color w:val="auto"/>
                      <w:sz w:val="21"/>
                    </w:rPr>
                    <w:t>，对地下水影响不大</w:t>
                  </w:r>
                </w:p>
              </w:tc>
              <w:tc>
                <w:tcPr>
                  <w:tcW w:w="463" w:type="pct"/>
                  <w:tcBorders>
                    <w:tl2br w:val="nil"/>
                    <w:tr2bl w:val="nil"/>
                  </w:tcBorders>
                  <w:noWrap w:val="0"/>
                  <w:vAlign w:val="center"/>
                </w:tcPr>
                <w:p w14:paraId="740131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符合</w:t>
                  </w:r>
                </w:p>
              </w:tc>
            </w:tr>
            <w:tr w14:paraId="4DE226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5" w:hRule="atLeast"/>
                <w:jc w:val="center"/>
              </w:trPr>
              <w:tc>
                <w:tcPr>
                  <w:tcW w:w="367" w:type="pct"/>
                  <w:vMerge w:val="continue"/>
                  <w:tcBorders>
                    <w:tl2br w:val="nil"/>
                    <w:tr2bl w:val="nil"/>
                  </w:tcBorders>
                  <w:noWrap w:val="0"/>
                  <w:vAlign w:val="center"/>
                </w:tcPr>
                <w:p w14:paraId="1141DE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rPr>
                  </w:pPr>
                </w:p>
              </w:tc>
              <w:tc>
                <w:tcPr>
                  <w:tcW w:w="3301" w:type="pct"/>
                  <w:tcBorders>
                    <w:tl2br w:val="nil"/>
                    <w:tr2bl w:val="nil"/>
                  </w:tcBorders>
                  <w:noWrap w:val="0"/>
                  <w:vAlign w:val="center"/>
                </w:tcPr>
                <w:p w14:paraId="15A85C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严格危化品运输的管控。第五十一条明确禁止在长江流域水上运输剧毒化学品和国家规定禁止通过内河运输的其他危险化学品，要求长江流域县级以上地方政府交通运输主管部门会同本级政府有关部门，加强对长江流域危险化学品运输的管控；并授权国务院交通运输主管部门会同国务院有关部门，制定建立长江流域危险货物运输船舶污染责任保险与财务担保相结合机制。</w:t>
                  </w:r>
                </w:p>
              </w:tc>
              <w:tc>
                <w:tcPr>
                  <w:tcW w:w="867" w:type="pct"/>
                  <w:tcBorders>
                    <w:tl2br w:val="nil"/>
                    <w:tr2bl w:val="nil"/>
                  </w:tcBorders>
                  <w:noWrap w:val="0"/>
                  <w:vAlign w:val="center"/>
                </w:tcPr>
                <w:p w14:paraId="724CF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本项目</w:t>
                  </w:r>
                  <w:r>
                    <w:rPr>
                      <w:rFonts w:hint="eastAsia" w:ascii="Times New Roman" w:hAnsi="Times New Roman" w:eastAsia="宋体" w:cs="Times New Roman"/>
                      <w:color w:val="auto"/>
                      <w:sz w:val="21"/>
                      <w:lang w:val="en-US" w:eastAsia="zh-CN"/>
                    </w:rPr>
                    <w:t>符合要求</w:t>
                  </w:r>
                </w:p>
              </w:tc>
              <w:tc>
                <w:tcPr>
                  <w:tcW w:w="463" w:type="pct"/>
                  <w:tcBorders>
                    <w:tl2br w:val="nil"/>
                    <w:tr2bl w:val="nil"/>
                  </w:tcBorders>
                  <w:noWrap w:val="0"/>
                  <w:vAlign w:val="center"/>
                </w:tcPr>
                <w:p w14:paraId="0462A4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符合</w:t>
                  </w:r>
                </w:p>
              </w:tc>
            </w:tr>
            <w:tr w14:paraId="63642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4" w:hRule="atLeast"/>
                <w:jc w:val="center"/>
              </w:trPr>
              <w:tc>
                <w:tcPr>
                  <w:tcW w:w="367" w:type="pct"/>
                  <w:vMerge w:val="continue"/>
                  <w:tcBorders>
                    <w:tl2br w:val="nil"/>
                    <w:tr2bl w:val="nil"/>
                  </w:tcBorders>
                  <w:noWrap w:val="0"/>
                  <w:vAlign w:val="center"/>
                </w:tcPr>
                <w:p w14:paraId="09E71A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rPr>
                  </w:pPr>
                </w:p>
              </w:tc>
              <w:tc>
                <w:tcPr>
                  <w:tcW w:w="3301" w:type="pct"/>
                  <w:tcBorders>
                    <w:tl2br w:val="nil"/>
                    <w:tr2bl w:val="nil"/>
                  </w:tcBorders>
                  <w:noWrap w:val="0"/>
                  <w:vAlign w:val="center"/>
                </w:tcPr>
                <w:p w14:paraId="003C65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加快搬迁改造重点地区危化品企业。第六十六条要求长江流域县级以上地方政府，应当加快重点地区危险化学品生产企业搬迁改造，推动钢铁、石油、化工、有色金属、建材、船舶等产业升级改造，推动造纸、制革、电镀、印染、有色金属、农药、氮肥、焦化、原料药制造等企业实施清洁化改造。</w:t>
                  </w:r>
                </w:p>
              </w:tc>
              <w:tc>
                <w:tcPr>
                  <w:tcW w:w="867" w:type="pct"/>
                  <w:tcBorders>
                    <w:tl2br w:val="nil"/>
                    <w:tr2bl w:val="nil"/>
                  </w:tcBorders>
                  <w:noWrap w:val="0"/>
                  <w:vAlign w:val="center"/>
                </w:tcPr>
                <w:p w14:paraId="0D198E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本项目不属于重点地区危化品企业</w:t>
                  </w:r>
                </w:p>
              </w:tc>
              <w:tc>
                <w:tcPr>
                  <w:tcW w:w="463" w:type="pct"/>
                  <w:tcBorders>
                    <w:tl2br w:val="nil"/>
                    <w:tr2bl w:val="nil"/>
                  </w:tcBorders>
                  <w:noWrap w:val="0"/>
                  <w:vAlign w:val="center"/>
                </w:tcPr>
                <w:p w14:paraId="64B1EE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符合</w:t>
                  </w:r>
                </w:p>
              </w:tc>
            </w:tr>
          </w:tbl>
          <w:p w14:paraId="3953BE14">
            <w:pPr>
              <w:autoSpaceDE w:val="0"/>
              <w:autoSpaceDN w:val="0"/>
              <w:spacing w:line="360" w:lineRule="auto"/>
              <w:ind w:firstLine="480" w:firstLineChars="200"/>
              <w:jc w:val="left"/>
              <w:rPr>
                <w:color w:val="auto"/>
                <w:kern w:val="0"/>
                <w:sz w:val="24"/>
              </w:rPr>
            </w:pPr>
            <w:r>
              <w:rPr>
                <w:color w:val="auto"/>
                <w:sz w:val="24"/>
              </w:rPr>
              <w:t>综上所述，项目建设与《中华人民共和国长江保护法》相符。</w:t>
            </w:r>
          </w:p>
          <w:p w14:paraId="697C9913">
            <w:pPr>
              <w:autoSpaceDE w:val="0"/>
              <w:autoSpaceDN w:val="0"/>
              <w:adjustRightInd w:val="0"/>
              <w:snapToGrid w:val="0"/>
              <w:spacing w:line="360" w:lineRule="auto"/>
              <w:ind w:firstLine="482" w:firstLineChars="200"/>
              <w:jc w:val="left"/>
              <w:rPr>
                <w:snapToGrid w:val="0"/>
                <w:color w:val="auto"/>
                <w:kern w:val="32"/>
                <w:sz w:val="24"/>
              </w:rPr>
            </w:pPr>
            <w:r>
              <w:rPr>
                <w:rFonts w:hint="eastAsia"/>
                <w:b/>
                <w:color w:val="auto"/>
                <w:kern w:val="0"/>
                <w:sz w:val="24"/>
              </w:rPr>
              <w:t>6、与《鄱阳湖生态经济区环境保护条例》（2019年修正）的相符性分析</w:t>
            </w:r>
          </w:p>
          <w:p w14:paraId="6F0FEFEA">
            <w:pPr>
              <w:autoSpaceDE w:val="0"/>
              <w:autoSpaceDN w:val="0"/>
              <w:adjustRightInd w:val="0"/>
              <w:snapToGrid w:val="0"/>
              <w:spacing w:line="360" w:lineRule="auto"/>
              <w:ind w:firstLine="480" w:firstLineChars="200"/>
              <w:jc w:val="both"/>
              <w:rPr>
                <w:color w:val="auto"/>
                <w:kern w:val="0"/>
                <w:sz w:val="24"/>
              </w:rPr>
            </w:pPr>
            <w:r>
              <w:rPr>
                <w:rFonts w:hint="eastAsia"/>
                <w:color w:val="auto"/>
                <w:kern w:val="0"/>
                <w:sz w:val="24"/>
              </w:rPr>
              <w:t>本项目位于九江市庐山市，属于</w:t>
            </w:r>
            <w:r>
              <w:rPr>
                <w:color w:val="auto"/>
                <w:kern w:val="0"/>
                <w:sz w:val="24"/>
              </w:rPr>
              <w:t>鄱阳湖高效集约发展区</w:t>
            </w:r>
            <w:r>
              <w:rPr>
                <w:rFonts w:hint="eastAsia"/>
                <w:color w:val="auto"/>
                <w:kern w:val="0"/>
                <w:sz w:val="24"/>
              </w:rPr>
              <w:t>。根据《</w:t>
            </w:r>
            <w:r>
              <w:rPr>
                <w:color w:val="auto"/>
                <w:kern w:val="0"/>
                <w:sz w:val="24"/>
              </w:rPr>
              <w:t>鄱阳湖生态经济区环境保护条例</w:t>
            </w:r>
            <w:r>
              <w:rPr>
                <w:rFonts w:hint="eastAsia"/>
                <w:color w:val="auto"/>
                <w:kern w:val="0"/>
                <w:sz w:val="24"/>
              </w:rPr>
              <w:t>》：“在高效集约发展区内，县级以上人民政府应当根据鄱阳湖生态经济区规划和国家的产业政策，将节能、节水、节地、节材、资源综合利用、可再生能源、可循环利用项目列为重点投资领域；鼓励发展低能耗、高附加值的高新技术产业，控制高耗能、高污染、资源性项目；鼓励对废水、废气、固体废弃物等的循环利用，推进传统产业升级改造，优化产业结构。”、“新建工业项目应当进入工业园区。工业园区应当加强环境保护设施建设及绿化工程建设。”、“</w:t>
            </w:r>
            <w:r>
              <w:rPr>
                <w:color w:val="auto"/>
                <w:kern w:val="0"/>
                <w:sz w:val="24"/>
              </w:rPr>
              <w:t>建设项目需要配套建设的环境保护设施，必须与主体工程同时设计、同时施工、同时投入使用。</w:t>
            </w:r>
            <w:r>
              <w:rPr>
                <w:rFonts w:hint="eastAsia"/>
                <w:color w:val="auto"/>
                <w:kern w:val="0"/>
                <w:sz w:val="24"/>
              </w:rPr>
              <w:t>”</w:t>
            </w:r>
          </w:p>
          <w:p w14:paraId="10778DC5">
            <w:pPr>
              <w:autoSpaceDE w:val="0"/>
              <w:autoSpaceDN w:val="0"/>
              <w:adjustRightInd w:val="0"/>
              <w:snapToGrid w:val="0"/>
              <w:spacing w:line="360" w:lineRule="auto"/>
              <w:ind w:firstLine="480" w:firstLineChars="200"/>
              <w:jc w:val="left"/>
              <w:rPr>
                <w:color w:val="auto"/>
                <w:kern w:val="0"/>
                <w:sz w:val="24"/>
              </w:rPr>
            </w:pPr>
            <w:r>
              <w:rPr>
                <w:rFonts w:hint="eastAsia"/>
                <w:color w:val="auto"/>
                <w:kern w:val="0"/>
                <w:sz w:val="24"/>
              </w:rPr>
              <w:t>本项目不属于高耗能、高污染、资源性项目，项目配套合理可行的环境保护设施，严格落实“三同时”制度。总体而言，本项目与《</w:t>
            </w:r>
            <w:r>
              <w:rPr>
                <w:color w:val="auto"/>
                <w:kern w:val="0"/>
                <w:sz w:val="24"/>
              </w:rPr>
              <w:t>鄱阳湖生态经济区环境保护条例</w:t>
            </w:r>
            <w:r>
              <w:rPr>
                <w:rFonts w:hint="eastAsia"/>
                <w:color w:val="auto"/>
                <w:kern w:val="0"/>
                <w:sz w:val="24"/>
              </w:rPr>
              <w:t>》是相符的。</w:t>
            </w:r>
          </w:p>
          <w:p w14:paraId="7A9DD099">
            <w:pPr>
              <w:autoSpaceDE w:val="0"/>
              <w:autoSpaceDN w:val="0"/>
              <w:adjustRightInd w:val="0"/>
              <w:snapToGrid w:val="0"/>
              <w:spacing w:line="360" w:lineRule="auto"/>
              <w:ind w:firstLine="482" w:firstLineChars="200"/>
              <w:jc w:val="left"/>
              <w:rPr>
                <w:snapToGrid w:val="0"/>
                <w:color w:val="auto"/>
                <w:kern w:val="32"/>
                <w:sz w:val="24"/>
              </w:rPr>
            </w:pPr>
            <w:r>
              <w:rPr>
                <w:rFonts w:hint="eastAsia"/>
                <w:b/>
                <w:color w:val="auto"/>
                <w:kern w:val="0"/>
                <w:sz w:val="24"/>
              </w:rPr>
              <w:t>7、项目与《九江市深入打好污染防治攻坚战实施方案》相符性分析</w:t>
            </w:r>
          </w:p>
          <w:p w14:paraId="3B645104">
            <w:pPr>
              <w:autoSpaceDE w:val="0"/>
              <w:autoSpaceDN w:val="0"/>
              <w:adjustRightInd w:val="0"/>
              <w:snapToGrid w:val="0"/>
              <w:spacing w:line="360" w:lineRule="auto"/>
              <w:ind w:firstLine="480" w:firstLineChars="200"/>
              <w:jc w:val="left"/>
              <w:rPr>
                <w:color w:val="auto"/>
                <w:kern w:val="0"/>
                <w:sz w:val="24"/>
              </w:rPr>
            </w:pPr>
            <w:r>
              <w:rPr>
                <w:rFonts w:hint="eastAsia"/>
                <w:color w:val="auto"/>
                <w:kern w:val="0"/>
                <w:sz w:val="24"/>
              </w:rPr>
              <w:t>本项目与《九江市深入打好污染防治攻坚战实施方案》（九发[2022]6号文）相符性分析详见下表。</w:t>
            </w:r>
          </w:p>
          <w:p w14:paraId="0AE370DD">
            <w:pPr>
              <w:jc w:val="center"/>
              <w:rPr>
                <w:b/>
                <w:bCs/>
                <w:color w:val="auto"/>
                <w:szCs w:val="21"/>
                <w:lang w:val="zh-CN"/>
              </w:rPr>
            </w:pPr>
            <w:r>
              <w:rPr>
                <w:rFonts w:hint="eastAsia"/>
                <w:b/>
                <w:bCs/>
                <w:color w:val="auto"/>
                <w:szCs w:val="21"/>
                <w:lang w:val="zh-CN"/>
              </w:rPr>
              <w:t>表1-</w:t>
            </w:r>
            <w:r>
              <w:rPr>
                <w:rFonts w:hint="eastAsia"/>
                <w:b/>
                <w:bCs/>
                <w:color w:val="auto"/>
                <w:szCs w:val="21"/>
              </w:rPr>
              <w:t>7</w:t>
            </w:r>
            <w:r>
              <w:rPr>
                <w:rFonts w:hint="eastAsia"/>
                <w:b/>
                <w:bCs/>
                <w:color w:val="auto"/>
                <w:szCs w:val="21"/>
                <w:lang w:val="zh-CN"/>
              </w:rPr>
              <w:t xml:space="preserve"> 与九发[2022]6号文相符性分析一览表</w:t>
            </w:r>
          </w:p>
          <w:tbl>
            <w:tblPr>
              <w:tblStyle w:val="17"/>
              <w:tblW w:w="49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9"/>
              <w:gridCol w:w="1620"/>
              <w:gridCol w:w="602"/>
            </w:tblGrid>
            <w:tr w14:paraId="27B98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7" w:type="dxa"/>
                  <w:tcBorders>
                    <w:top w:val="single" w:color="auto" w:sz="12" w:space="0"/>
                    <w:left w:val="nil"/>
                  </w:tcBorders>
                  <w:vAlign w:val="center"/>
                </w:tcPr>
                <w:p w14:paraId="3CAA048F">
                  <w:pPr>
                    <w:autoSpaceDE w:val="0"/>
                    <w:autoSpaceDN w:val="0"/>
                    <w:adjustRightInd w:val="0"/>
                    <w:snapToGrid w:val="0"/>
                    <w:jc w:val="center"/>
                    <w:rPr>
                      <w:b/>
                      <w:bCs/>
                      <w:color w:val="auto"/>
                      <w:kern w:val="0"/>
                      <w:sz w:val="21"/>
                      <w:szCs w:val="21"/>
                    </w:rPr>
                  </w:pPr>
                  <w:r>
                    <w:rPr>
                      <w:rFonts w:hint="eastAsia"/>
                      <w:b/>
                      <w:bCs/>
                      <w:color w:val="auto"/>
                      <w:kern w:val="0"/>
                      <w:sz w:val="21"/>
                      <w:szCs w:val="21"/>
                    </w:rPr>
                    <w:t>内容（部分相关内容）</w:t>
                  </w:r>
                </w:p>
              </w:tc>
              <w:tc>
                <w:tcPr>
                  <w:tcW w:w="1622" w:type="dxa"/>
                  <w:tcBorders>
                    <w:top w:val="single" w:color="auto" w:sz="12" w:space="0"/>
                  </w:tcBorders>
                  <w:vAlign w:val="center"/>
                </w:tcPr>
                <w:p w14:paraId="3D5000E9">
                  <w:pPr>
                    <w:autoSpaceDE w:val="0"/>
                    <w:autoSpaceDN w:val="0"/>
                    <w:adjustRightInd w:val="0"/>
                    <w:snapToGrid w:val="0"/>
                    <w:jc w:val="center"/>
                    <w:rPr>
                      <w:b/>
                      <w:bCs/>
                      <w:color w:val="auto"/>
                      <w:kern w:val="0"/>
                      <w:sz w:val="21"/>
                      <w:szCs w:val="21"/>
                    </w:rPr>
                  </w:pPr>
                  <w:r>
                    <w:rPr>
                      <w:rFonts w:hint="eastAsia"/>
                      <w:b/>
                      <w:bCs/>
                      <w:color w:val="auto"/>
                      <w:kern w:val="0"/>
                      <w:sz w:val="21"/>
                      <w:szCs w:val="21"/>
                    </w:rPr>
                    <w:t>本项目情况</w:t>
                  </w:r>
                </w:p>
              </w:tc>
              <w:tc>
                <w:tcPr>
                  <w:tcW w:w="603" w:type="dxa"/>
                  <w:tcBorders>
                    <w:top w:val="single" w:color="auto" w:sz="12" w:space="0"/>
                    <w:right w:val="nil"/>
                  </w:tcBorders>
                  <w:vAlign w:val="center"/>
                </w:tcPr>
                <w:p w14:paraId="3E9866C8">
                  <w:pPr>
                    <w:autoSpaceDE w:val="0"/>
                    <w:autoSpaceDN w:val="0"/>
                    <w:adjustRightInd w:val="0"/>
                    <w:snapToGrid w:val="0"/>
                    <w:jc w:val="center"/>
                    <w:rPr>
                      <w:b/>
                      <w:bCs/>
                      <w:color w:val="auto"/>
                      <w:kern w:val="0"/>
                      <w:sz w:val="21"/>
                      <w:szCs w:val="21"/>
                    </w:rPr>
                  </w:pPr>
                  <w:r>
                    <w:rPr>
                      <w:rFonts w:hint="eastAsia"/>
                      <w:b/>
                      <w:bCs/>
                      <w:color w:val="auto"/>
                      <w:kern w:val="0"/>
                      <w:sz w:val="21"/>
                      <w:szCs w:val="21"/>
                    </w:rPr>
                    <w:t>是否符合</w:t>
                  </w:r>
                </w:p>
              </w:tc>
            </w:tr>
            <w:tr w14:paraId="4E673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7" w:hRule="atLeast"/>
                <w:jc w:val="center"/>
              </w:trPr>
              <w:tc>
                <w:tcPr>
                  <w:tcW w:w="5297" w:type="dxa"/>
                  <w:tcBorders>
                    <w:left w:val="nil"/>
                  </w:tcBorders>
                  <w:vAlign w:val="center"/>
                </w:tcPr>
                <w:p w14:paraId="22E42643">
                  <w:pPr>
                    <w:autoSpaceDE w:val="0"/>
                    <w:autoSpaceDN w:val="0"/>
                    <w:adjustRightInd w:val="0"/>
                    <w:snapToGrid w:val="0"/>
                    <w:jc w:val="center"/>
                    <w:rPr>
                      <w:color w:val="auto"/>
                      <w:kern w:val="0"/>
                      <w:sz w:val="21"/>
                      <w:szCs w:val="21"/>
                    </w:rPr>
                  </w:pPr>
                  <w:r>
                    <w:rPr>
                      <w:rFonts w:hint="eastAsia"/>
                      <w:color w:val="auto"/>
                      <w:kern w:val="0"/>
                      <w:sz w:val="21"/>
                      <w:szCs w:val="21"/>
                    </w:rPr>
                    <w:t>有力有序推进碳达峰碳中和。将“双碳”目标要求全面纳入生态文明建设整体布局。制定实施全市2030年前碳达峰实施方案。加强甲烷等非二氧化碳温室气体排放管控，健全排放源统计调查、核算核查和监管制度，积极做好应对气候变化工作。</w:t>
                  </w:r>
                </w:p>
              </w:tc>
              <w:tc>
                <w:tcPr>
                  <w:tcW w:w="1622" w:type="dxa"/>
                  <w:vAlign w:val="center"/>
                </w:tcPr>
                <w:p w14:paraId="44DD918E">
                  <w:pPr>
                    <w:autoSpaceDE w:val="0"/>
                    <w:autoSpaceDN w:val="0"/>
                    <w:adjustRightInd w:val="0"/>
                    <w:snapToGrid w:val="0"/>
                    <w:jc w:val="center"/>
                    <w:rPr>
                      <w:color w:val="auto"/>
                      <w:kern w:val="0"/>
                      <w:sz w:val="21"/>
                      <w:szCs w:val="21"/>
                    </w:rPr>
                  </w:pPr>
                  <w:r>
                    <w:rPr>
                      <w:rFonts w:hint="eastAsia"/>
                      <w:color w:val="auto"/>
                      <w:kern w:val="0"/>
                      <w:sz w:val="21"/>
                      <w:szCs w:val="21"/>
                    </w:rPr>
                    <w:t>本项目不涉及温室气体排放</w:t>
                  </w:r>
                </w:p>
              </w:tc>
              <w:tc>
                <w:tcPr>
                  <w:tcW w:w="603" w:type="dxa"/>
                  <w:tcBorders>
                    <w:right w:val="nil"/>
                  </w:tcBorders>
                  <w:vAlign w:val="center"/>
                </w:tcPr>
                <w:p w14:paraId="10631E20">
                  <w:pPr>
                    <w:autoSpaceDE w:val="0"/>
                    <w:autoSpaceDN w:val="0"/>
                    <w:adjustRightInd w:val="0"/>
                    <w:snapToGrid w:val="0"/>
                    <w:jc w:val="center"/>
                    <w:rPr>
                      <w:color w:val="auto"/>
                      <w:kern w:val="0"/>
                      <w:sz w:val="21"/>
                      <w:szCs w:val="21"/>
                    </w:rPr>
                  </w:pPr>
                  <w:r>
                    <w:rPr>
                      <w:rFonts w:hint="eastAsia"/>
                      <w:color w:val="auto"/>
                      <w:kern w:val="0"/>
                      <w:sz w:val="21"/>
                      <w:szCs w:val="21"/>
                    </w:rPr>
                    <w:t>符合</w:t>
                  </w:r>
                </w:p>
              </w:tc>
            </w:tr>
            <w:tr w14:paraId="4BE1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7" w:type="dxa"/>
                  <w:tcBorders>
                    <w:left w:val="nil"/>
                  </w:tcBorders>
                  <w:vAlign w:val="center"/>
                </w:tcPr>
                <w:p w14:paraId="7F118A15">
                  <w:pPr>
                    <w:autoSpaceDE w:val="0"/>
                    <w:autoSpaceDN w:val="0"/>
                    <w:adjustRightInd w:val="0"/>
                    <w:snapToGrid w:val="0"/>
                    <w:jc w:val="center"/>
                    <w:rPr>
                      <w:color w:val="auto"/>
                      <w:kern w:val="0"/>
                      <w:sz w:val="21"/>
                      <w:szCs w:val="21"/>
                    </w:rPr>
                  </w:pPr>
                  <w:r>
                    <w:rPr>
                      <w:rFonts w:hint="eastAsia"/>
                      <w:color w:val="auto"/>
                      <w:kern w:val="0"/>
                      <w:sz w:val="21"/>
                      <w:szCs w:val="21"/>
                    </w:rPr>
                    <w:t>加快推动产业结构转型升级。实施淘汰落后产能三年行动计划，综合运用法治化、市场化手段，加快淘汰低端、低效和无效产能。大力实施传统产业转型升级工程，持续推进技改升级，引导重点行业实施清洁生产改造，推进工业园区循环化改造。实施战略性新兴产业倍增工程和未来产业培育发展工程，全力打造新型工业重镇。强化“三线一单''分区管控，加强能评、环评等审批事前事中事后监管，坚决遏制“两高"项目盲目发展。到2025年，全市单位地区生产总值能耗累计降低16%，全市高新技术产业增加值占规上工业增加值比重不低于38%。</w:t>
                  </w:r>
                </w:p>
              </w:tc>
              <w:tc>
                <w:tcPr>
                  <w:tcW w:w="1622" w:type="dxa"/>
                  <w:vAlign w:val="center"/>
                </w:tcPr>
                <w:p w14:paraId="361C807F">
                  <w:pPr>
                    <w:autoSpaceDE w:val="0"/>
                    <w:autoSpaceDN w:val="0"/>
                    <w:adjustRightInd w:val="0"/>
                    <w:snapToGrid w:val="0"/>
                    <w:jc w:val="center"/>
                    <w:rPr>
                      <w:color w:val="auto"/>
                      <w:kern w:val="0"/>
                      <w:sz w:val="21"/>
                      <w:szCs w:val="21"/>
                    </w:rPr>
                  </w:pPr>
                  <w:r>
                    <w:rPr>
                      <w:rFonts w:hint="eastAsia"/>
                      <w:color w:val="auto"/>
                      <w:kern w:val="0"/>
                      <w:sz w:val="21"/>
                      <w:szCs w:val="21"/>
                    </w:rPr>
                    <w:t>本项目属于卫生院项目，不属于高耗能高排放项目</w:t>
                  </w:r>
                </w:p>
              </w:tc>
              <w:tc>
                <w:tcPr>
                  <w:tcW w:w="603" w:type="dxa"/>
                  <w:tcBorders>
                    <w:right w:val="nil"/>
                  </w:tcBorders>
                  <w:vAlign w:val="center"/>
                </w:tcPr>
                <w:p w14:paraId="384B9B45">
                  <w:pPr>
                    <w:autoSpaceDE w:val="0"/>
                    <w:autoSpaceDN w:val="0"/>
                    <w:adjustRightInd w:val="0"/>
                    <w:snapToGrid w:val="0"/>
                    <w:jc w:val="center"/>
                    <w:rPr>
                      <w:color w:val="auto"/>
                      <w:kern w:val="0"/>
                      <w:sz w:val="21"/>
                      <w:szCs w:val="21"/>
                    </w:rPr>
                  </w:pPr>
                  <w:r>
                    <w:rPr>
                      <w:rFonts w:hint="eastAsia"/>
                      <w:color w:val="auto"/>
                      <w:kern w:val="0"/>
                      <w:sz w:val="21"/>
                      <w:szCs w:val="21"/>
                    </w:rPr>
                    <w:t>符合</w:t>
                  </w:r>
                </w:p>
              </w:tc>
            </w:tr>
            <w:tr w14:paraId="2475C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5297" w:type="dxa"/>
                  <w:tcBorders>
                    <w:left w:val="nil"/>
                  </w:tcBorders>
                  <w:vAlign w:val="center"/>
                </w:tcPr>
                <w:p w14:paraId="4338642D">
                  <w:pPr>
                    <w:autoSpaceDE w:val="0"/>
                    <w:autoSpaceDN w:val="0"/>
                    <w:adjustRightInd w:val="0"/>
                    <w:snapToGrid w:val="0"/>
                    <w:jc w:val="center"/>
                    <w:rPr>
                      <w:color w:val="auto"/>
                      <w:kern w:val="0"/>
                      <w:sz w:val="21"/>
                      <w:szCs w:val="21"/>
                    </w:rPr>
                  </w:pPr>
                  <w:r>
                    <w:rPr>
                      <w:rFonts w:hint="eastAsia"/>
                      <w:color w:val="auto"/>
                      <w:kern w:val="0"/>
                      <w:sz w:val="21"/>
                      <w:szCs w:val="21"/>
                    </w:rPr>
                    <w:t>加快推动能源结构转型升级。在保障能源安全的前提下，鼓励清洁低碳能源替代，提高电能占终端能源消费比重，大力发展可再生能源。到2025年，力争全市非化石能源占一次能源消费比重提高到17.7%。</w:t>
                  </w:r>
                </w:p>
              </w:tc>
              <w:tc>
                <w:tcPr>
                  <w:tcW w:w="1622" w:type="dxa"/>
                  <w:vAlign w:val="center"/>
                </w:tcPr>
                <w:p w14:paraId="4A99DED9">
                  <w:pPr>
                    <w:autoSpaceDE w:val="0"/>
                    <w:autoSpaceDN w:val="0"/>
                    <w:adjustRightInd w:val="0"/>
                    <w:snapToGrid w:val="0"/>
                    <w:jc w:val="center"/>
                    <w:rPr>
                      <w:color w:val="auto"/>
                      <w:kern w:val="0"/>
                      <w:sz w:val="21"/>
                      <w:szCs w:val="21"/>
                    </w:rPr>
                  </w:pPr>
                  <w:r>
                    <w:rPr>
                      <w:rFonts w:hint="eastAsia"/>
                      <w:color w:val="auto"/>
                      <w:kern w:val="0"/>
                      <w:sz w:val="21"/>
                      <w:szCs w:val="21"/>
                    </w:rPr>
                    <w:t>本项目使用清洁能源（电能）</w:t>
                  </w:r>
                </w:p>
              </w:tc>
              <w:tc>
                <w:tcPr>
                  <w:tcW w:w="603" w:type="dxa"/>
                  <w:tcBorders>
                    <w:right w:val="nil"/>
                  </w:tcBorders>
                  <w:vAlign w:val="center"/>
                </w:tcPr>
                <w:p w14:paraId="60EB0E1C">
                  <w:pPr>
                    <w:autoSpaceDE w:val="0"/>
                    <w:autoSpaceDN w:val="0"/>
                    <w:adjustRightInd w:val="0"/>
                    <w:snapToGrid w:val="0"/>
                    <w:jc w:val="center"/>
                    <w:rPr>
                      <w:color w:val="auto"/>
                      <w:kern w:val="0"/>
                      <w:sz w:val="21"/>
                      <w:szCs w:val="21"/>
                    </w:rPr>
                  </w:pPr>
                  <w:r>
                    <w:rPr>
                      <w:rFonts w:hint="eastAsia"/>
                      <w:color w:val="auto"/>
                      <w:kern w:val="0"/>
                      <w:sz w:val="21"/>
                      <w:szCs w:val="21"/>
                    </w:rPr>
                    <w:t>符合</w:t>
                  </w:r>
                </w:p>
              </w:tc>
            </w:tr>
            <w:tr w14:paraId="3377D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jc w:val="center"/>
              </w:trPr>
              <w:tc>
                <w:tcPr>
                  <w:tcW w:w="5297" w:type="dxa"/>
                  <w:tcBorders>
                    <w:left w:val="nil"/>
                  </w:tcBorders>
                  <w:vAlign w:val="center"/>
                </w:tcPr>
                <w:p w14:paraId="5D3BE92B">
                  <w:pPr>
                    <w:autoSpaceDE w:val="0"/>
                    <w:autoSpaceDN w:val="0"/>
                    <w:adjustRightInd w:val="0"/>
                    <w:snapToGrid w:val="0"/>
                    <w:jc w:val="center"/>
                    <w:rPr>
                      <w:color w:val="auto"/>
                      <w:kern w:val="0"/>
                      <w:sz w:val="21"/>
                      <w:szCs w:val="21"/>
                    </w:rPr>
                  </w:pPr>
                  <w:r>
                    <w:rPr>
                      <w:rFonts w:hint="eastAsia"/>
                      <w:color w:val="auto"/>
                      <w:kern w:val="0"/>
                      <w:sz w:val="21"/>
                      <w:szCs w:val="21"/>
                    </w:rPr>
                    <w:t>着力推进臭氧污染防治。大力推进挥发性有机物和氮氧化物源头协同减排，加强消耗臭氧层物质和氢氟碳化物环境管理，推进企业升级改造和区域环境综合整治。实施溶剂型工业涂料等清洁原料替代。</w:t>
                  </w:r>
                </w:p>
              </w:tc>
              <w:tc>
                <w:tcPr>
                  <w:tcW w:w="1622" w:type="dxa"/>
                  <w:vAlign w:val="center"/>
                </w:tcPr>
                <w:p w14:paraId="60CF52C5">
                  <w:pPr>
                    <w:autoSpaceDE w:val="0"/>
                    <w:autoSpaceDN w:val="0"/>
                    <w:adjustRightInd w:val="0"/>
                    <w:snapToGrid w:val="0"/>
                    <w:jc w:val="center"/>
                    <w:rPr>
                      <w:color w:val="auto"/>
                      <w:kern w:val="0"/>
                      <w:sz w:val="21"/>
                      <w:szCs w:val="21"/>
                    </w:rPr>
                  </w:pPr>
                  <w:r>
                    <w:rPr>
                      <w:rFonts w:hint="eastAsia"/>
                      <w:color w:val="auto"/>
                      <w:kern w:val="0"/>
                      <w:sz w:val="21"/>
                      <w:szCs w:val="21"/>
                    </w:rPr>
                    <w:t>本项目不涉及氮氧化物、V</w:t>
                  </w:r>
                  <w:r>
                    <w:rPr>
                      <w:color w:val="auto"/>
                      <w:kern w:val="0"/>
                      <w:sz w:val="21"/>
                      <w:szCs w:val="21"/>
                    </w:rPr>
                    <w:t>OC</w:t>
                  </w:r>
                  <w:r>
                    <w:rPr>
                      <w:rFonts w:hint="eastAsia"/>
                      <w:color w:val="auto"/>
                      <w:kern w:val="0"/>
                      <w:sz w:val="21"/>
                      <w:szCs w:val="21"/>
                    </w:rPr>
                    <w:t>s的排放。</w:t>
                  </w:r>
                </w:p>
              </w:tc>
              <w:tc>
                <w:tcPr>
                  <w:tcW w:w="603" w:type="dxa"/>
                  <w:tcBorders>
                    <w:right w:val="nil"/>
                  </w:tcBorders>
                  <w:vAlign w:val="center"/>
                </w:tcPr>
                <w:p w14:paraId="4C56EFB8">
                  <w:pPr>
                    <w:autoSpaceDE w:val="0"/>
                    <w:autoSpaceDN w:val="0"/>
                    <w:adjustRightInd w:val="0"/>
                    <w:snapToGrid w:val="0"/>
                    <w:jc w:val="center"/>
                    <w:rPr>
                      <w:color w:val="auto"/>
                      <w:kern w:val="0"/>
                      <w:sz w:val="21"/>
                      <w:szCs w:val="21"/>
                    </w:rPr>
                  </w:pPr>
                  <w:r>
                    <w:rPr>
                      <w:rFonts w:hint="eastAsia"/>
                      <w:color w:val="auto"/>
                      <w:kern w:val="0"/>
                      <w:sz w:val="21"/>
                      <w:szCs w:val="21"/>
                    </w:rPr>
                    <w:t>符合</w:t>
                  </w:r>
                </w:p>
              </w:tc>
            </w:tr>
            <w:tr w14:paraId="57FFE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1" w:hRule="atLeast"/>
                <w:jc w:val="center"/>
              </w:trPr>
              <w:tc>
                <w:tcPr>
                  <w:tcW w:w="5297" w:type="dxa"/>
                  <w:tcBorders>
                    <w:left w:val="nil"/>
                  </w:tcBorders>
                  <w:vAlign w:val="center"/>
                </w:tcPr>
                <w:p w14:paraId="430ECF8B">
                  <w:pPr>
                    <w:autoSpaceDE w:val="0"/>
                    <w:autoSpaceDN w:val="0"/>
                    <w:adjustRightInd w:val="0"/>
                    <w:snapToGrid w:val="0"/>
                    <w:jc w:val="center"/>
                    <w:rPr>
                      <w:color w:val="auto"/>
                      <w:kern w:val="0"/>
                      <w:sz w:val="21"/>
                      <w:szCs w:val="21"/>
                    </w:rPr>
                  </w:pPr>
                  <w:r>
                    <w:rPr>
                      <w:rFonts w:hint="eastAsia"/>
                      <w:color w:val="auto"/>
                      <w:kern w:val="0"/>
                      <w:sz w:val="21"/>
                      <w:szCs w:val="21"/>
                    </w:rPr>
                    <w:t>强化“四尘”防治。强化施工扬尘精细管控，落实施工现场扬尘治理“六个100%"要求。强化道路扬尘精细管控，提高城市道路机扫率。强化运输扬尘精细管控，规范铁路、公路、港口等货运管理。强化堆场扬尘精细管控。</w:t>
                  </w:r>
                </w:p>
              </w:tc>
              <w:tc>
                <w:tcPr>
                  <w:tcW w:w="1622" w:type="dxa"/>
                  <w:vAlign w:val="center"/>
                </w:tcPr>
                <w:p w14:paraId="5557E79C">
                  <w:pPr>
                    <w:autoSpaceDE w:val="0"/>
                    <w:autoSpaceDN w:val="0"/>
                    <w:adjustRightInd w:val="0"/>
                    <w:snapToGrid w:val="0"/>
                    <w:jc w:val="center"/>
                    <w:rPr>
                      <w:color w:val="auto"/>
                      <w:kern w:val="0"/>
                      <w:sz w:val="21"/>
                      <w:szCs w:val="21"/>
                    </w:rPr>
                  </w:pPr>
                  <w:r>
                    <w:rPr>
                      <w:rFonts w:hint="eastAsia"/>
                      <w:color w:val="auto"/>
                      <w:kern w:val="0"/>
                      <w:sz w:val="21"/>
                      <w:szCs w:val="21"/>
                    </w:rPr>
                    <w:t>本项目施工期土建严格执行“六个1</w:t>
                  </w:r>
                  <w:r>
                    <w:rPr>
                      <w:color w:val="auto"/>
                      <w:kern w:val="0"/>
                      <w:sz w:val="21"/>
                      <w:szCs w:val="21"/>
                    </w:rPr>
                    <w:t>00</w:t>
                  </w:r>
                  <w:r>
                    <w:rPr>
                      <w:rFonts w:hint="eastAsia"/>
                      <w:color w:val="auto"/>
                      <w:kern w:val="0"/>
                      <w:sz w:val="21"/>
                      <w:szCs w:val="21"/>
                    </w:rPr>
                    <w:t>%要求”。</w:t>
                  </w:r>
                </w:p>
              </w:tc>
              <w:tc>
                <w:tcPr>
                  <w:tcW w:w="603" w:type="dxa"/>
                  <w:tcBorders>
                    <w:right w:val="nil"/>
                  </w:tcBorders>
                  <w:vAlign w:val="center"/>
                </w:tcPr>
                <w:p w14:paraId="7C9F4A5B">
                  <w:pPr>
                    <w:autoSpaceDE w:val="0"/>
                    <w:autoSpaceDN w:val="0"/>
                    <w:adjustRightInd w:val="0"/>
                    <w:snapToGrid w:val="0"/>
                    <w:jc w:val="center"/>
                    <w:rPr>
                      <w:color w:val="auto"/>
                      <w:kern w:val="0"/>
                      <w:sz w:val="21"/>
                      <w:szCs w:val="21"/>
                    </w:rPr>
                  </w:pPr>
                  <w:r>
                    <w:rPr>
                      <w:rFonts w:hint="eastAsia"/>
                      <w:color w:val="auto"/>
                      <w:kern w:val="0"/>
                      <w:sz w:val="21"/>
                      <w:szCs w:val="21"/>
                    </w:rPr>
                    <w:t>符合</w:t>
                  </w:r>
                </w:p>
              </w:tc>
            </w:tr>
            <w:tr w14:paraId="5794A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6" w:hRule="atLeast"/>
                <w:jc w:val="center"/>
              </w:trPr>
              <w:tc>
                <w:tcPr>
                  <w:tcW w:w="5297" w:type="dxa"/>
                  <w:tcBorders>
                    <w:left w:val="nil"/>
                  </w:tcBorders>
                  <w:vAlign w:val="center"/>
                </w:tcPr>
                <w:p w14:paraId="40C9017B">
                  <w:pPr>
                    <w:autoSpaceDE w:val="0"/>
                    <w:autoSpaceDN w:val="0"/>
                    <w:adjustRightInd w:val="0"/>
                    <w:snapToGrid w:val="0"/>
                    <w:jc w:val="center"/>
                    <w:rPr>
                      <w:color w:val="auto"/>
                      <w:kern w:val="0"/>
                      <w:sz w:val="21"/>
                      <w:szCs w:val="21"/>
                    </w:rPr>
                  </w:pPr>
                  <w:r>
                    <w:rPr>
                      <w:rFonts w:hint="eastAsia"/>
                      <w:color w:val="auto"/>
                      <w:kern w:val="0"/>
                      <w:sz w:val="21"/>
                      <w:szCs w:val="21"/>
                    </w:rPr>
                    <w:t>强化“三气”防治。强化工业废气精细管控，强化机动车尾气精细管控，持续打好柴油货车污染治理攻坚战，基本淘汰国三及以下排放标准汽车。强化燃煤锅炉废气精细管控，不再审批35蒸吨/小时及以下燃煤锅炉，不再新增燃煤导热油炉，鼓励现有燃煤锅炉、导热油炉改为清洁能源。推广工业园区集中供热，推动淘汰工业园区集中供热范围内分散燃煤锅炉</w:t>
                  </w:r>
                </w:p>
              </w:tc>
              <w:tc>
                <w:tcPr>
                  <w:tcW w:w="1622" w:type="dxa"/>
                  <w:vAlign w:val="center"/>
                </w:tcPr>
                <w:p w14:paraId="16DC0FC6">
                  <w:pPr>
                    <w:autoSpaceDE w:val="0"/>
                    <w:autoSpaceDN w:val="0"/>
                    <w:adjustRightInd w:val="0"/>
                    <w:snapToGrid w:val="0"/>
                    <w:jc w:val="center"/>
                    <w:rPr>
                      <w:color w:val="auto"/>
                      <w:kern w:val="0"/>
                      <w:sz w:val="21"/>
                      <w:szCs w:val="21"/>
                    </w:rPr>
                  </w:pPr>
                  <w:r>
                    <w:rPr>
                      <w:rFonts w:hint="eastAsia"/>
                      <w:color w:val="auto"/>
                      <w:kern w:val="0"/>
                      <w:sz w:val="21"/>
                      <w:szCs w:val="21"/>
                    </w:rPr>
                    <w:t>本项目不涉及锅炉</w:t>
                  </w:r>
                </w:p>
              </w:tc>
              <w:tc>
                <w:tcPr>
                  <w:tcW w:w="603" w:type="dxa"/>
                  <w:tcBorders>
                    <w:right w:val="nil"/>
                  </w:tcBorders>
                  <w:vAlign w:val="center"/>
                </w:tcPr>
                <w:p w14:paraId="48B132B9">
                  <w:pPr>
                    <w:autoSpaceDE w:val="0"/>
                    <w:autoSpaceDN w:val="0"/>
                    <w:adjustRightInd w:val="0"/>
                    <w:snapToGrid w:val="0"/>
                    <w:jc w:val="center"/>
                    <w:rPr>
                      <w:color w:val="auto"/>
                      <w:kern w:val="0"/>
                      <w:sz w:val="21"/>
                      <w:szCs w:val="21"/>
                    </w:rPr>
                  </w:pPr>
                  <w:r>
                    <w:rPr>
                      <w:rFonts w:hint="eastAsia"/>
                      <w:color w:val="auto"/>
                      <w:kern w:val="0"/>
                      <w:sz w:val="21"/>
                      <w:szCs w:val="21"/>
                    </w:rPr>
                    <w:t>符合</w:t>
                  </w:r>
                </w:p>
              </w:tc>
            </w:tr>
            <w:tr w14:paraId="4C7F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7" w:type="dxa"/>
                  <w:tcBorders>
                    <w:left w:val="nil"/>
                  </w:tcBorders>
                  <w:vAlign w:val="center"/>
                </w:tcPr>
                <w:p w14:paraId="7438E194">
                  <w:pPr>
                    <w:autoSpaceDE w:val="0"/>
                    <w:autoSpaceDN w:val="0"/>
                    <w:adjustRightInd w:val="0"/>
                    <w:snapToGrid w:val="0"/>
                    <w:jc w:val="center"/>
                    <w:rPr>
                      <w:color w:val="auto"/>
                      <w:kern w:val="0"/>
                      <w:sz w:val="21"/>
                      <w:szCs w:val="21"/>
                    </w:rPr>
                  </w:pPr>
                  <w:r>
                    <w:rPr>
                      <w:rFonts w:hint="eastAsia"/>
                      <w:color w:val="auto"/>
                      <w:kern w:val="0"/>
                      <w:sz w:val="21"/>
                      <w:szCs w:val="21"/>
                    </w:rPr>
                    <w:t>加强污水收集处理。开展城市老旧破损和易造成积水内涝问题的污水管网、雨污合流制管网诊断修复更新，有序推进管网错接混接漏接改造。加快补齐县（市、区）污水收集处理能力缺口。持续提升工业园区污水收集处理水平，推进园区污水处理设施一级A提标改造。推进污泥减量化资源化无害化处置。</w:t>
                  </w:r>
                </w:p>
              </w:tc>
              <w:tc>
                <w:tcPr>
                  <w:tcW w:w="1622" w:type="dxa"/>
                  <w:vAlign w:val="center"/>
                </w:tcPr>
                <w:p w14:paraId="1A858288">
                  <w:pPr>
                    <w:autoSpaceDE w:val="0"/>
                    <w:autoSpaceDN w:val="0"/>
                    <w:adjustRightInd w:val="0"/>
                    <w:snapToGrid w:val="0"/>
                    <w:jc w:val="center"/>
                    <w:rPr>
                      <w:color w:val="auto"/>
                      <w:kern w:val="0"/>
                      <w:sz w:val="21"/>
                      <w:szCs w:val="21"/>
                    </w:rPr>
                  </w:pPr>
                  <w:r>
                    <w:rPr>
                      <w:rFonts w:hint="eastAsia"/>
                      <w:color w:val="auto"/>
                      <w:kern w:val="0"/>
                      <w:sz w:val="21"/>
                      <w:szCs w:val="21"/>
                    </w:rPr>
                    <w:t>本项目位于江西省九江市庐山市</w:t>
                  </w:r>
                  <w:r>
                    <w:rPr>
                      <w:rFonts w:hint="eastAsia"/>
                      <w:color w:val="auto"/>
                      <w:kern w:val="0"/>
                      <w:sz w:val="21"/>
                      <w:szCs w:val="21"/>
                      <w:lang w:eastAsia="zh-CN"/>
                    </w:rPr>
                    <w:t>华林镇华林街西南侧</w:t>
                  </w:r>
                  <w:r>
                    <w:rPr>
                      <w:rFonts w:hint="eastAsia"/>
                      <w:color w:val="auto"/>
                      <w:kern w:val="0"/>
                      <w:sz w:val="21"/>
                      <w:szCs w:val="21"/>
                    </w:rPr>
                    <w:t>，项目废水经院内预处理后排放至华林镇集镇污水处理厂。</w:t>
                  </w:r>
                </w:p>
              </w:tc>
              <w:tc>
                <w:tcPr>
                  <w:tcW w:w="603" w:type="dxa"/>
                  <w:tcBorders>
                    <w:right w:val="nil"/>
                  </w:tcBorders>
                  <w:vAlign w:val="center"/>
                </w:tcPr>
                <w:p w14:paraId="28218601">
                  <w:pPr>
                    <w:autoSpaceDE w:val="0"/>
                    <w:autoSpaceDN w:val="0"/>
                    <w:adjustRightInd w:val="0"/>
                    <w:snapToGrid w:val="0"/>
                    <w:jc w:val="center"/>
                    <w:rPr>
                      <w:color w:val="auto"/>
                      <w:kern w:val="0"/>
                      <w:sz w:val="21"/>
                      <w:szCs w:val="21"/>
                    </w:rPr>
                  </w:pPr>
                  <w:r>
                    <w:rPr>
                      <w:rFonts w:hint="eastAsia"/>
                      <w:color w:val="auto"/>
                      <w:kern w:val="0"/>
                      <w:sz w:val="21"/>
                      <w:szCs w:val="21"/>
                    </w:rPr>
                    <w:t>符合</w:t>
                  </w:r>
                </w:p>
              </w:tc>
            </w:tr>
            <w:tr w14:paraId="629F0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9" w:hRule="atLeast"/>
                <w:jc w:val="center"/>
              </w:trPr>
              <w:tc>
                <w:tcPr>
                  <w:tcW w:w="5297" w:type="dxa"/>
                  <w:tcBorders>
                    <w:left w:val="nil"/>
                  </w:tcBorders>
                  <w:vAlign w:val="center"/>
                </w:tcPr>
                <w:p w14:paraId="01591C67">
                  <w:pPr>
                    <w:autoSpaceDE w:val="0"/>
                    <w:autoSpaceDN w:val="0"/>
                    <w:adjustRightInd w:val="0"/>
                    <w:snapToGrid w:val="0"/>
                    <w:jc w:val="center"/>
                    <w:rPr>
                      <w:color w:val="auto"/>
                      <w:kern w:val="0"/>
                      <w:sz w:val="21"/>
                      <w:szCs w:val="21"/>
                    </w:rPr>
                  </w:pPr>
                  <w:r>
                    <w:rPr>
                      <w:rFonts w:hint="eastAsia"/>
                      <w:color w:val="auto"/>
                      <w:kern w:val="0"/>
                      <w:sz w:val="21"/>
                      <w:szCs w:val="21"/>
                    </w:rPr>
                    <w:t>推进耕地污染防治和安全利用。强化土壤污染源头控制，开展耕地污染成因识别和排查，持续推进耕地周边涉镉等重金属重点行业企业排查整治。推进农用地安全利用示范工作，建立受污染耕地安全利用成效跟踪机制，动态调整耕地土壤环境质量类别。到2025年，受污染耕地安全利用率达到93%以上。</w:t>
                  </w:r>
                </w:p>
              </w:tc>
              <w:tc>
                <w:tcPr>
                  <w:tcW w:w="1622" w:type="dxa"/>
                  <w:vAlign w:val="center"/>
                </w:tcPr>
                <w:p w14:paraId="42F2995C">
                  <w:pPr>
                    <w:autoSpaceDE w:val="0"/>
                    <w:autoSpaceDN w:val="0"/>
                    <w:adjustRightInd w:val="0"/>
                    <w:snapToGrid w:val="0"/>
                    <w:jc w:val="center"/>
                    <w:rPr>
                      <w:color w:val="auto"/>
                      <w:kern w:val="0"/>
                      <w:sz w:val="21"/>
                      <w:szCs w:val="21"/>
                    </w:rPr>
                  </w:pPr>
                  <w:r>
                    <w:rPr>
                      <w:rFonts w:hint="eastAsia"/>
                      <w:color w:val="auto"/>
                      <w:kern w:val="0"/>
                      <w:sz w:val="21"/>
                      <w:szCs w:val="21"/>
                    </w:rPr>
                    <w:t>本项目对现有建筑楼改造，不涉及耕地</w:t>
                  </w:r>
                </w:p>
              </w:tc>
              <w:tc>
                <w:tcPr>
                  <w:tcW w:w="603" w:type="dxa"/>
                  <w:tcBorders>
                    <w:right w:val="nil"/>
                  </w:tcBorders>
                  <w:vAlign w:val="center"/>
                </w:tcPr>
                <w:p w14:paraId="7DCBF7C8">
                  <w:pPr>
                    <w:autoSpaceDE w:val="0"/>
                    <w:autoSpaceDN w:val="0"/>
                    <w:adjustRightInd w:val="0"/>
                    <w:snapToGrid w:val="0"/>
                    <w:jc w:val="center"/>
                    <w:rPr>
                      <w:color w:val="auto"/>
                      <w:kern w:val="0"/>
                      <w:sz w:val="21"/>
                      <w:szCs w:val="21"/>
                    </w:rPr>
                  </w:pPr>
                  <w:r>
                    <w:rPr>
                      <w:rFonts w:hint="eastAsia"/>
                      <w:color w:val="auto"/>
                      <w:kern w:val="0"/>
                      <w:sz w:val="21"/>
                      <w:szCs w:val="21"/>
                    </w:rPr>
                    <w:t>符合</w:t>
                  </w:r>
                </w:p>
              </w:tc>
            </w:tr>
            <w:tr w14:paraId="5C212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jc w:val="center"/>
              </w:trPr>
              <w:tc>
                <w:tcPr>
                  <w:tcW w:w="5297" w:type="dxa"/>
                  <w:tcBorders>
                    <w:left w:val="nil"/>
                  </w:tcBorders>
                  <w:vAlign w:val="center"/>
                </w:tcPr>
                <w:p w14:paraId="2757549E">
                  <w:pPr>
                    <w:autoSpaceDE w:val="0"/>
                    <w:autoSpaceDN w:val="0"/>
                    <w:adjustRightInd w:val="0"/>
                    <w:snapToGrid w:val="0"/>
                    <w:jc w:val="center"/>
                    <w:rPr>
                      <w:color w:val="auto"/>
                      <w:kern w:val="0"/>
                      <w:sz w:val="21"/>
                      <w:szCs w:val="21"/>
                    </w:rPr>
                  </w:pPr>
                  <w:r>
                    <w:rPr>
                      <w:rFonts w:hint="eastAsia"/>
                      <w:color w:val="auto"/>
                      <w:kern w:val="0"/>
                      <w:sz w:val="21"/>
                      <w:szCs w:val="21"/>
                    </w:rPr>
                    <w:t>推进建设用地风险管控和修复治理。从严管控重度污染地块规划用途，动态更新污染地块土壤环境管理信息，严格名录内地块建设用地准入管理。推进危险化学品生产企业搬迁改造和腾退地块风险管控与修复。</w:t>
                  </w:r>
                </w:p>
              </w:tc>
              <w:tc>
                <w:tcPr>
                  <w:tcW w:w="1622" w:type="dxa"/>
                  <w:vAlign w:val="center"/>
                </w:tcPr>
                <w:p w14:paraId="687B0A89">
                  <w:pPr>
                    <w:autoSpaceDE w:val="0"/>
                    <w:autoSpaceDN w:val="0"/>
                    <w:adjustRightInd w:val="0"/>
                    <w:snapToGrid w:val="0"/>
                    <w:jc w:val="center"/>
                    <w:rPr>
                      <w:color w:val="auto"/>
                      <w:kern w:val="0"/>
                      <w:sz w:val="21"/>
                      <w:szCs w:val="21"/>
                    </w:rPr>
                  </w:pPr>
                  <w:r>
                    <w:rPr>
                      <w:rFonts w:hint="eastAsia"/>
                      <w:color w:val="auto"/>
                      <w:kern w:val="0"/>
                      <w:sz w:val="21"/>
                      <w:szCs w:val="21"/>
                    </w:rPr>
                    <w:t>本项目不属于危险化学品生产企业，不属于地块风险管控范围内</w:t>
                  </w:r>
                </w:p>
              </w:tc>
              <w:tc>
                <w:tcPr>
                  <w:tcW w:w="603" w:type="dxa"/>
                  <w:tcBorders>
                    <w:right w:val="nil"/>
                  </w:tcBorders>
                  <w:vAlign w:val="center"/>
                </w:tcPr>
                <w:p w14:paraId="57707D0A">
                  <w:pPr>
                    <w:autoSpaceDE w:val="0"/>
                    <w:autoSpaceDN w:val="0"/>
                    <w:adjustRightInd w:val="0"/>
                    <w:snapToGrid w:val="0"/>
                    <w:jc w:val="center"/>
                    <w:rPr>
                      <w:color w:val="auto"/>
                      <w:kern w:val="0"/>
                      <w:sz w:val="21"/>
                      <w:szCs w:val="21"/>
                    </w:rPr>
                  </w:pPr>
                  <w:r>
                    <w:rPr>
                      <w:rFonts w:hint="eastAsia"/>
                      <w:color w:val="auto"/>
                      <w:kern w:val="0"/>
                      <w:sz w:val="21"/>
                      <w:szCs w:val="21"/>
                    </w:rPr>
                    <w:t>符合</w:t>
                  </w:r>
                </w:p>
              </w:tc>
            </w:tr>
            <w:tr w14:paraId="77C78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297" w:type="dxa"/>
                  <w:tcBorders>
                    <w:left w:val="nil"/>
                  </w:tcBorders>
                  <w:vAlign w:val="center"/>
                </w:tcPr>
                <w:p w14:paraId="0103AE9F">
                  <w:pPr>
                    <w:autoSpaceDE w:val="0"/>
                    <w:autoSpaceDN w:val="0"/>
                    <w:adjustRightInd w:val="0"/>
                    <w:snapToGrid w:val="0"/>
                    <w:jc w:val="center"/>
                    <w:rPr>
                      <w:color w:val="auto"/>
                      <w:kern w:val="0"/>
                      <w:sz w:val="21"/>
                      <w:szCs w:val="21"/>
                    </w:rPr>
                  </w:pPr>
                  <w:r>
                    <w:rPr>
                      <w:rFonts w:hint="eastAsia"/>
                      <w:color w:val="auto"/>
                      <w:kern w:val="0"/>
                      <w:sz w:val="21"/>
                      <w:szCs w:val="21"/>
                    </w:rPr>
                    <w:t>推进地下水污染管控和修复。持续开展地下水环境状况调查评估，加强地下水型饮用水水源补给区划定和保护，健全地下水环境信息共享机制，逐步完善地下水监测网络体系与评价体系。推进化工园区等重点污染源地下水污染风险管控、长江经济带地下水环境状况调查及风险评估项目，实施土壤地下水污染协同防治。</w:t>
                  </w:r>
                </w:p>
              </w:tc>
              <w:tc>
                <w:tcPr>
                  <w:tcW w:w="1622" w:type="dxa"/>
                  <w:vAlign w:val="center"/>
                </w:tcPr>
                <w:p w14:paraId="501241E5">
                  <w:pPr>
                    <w:autoSpaceDE w:val="0"/>
                    <w:autoSpaceDN w:val="0"/>
                    <w:adjustRightInd w:val="0"/>
                    <w:snapToGrid w:val="0"/>
                    <w:jc w:val="center"/>
                    <w:rPr>
                      <w:rFonts w:hint="default" w:eastAsia="宋体"/>
                      <w:color w:val="auto"/>
                      <w:kern w:val="0"/>
                      <w:sz w:val="21"/>
                      <w:szCs w:val="21"/>
                      <w:lang w:val="en-US" w:eastAsia="zh-CN"/>
                    </w:rPr>
                  </w:pPr>
                  <w:r>
                    <w:rPr>
                      <w:rFonts w:hint="eastAsia"/>
                      <w:color w:val="auto"/>
                      <w:kern w:val="0"/>
                      <w:sz w:val="21"/>
                      <w:szCs w:val="21"/>
                    </w:rPr>
                    <w:t>本项目建设运营对地下水</w:t>
                  </w:r>
                  <w:r>
                    <w:rPr>
                      <w:rFonts w:hint="eastAsia"/>
                      <w:color w:val="auto"/>
                      <w:kern w:val="0"/>
                      <w:sz w:val="21"/>
                      <w:szCs w:val="21"/>
                      <w:lang w:val="en-US" w:eastAsia="zh-CN"/>
                    </w:rPr>
                    <w:t>几乎无影响</w:t>
                  </w:r>
                </w:p>
              </w:tc>
              <w:tc>
                <w:tcPr>
                  <w:tcW w:w="603" w:type="dxa"/>
                  <w:tcBorders>
                    <w:right w:val="nil"/>
                  </w:tcBorders>
                  <w:vAlign w:val="center"/>
                </w:tcPr>
                <w:p w14:paraId="1705F991">
                  <w:pPr>
                    <w:autoSpaceDE w:val="0"/>
                    <w:autoSpaceDN w:val="0"/>
                    <w:adjustRightInd w:val="0"/>
                    <w:snapToGrid w:val="0"/>
                    <w:jc w:val="center"/>
                    <w:rPr>
                      <w:color w:val="auto"/>
                      <w:kern w:val="0"/>
                      <w:sz w:val="21"/>
                      <w:szCs w:val="21"/>
                    </w:rPr>
                  </w:pPr>
                  <w:r>
                    <w:rPr>
                      <w:rFonts w:hint="eastAsia"/>
                      <w:color w:val="auto"/>
                      <w:kern w:val="0"/>
                      <w:sz w:val="21"/>
                      <w:szCs w:val="21"/>
                    </w:rPr>
                    <w:t>符合</w:t>
                  </w:r>
                </w:p>
              </w:tc>
            </w:tr>
            <w:tr w14:paraId="557F3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7" w:type="dxa"/>
                  <w:tcBorders>
                    <w:left w:val="nil"/>
                  </w:tcBorders>
                  <w:vAlign w:val="center"/>
                </w:tcPr>
                <w:p w14:paraId="57B0FDEB">
                  <w:pPr>
                    <w:autoSpaceDE w:val="0"/>
                    <w:autoSpaceDN w:val="0"/>
                    <w:adjustRightInd w:val="0"/>
                    <w:snapToGrid w:val="0"/>
                    <w:jc w:val="center"/>
                    <w:rPr>
                      <w:color w:val="auto"/>
                      <w:kern w:val="0"/>
                      <w:sz w:val="21"/>
                      <w:szCs w:val="21"/>
                    </w:rPr>
                  </w:pPr>
                  <w:r>
                    <w:rPr>
                      <w:rFonts w:hint="eastAsia"/>
                      <w:color w:val="auto"/>
                      <w:kern w:val="0"/>
                      <w:sz w:val="21"/>
                      <w:szCs w:val="21"/>
                    </w:rPr>
                    <w:t>强化环境风险预警防控与应急。加强敏感区域和重点企业环境风险评估，实施分类分级风险管控，完成重点河流突发水污染事件联防联控“一河一策一图"全覆盖。强化生态环境应急队伍和应急能力建设，推进应急物资信息库建设。开展化学物质基本信息调查，加强新化学物质环境管理，落实企业风险防控主体责任。</w:t>
                  </w:r>
                </w:p>
              </w:tc>
              <w:tc>
                <w:tcPr>
                  <w:tcW w:w="1622" w:type="dxa"/>
                  <w:vAlign w:val="center"/>
                </w:tcPr>
                <w:p w14:paraId="254C59A9">
                  <w:pPr>
                    <w:autoSpaceDE w:val="0"/>
                    <w:autoSpaceDN w:val="0"/>
                    <w:adjustRightInd w:val="0"/>
                    <w:snapToGrid w:val="0"/>
                    <w:jc w:val="center"/>
                    <w:rPr>
                      <w:color w:val="auto"/>
                      <w:kern w:val="0"/>
                      <w:sz w:val="21"/>
                      <w:szCs w:val="21"/>
                    </w:rPr>
                  </w:pPr>
                  <w:r>
                    <w:rPr>
                      <w:rFonts w:hint="eastAsia"/>
                      <w:color w:val="auto"/>
                      <w:kern w:val="0"/>
                      <w:sz w:val="21"/>
                      <w:szCs w:val="21"/>
                    </w:rPr>
                    <w:t>项目所在地区风险防控体系较完善</w:t>
                  </w:r>
                </w:p>
              </w:tc>
              <w:tc>
                <w:tcPr>
                  <w:tcW w:w="603" w:type="dxa"/>
                  <w:tcBorders>
                    <w:right w:val="nil"/>
                  </w:tcBorders>
                  <w:vAlign w:val="center"/>
                </w:tcPr>
                <w:p w14:paraId="048AEE92">
                  <w:pPr>
                    <w:autoSpaceDE w:val="0"/>
                    <w:autoSpaceDN w:val="0"/>
                    <w:adjustRightInd w:val="0"/>
                    <w:snapToGrid w:val="0"/>
                    <w:jc w:val="center"/>
                    <w:rPr>
                      <w:color w:val="auto"/>
                      <w:kern w:val="0"/>
                      <w:sz w:val="21"/>
                      <w:szCs w:val="21"/>
                    </w:rPr>
                  </w:pPr>
                  <w:r>
                    <w:rPr>
                      <w:rFonts w:hint="eastAsia"/>
                      <w:color w:val="auto"/>
                      <w:kern w:val="0"/>
                      <w:sz w:val="21"/>
                      <w:szCs w:val="21"/>
                    </w:rPr>
                    <w:t>符合</w:t>
                  </w:r>
                </w:p>
              </w:tc>
            </w:tr>
            <w:tr w14:paraId="5897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jc w:val="center"/>
              </w:trPr>
              <w:tc>
                <w:tcPr>
                  <w:tcW w:w="5297" w:type="dxa"/>
                  <w:tcBorders>
                    <w:left w:val="nil"/>
                  </w:tcBorders>
                  <w:vAlign w:val="center"/>
                </w:tcPr>
                <w:p w14:paraId="5AFE5E24">
                  <w:pPr>
                    <w:autoSpaceDE w:val="0"/>
                    <w:autoSpaceDN w:val="0"/>
                    <w:adjustRightInd w:val="0"/>
                    <w:snapToGrid w:val="0"/>
                    <w:jc w:val="center"/>
                    <w:rPr>
                      <w:color w:val="auto"/>
                      <w:kern w:val="0"/>
                      <w:sz w:val="21"/>
                      <w:szCs w:val="21"/>
                    </w:rPr>
                  </w:pPr>
                  <w:r>
                    <w:rPr>
                      <w:rFonts w:hint="eastAsia"/>
                      <w:color w:val="auto"/>
                      <w:kern w:val="0"/>
                      <w:sz w:val="21"/>
                      <w:szCs w:val="21"/>
                    </w:rPr>
                    <w:t>提升危险废物收集与利用处置能力。按照“总量控制、适度超前”的原则布局危险废物利用处置设施。推进危险废物“点对点”定向利用。全面禁止进口“洋垃圾”。依法严厉打击危险废物非法转移、倾倒、处置等环境违法犯罪行为。加强医疗废物分类管理。</w:t>
                  </w:r>
                </w:p>
              </w:tc>
              <w:tc>
                <w:tcPr>
                  <w:tcW w:w="1622" w:type="dxa"/>
                  <w:vAlign w:val="center"/>
                </w:tcPr>
                <w:p w14:paraId="0D52DCE7">
                  <w:pPr>
                    <w:autoSpaceDE w:val="0"/>
                    <w:autoSpaceDN w:val="0"/>
                    <w:adjustRightInd w:val="0"/>
                    <w:snapToGrid w:val="0"/>
                    <w:jc w:val="center"/>
                    <w:rPr>
                      <w:color w:val="auto"/>
                      <w:kern w:val="0"/>
                      <w:sz w:val="21"/>
                      <w:szCs w:val="21"/>
                    </w:rPr>
                  </w:pPr>
                  <w:r>
                    <w:rPr>
                      <w:rFonts w:hint="eastAsia"/>
                      <w:color w:val="auto"/>
                      <w:kern w:val="0"/>
                      <w:sz w:val="21"/>
                      <w:szCs w:val="21"/>
                    </w:rPr>
                    <w:t>本项目危险废物收集后交由有资质的单位处置</w:t>
                  </w:r>
                </w:p>
              </w:tc>
              <w:tc>
                <w:tcPr>
                  <w:tcW w:w="603" w:type="dxa"/>
                  <w:tcBorders>
                    <w:right w:val="nil"/>
                  </w:tcBorders>
                  <w:vAlign w:val="center"/>
                </w:tcPr>
                <w:p w14:paraId="0555CA9F">
                  <w:pPr>
                    <w:autoSpaceDE w:val="0"/>
                    <w:autoSpaceDN w:val="0"/>
                    <w:adjustRightInd w:val="0"/>
                    <w:snapToGrid w:val="0"/>
                    <w:jc w:val="center"/>
                    <w:rPr>
                      <w:color w:val="auto"/>
                      <w:kern w:val="0"/>
                      <w:sz w:val="21"/>
                      <w:szCs w:val="21"/>
                    </w:rPr>
                  </w:pPr>
                  <w:r>
                    <w:rPr>
                      <w:rFonts w:hint="eastAsia"/>
                      <w:color w:val="auto"/>
                      <w:kern w:val="0"/>
                      <w:sz w:val="21"/>
                      <w:szCs w:val="21"/>
                    </w:rPr>
                    <w:t>符合</w:t>
                  </w:r>
                </w:p>
              </w:tc>
            </w:tr>
            <w:tr w14:paraId="01A23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5297" w:type="dxa"/>
                  <w:tcBorders>
                    <w:left w:val="nil"/>
                    <w:bottom w:val="single" w:color="auto" w:sz="2" w:space="0"/>
                  </w:tcBorders>
                  <w:vAlign w:val="center"/>
                </w:tcPr>
                <w:p w14:paraId="13F1F500">
                  <w:pPr>
                    <w:autoSpaceDE w:val="0"/>
                    <w:autoSpaceDN w:val="0"/>
                    <w:adjustRightInd w:val="0"/>
                    <w:snapToGrid w:val="0"/>
                    <w:jc w:val="center"/>
                    <w:rPr>
                      <w:color w:val="auto"/>
                      <w:kern w:val="0"/>
                      <w:sz w:val="21"/>
                      <w:szCs w:val="21"/>
                    </w:rPr>
                  </w:pPr>
                  <w:r>
                    <w:rPr>
                      <w:rFonts w:hint="eastAsia"/>
                      <w:color w:val="auto"/>
                      <w:kern w:val="0"/>
                      <w:sz w:val="21"/>
                      <w:szCs w:val="21"/>
                    </w:rPr>
                    <w:t>开展重金属和尾矿库污染综合治理。推进重点重金属减排，加强重金属污染综合治理，推进重点行业企业废水总铊治理。加强尾矿库环境风险隐患排查治理。</w:t>
                  </w:r>
                </w:p>
              </w:tc>
              <w:tc>
                <w:tcPr>
                  <w:tcW w:w="1622" w:type="dxa"/>
                  <w:tcBorders>
                    <w:bottom w:val="single" w:color="auto" w:sz="2" w:space="0"/>
                  </w:tcBorders>
                  <w:vAlign w:val="center"/>
                </w:tcPr>
                <w:p w14:paraId="57D5F6C6">
                  <w:pPr>
                    <w:autoSpaceDE w:val="0"/>
                    <w:autoSpaceDN w:val="0"/>
                    <w:adjustRightInd w:val="0"/>
                    <w:snapToGrid w:val="0"/>
                    <w:jc w:val="center"/>
                    <w:rPr>
                      <w:color w:val="auto"/>
                      <w:kern w:val="0"/>
                      <w:sz w:val="21"/>
                      <w:szCs w:val="21"/>
                    </w:rPr>
                  </w:pPr>
                  <w:r>
                    <w:rPr>
                      <w:rFonts w:hint="eastAsia"/>
                      <w:color w:val="auto"/>
                      <w:kern w:val="0"/>
                      <w:sz w:val="21"/>
                      <w:szCs w:val="21"/>
                    </w:rPr>
                    <w:t>本项目不涉及重金属和尾矿库、不涉及总铊排放</w:t>
                  </w:r>
                </w:p>
              </w:tc>
              <w:tc>
                <w:tcPr>
                  <w:tcW w:w="603" w:type="dxa"/>
                  <w:tcBorders>
                    <w:bottom w:val="single" w:color="auto" w:sz="2" w:space="0"/>
                    <w:right w:val="nil"/>
                  </w:tcBorders>
                  <w:vAlign w:val="center"/>
                </w:tcPr>
                <w:p w14:paraId="2318DC83">
                  <w:pPr>
                    <w:autoSpaceDE w:val="0"/>
                    <w:autoSpaceDN w:val="0"/>
                    <w:adjustRightInd w:val="0"/>
                    <w:snapToGrid w:val="0"/>
                    <w:jc w:val="center"/>
                    <w:rPr>
                      <w:color w:val="auto"/>
                      <w:kern w:val="0"/>
                      <w:sz w:val="21"/>
                      <w:szCs w:val="21"/>
                    </w:rPr>
                  </w:pPr>
                  <w:r>
                    <w:rPr>
                      <w:rFonts w:hint="eastAsia"/>
                      <w:color w:val="auto"/>
                      <w:kern w:val="0"/>
                      <w:sz w:val="21"/>
                      <w:szCs w:val="21"/>
                    </w:rPr>
                    <w:t>符合</w:t>
                  </w:r>
                </w:p>
              </w:tc>
            </w:tr>
            <w:tr w14:paraId="258AA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7" w:type="dxa"/>
                  <w:tcBorders>
                    <w:top w:val="single" w:color="auto" w:sz="2" w:space="0"/>
                    <w:left w:val="nil"/>
                    <w:bottom w:val="single" w:color="auto" w:sz="12" w:space="0"/>
                  </w:tcBorders>
                  <w:vAlign w:val="center"/>
                </w:tcPr>
                <w:p w14:paraId="0F401FEF">
                  <w:pPr>
                    <w:autoSpaceDE w:val="0"/>
                    <w:autoSpaceDN w:val="0"/>
                    <w:adjustRightInd w:val="0"/>
                    <w:snapToGrid w:val="0"/>
                    <w:jc w:val="center"/>
                    <w:rPr>
                      <w:color w:val="auto"/>
                      <w:kern w:val="0"/>
                      <w:sz w:val="21"/>
                      <w:szCs w:val="21"/>
                    </w:rPr>
                  </w:pPr>
                  <w:r>
                    <w:rPr>
                      <w:rFonts w:hint="eastAsia"/>
                      <w:color w:val="auto"/>
                      <w:kern w:val="0"/>
                      <w:sz w:val="21"/>
                      <w:szCs w:val="21"/>
                    </w:rPr>
                    <w:t>确保核与辐射安全。强化核技术利用辐射安全监管，严格核技术利用项目行政许可。加强辐射事故应急能力建设。到2025年，全市放射源辐射事故年发生率低于1.3起/每万枚。</w:t>
                  </w:r>
                </w:p>
              </w:tc>
              <w:tc>
                <w:tcPr>
                  <w:tcW w:w="1622" w:type="dxa"/>
                  <w:tcBorders>
                    <w:top w:val="single" w:color="auto" w:sz="2" w:space="0"/>
                    <w:bottom w:val="single" w:color="auto" w:sz="12" w:space="0"/>
                  </w:tcBorders>
                  <w:vAlign w:val="center"/>
                </w:tcPr>
                <w:p w14:paraId="1BBD5E1B">
                  <w:pPr>
                    <w:autoSpaceDE w:val="0"/>
                    <w:autoSpaceDN w:val="0"/>
                    <w:adjustRightInd w:val="0"/>
                    <w:snapToGrid w:val="0"/>
                    <w:jc w:val="center"/>
                    <w:rPr>
                      <w:color w:val="auto"/>
                      <w:kern w:val="0"/>
                      <w:sz w:val="21"/>
                      <w:szCs w:val="21"/>
                    </w:rPr>
                  </w:pPr>
                  <w:r>
                    <w:rPr>
                      <w:rFonts w:hint="eastAsia"/>
                      <w:color w:val="auto"/>
                      <w:kern w:val="0"/>
                      <w:sz w:val="21"/>
                      <w:szCs w:val="21"/>
                    </w:rPr>
                    <w:t>本项目不涉及核与辐射安全</w:t>
                  </w:r>
                </w:p>
              </w:tc>
              <w:tc>
                <w:tcPr>
                  <w:tcW w:w="603" w:type="dxa"/>
                  <w:tcBorders>
                    <w:top w:val="single" w:color="auto" w:sz="2" w:space="0"/>
                    <w:bottom w:val="single" w:color="auto" w:sz="12" w:space="0"/>
                    <w:right w:val="nil"/>
                  </w:tcBorders>
                  <w:vAlign w:val="center"/>
                </w:tcPr>
                <w:p w14:paraId="15846EC8">
                  <w:pPr>
                    <w:autoSpaceDE w:val="0"/>
                    <w:autoSpaceDN w:val="0"/>
                    <w:adjustRightInd w:val="0"/>
                    <w:snapToGrid w:val="0"/>
                    <w:jc w:val="center"/>
                    <w:rPr>
                      <w:color w:val="auto"/>
                      <w:kern w:val="0"/>
                      <w:sz w:val="21"/>
                      <w:szCs w:val="21"/>
                    </w:rPr>
                  </w:pPr>
                  <w:r>
                    <w:rPr>
                      <w:rFonts w:hint="eastAsia"/>
                      <w:color w:val="auto"/>
                      <w:kern w:val="0"/>
                      <w:sz w:val="21"/>
                      <w:szCs w:val="21"/>
                    </w:rPr>
                    <w:t>符合</w:t>
                  </w:r>
                </w:p>
              </w:tc>
            </w:tr>
          </w:tbl>
          <w:p w14:paraId="0CDADC2D">
            <w:pPr>
              <w:autoSpaceDE w:val="0"/>
              <w:autoSpaceDN w:val="0"/>
              <w:adjustRightInd w:val="0"/>
              <w:snapToGrid w:val="0"/>
              <w:spacing w:line="360" w:lineRule="auto"/>
              <w:ind w:firstLine="482" w:firstLineChars="200"/>
              <w:jc w:val="left"/>
              <w:rPr>
                <w:snapToGrid w:val="0"/>
                <w:color w:val="auto"/>
                <w:kern w:val="32"/>
                <w:sz w:val="24"/>
              </w:rPr>
            </w:pPr>
            <w:r>
              <w:rPr>
                <w:rFonts w:hint="eastAsia"/>
                <w:b/>
                <w:color w:val="auto"/>
                <w:kern w:val="0"/>
                <w:sz w:val="24"/>
              </w:rPr>
              <w:t>8、与《医疗废物管理条例》的相符性分析</w:t>
            </w:r>
          </w:p>
          <w:p w14:paraId="1626C57E">
            <w:pPr>
              <w:autoSpaceDE w:val="0"/>
              <w:autoSpaceDN w:val="0"/>
              <w:adjustRightInd w:val="0"/>
              <w:snapToGrid w:val="0"/>
              <w:spacing w:line="360" w:lineRule="auto"/>
              <w:ind w:firstLine="480" w:firstLineChars="200"/>
              <w:jc w:val="left"/>
              <w:rPr>
                <w:color w:val="auto"/>
                <w:kern w:val="0"/>
                <w:sz w:val="24"/>
              </w:rPr>
            </w:pPr>
            <w:r>
              <w:rPr>
                <w:rFonts w:hint="eastAsia"/>
                <w:color w:val="auto"/>
                <w:kern w:val="0"/>
                <w:sz w:val="24"/>
              </w:rPr>
              <w:t>本项目与《医疗废物管理条例》符合性分析见下表。</w:t>
            </w:r>
          </w:p>
          <w:p w14:paraId="346297B1">
            <w:pPr>
              <w:jc w:val="center"/>
              <w:rPr>
                <w:b/>
                <w:bCs/>
                <w:color w:val="auto"/>
                <w:szCs w:val="21"/>
                <w:lang w:val="zh-CN"/>
              </w:rPr>
            </w:pPr>
            <w:r>
              <w:rPr>
                <w:rFonts w:hint="eastAsia"/>
                <w:b/>
                <w:bCs/>
                <w:color w:val="auto"/>
                <w:szCs w:val="21"/>
                <w:lang w:val="zh-CN"/>
              </w:rPr>
              <w:t>表1-</w:t>
            </w:r>
            <w:r>
              <w:rPr>
                <w:rFonts w:hint="eastAsia"/>
                <w:b/>
                <w:bCs/>
                <w:color w:val="auto"/>
                <w:szCs w:val="21"/>
                <w:lang w:val="en-US" w:eastAsia="zh-CN"/>
              </w:rPr>
              <w:t>8</w:t>
            </w:r>
            <w:r>
              <w:rPr>
                <w:rFonts w:hint="eastAsia"/>
                <w:b/>
                <w:bCs/>
                <w:color w:val="auto"/>
                <w:szCs w:val="21"/>
                <w:lang w:val="zh-CN"/>
              </w:rPr>
              <w:t xml:space="preserve">  与《医疗废物管理条例》符合性分析一览表</w:t>
            </w:r>
          </w:p>
          <w:tbl>
            <w:tblPr>
              <w:tblStyle w:val="17"/>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61"/>
              <w:gridCol w:w="4064"/>
              <w:gridCol w:w="2236"/>
              <w:gridCol w:w="689"/>
            </w:tblGrid>
            <w:tr w14:paraId="22D8F7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1" w:type="dxa"/>
                  <w:vAlign w:val="center"/>
                </w:tcPr>
                <w:p w14:paraId="71DE085F">
                  <w:pPr>
                    <w:adjustRightInd w:val="0"/>
                    <w:snapToGrid w:val="0"/>
                    <w:jc w:val="center"/>
                    <w:rPr>
                      <w:b/>
                      <w:color w:val="auto"/>
                      <w:szCs w:val="21"/>
                    </w:rPr>
                  </w:pPr>
                  <w:r>
                    <w:rPr>
                      <w:rFonts w:hint="eastAsia"/>
                      <w:b/>
                      <w:color w:val="auto"/>
                      <w:szCs w:val="21"/>
                    </w:rPr>
                    <w:t>序号</w:t>
                  </w:r>
                </w:p>
              </w:tc>
              <w:tc>
                <w:tcPr>
                  <w:tcW w:w="4064" w:type="dxa"/>
                  <w:vAlign w:val="center"/>
                </w:tcPr>
                <w:p w14:paraId="0F20E373">
                  <w:pPr>
                    <w:adjustRightInd w:val="0"/>
                    <w:snapToGrid w:val="0"/>
                    <w:jc w:val="center"/>
                    <w:rPr>
                      <w:b/>
                      <w:color w:val="auto"/>
                      <w:szCs w:val="21"/>
                    </w:rPr>
                  </w:pPr>
                  <w:r>
                    <w:rPr>
                      <w:rFonts w:hint="eastAsia"/>
                      <w:b/>
                      <w:color w:val="auto"/>
                      <w:szCs w:val="21"/>
                    </w:rPr>
                    <w:t>《医疗废物管理条例》要求</w:t>
                  </w:r>
                </w:p>
              </w:tc>
              <w:tc>
                <w:tcPr>
                  <w:tcW w:w="2236" w:type="dxa"/>
                  <w:vAlign w:val="center"/>
                </w:tcPr>
                <w:p w14:paraId="6474B04D">
                  <w:pPr>
                    <w:adjustRightInd w:val="0"/>
                    <w:snapToGrid w:val="0"/>
                    <w:jc w:val="center"/>
                    <w:rPr>
                      <w:b/>
                      <w:color w:val="auto"/>
                      <w:szCs w:val="21"/>
                    </w:rPr>
                  </w:pPr>
                  <w:r>
                    <w:rPr>
                      <w:b/>
                      <w:color w:val="auto"/>
                      <w:szCs w:val="21"/>
                    </w:rPr>
                    <w:t>本项目</w:t>
                  </w:r>
                  <w:r>
                    <w:rPr>
                      <w:rFonts w:hint="eastAsia"/>
                      <w:b/>
                      <w:color w:val="auto"/>
                      <w:szCs w:val="21"/>
                    </w:rPr>
                    <w:t>实际情况</w:t>
                  </w:r>
                </w:p>
              </w:tc>
              <w:tc>
                <w:tcPr>
                  <w:tcW w:w="689" w:type="dxa"/>
                  <w:vAlign w:val="center"/>
                </w:tcPr>
                <w:p w14:paraId="2CE39400">
                  <w:pPr>
                    <w:adjustRightInd w:val="0"/>
                    <w:snapToGrid w:val="0"/>
                    <w:jc w:val="center"/>
                    <w:rPr>
                      <w:b/>
                      <w:color w:val="auto"/>
                      <w:szCs w:val="21"/>
                    </w:rPr>
                  </w:pPr>
                  <w:r>
                    <w:rPr>
                      <w:b/>
                      <w:color w:val="auto"/>
                      <w:szCs w:val="21"/>
                    </w:rPr>
                    <w:t>相符性</w:t>
                  </w:r>
                </w:p>
              </w:tc>
            </w:tr>
            <w:tr w14:paraId="5C97F7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66" w:hRule="atLeast"/>
              </w:trPr>
              <w:tc>
                <w:tcPr>
                  <w:tcW w:w="561" w:type="dxa"/>
                  <w:tcBorders>
                    <w:bottom w:val="single" w:color="auto" w:sz="2" w:space="0"/>
                  </w:tcBorders>
                  <w:vAlign w:val="center"/>
                </w:tcPr>
                <w:p w14:paraId="1E632325">
                  <w:pPr>
                    <w:adjustRightInd w:val="0"/>
                    <w:snapToGrid w:val="0"/>
                    <w:jc w:val="center"/>
                    <w:rPr>
                      <w:color w:val="auto"/>
                      <w:szCs w:val="21"/>
                    </w:rPr>
                  </w:pPr>
                  <w:r>
                    <w:rPr>
                      <w:rFonts w:hint="eastAsia"/>
                      <w:color w:val="auto"/>
                      <w:szCs w:val="21"/>
                    </w:rPr>
                    <w:t>1</w:t>
                  </w:r>
                </w:p>
              </w:tc>
              <w:tc>
                <w:tcPr>
                  <w:tcW w:w="4064" w:type="dxa"/>
                  <w:tcBorders>
                    <w:bottom w:val="single" w:color="auto" w:sz="2" w:space="0"/>
                  </w:tcBorders>
                  <w:vAlign w:val="center"/>
                </w:tcPr>
                <w:p w14:paraId="395F1205">
                  <w:pPr>
                    <w:adjustRightInd w:val="0"/>
                    <w:snapToGrid w:val="0"/>
                    <w:rPr>
                      <w:color w:val="auto"/>
                      <w:szCs w:val="21"/>
                    </w:rPr>
                  </w:pPr>
                  <w:r>
                    <w:rPr>
                      <w:rFonts w:hint="eastAsia"/>
                      <w:color w:val="auto"/>
                      <w:szCs w:val="21"/>
                    </w:rPr>
                    <w:t>第十一条</w:t>
                  </w:r>
                  <w:r>
                    <w:rPr>
                      <w:rFonts w:hint="eastAsia"/>
                      <w:color w:val="auto"/>
                      <w:szCs w:val="21"/>
                      <w:lang w:val="en-US" w:eastAsia="zh-CN"/>
                    </w:rPr>
                    <w:t xml:space="preserve"> </w:t>
                  </w:r>
                  <w:r>
                    <w:rPr>
                      <w:rFonts w:hint="eastAsia"/>
                      <w:color w:val="auto"/>
                      <w:szCs w:val="21"/>
                    </w:rPr>
                    <w:t>医疗卫生机构和医疗废物集中处置单位，应当依照《中华人民共和国固体废物污染环境防治法》的规定，执行危险废物转移联单管理制度。</w:t>
                  </w:r>
                </w:p>
              </w:tc>
              <w:tc>
                <w:tcPr>
                  <w:tcW w:w="2236" w:type="dxa"/>
                  <w:tcBorders>
                    <w:bottom w:val="single" w:color="auto" w:sz="2" w:space="0"/>
                  </w:tcBorders>
                  <w:vAlign w:val="center"/>
                </w:tcPr>
                <w:p w14:paraId="1A7C8782">
                  <w:pPr>
                    <w:adjustRightInd w:val="0"/>
                    <w:snapToGrid w:val="0"/>
                    <w:rPr>
                      <w:color w:val="auto"/>
                      <w:szCs w:val="21"/>
                    </w:rPr>
                  </w:pPr>
                  <w:r>
                    <w:rPr>
                      <w:rFonts w:hint="eastAsia"/>
                      <w:color w:val="auto"/>
                      <w:szCs w:val="21"/>
                    </w:rPr>
                    <w:t>本项目执行危险废物转移联单管理制度，制度上墙，每次进行医疗固废转移均填写转移联单。</w:t>
                  </w:r>
                </w:p>
              </w:tc>
              <w:tc>
                <w:tcPr>
                  <w:tcW w:w="689" w:type="dxa"/>
                  <w:tcBorders>
                    <w:bottom w:val="single" w:color="auto" w:sz="2" w:space="0"/>
                  </w:tcBorders>
                  <w:vAlign w:val="center"/>
                </w:tcPr>
                <w:p w14:paraId="4D44C3DC">
                  <w:pPr>
                    <w:adjustRightInd w:val="0"/>
                    <w:snapToGrid w:val="0"/>
                    <w:jc w:val="center"/>
                    <w:rPr>
                      <w:color w:val="auto"/>
                      <w:szCs w:val="21"/>
                    </w:rPr>
                  </w:pPr>
                  <w:r>
                    <w:rPr>
                      <w:rFonts w:hint="eastAsia"/>
                      <w:color w:val="auto"/>
                      <w:szCs w:val="21"/>
                    </w:rPr>
                    <w:t>符合</w:t>
                  </w:r>
                </w:p>
              </w:tc>
            </w:tr>
            <w:tr w14:paraId="0F218B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89" w:hRule="atLeast"/>
              </w:trPr>
              <w:tc>
                <w:tcPr>
                  <w:tcW w:w="561" w:type="dxa"/>
                  <w:tcBorders>
                    <w:top w:val="single" w:color="auto" w:sz="2" w:space="0"/>
                    <w:bottom w:val="single" w:color="auto" w:sz="2" w:space="0"/>
                  </w:tcBorders>
                  <w:vAlign w:val="center"/>
                </w:tcPr>
                <w:p w14:paraId="62352D8E">
                  <w:pPr>
                    <w:adjustRightInd w:val="0"/>
                    <w:snapToGrid w:val="0"/>
                    <w:jc w:val="center"/>
                    <w:rPr>
                      <w:color w:val="auto"/>
                      <w:szCs w:val="21"/>
                    </w:rPr>
                  </w:pPr>
                  <w:r>
                    <w:rPr>
                      <w:rFonts w:hint="eastAsia"/>
                      <w:color w:val="auto"/>
                      <w:szCs w:val="21"/>
                    </w:rPr>
                    <w:t>2</w:t>
                  </w:r>
                </w:p>
              </w:tc>
              <w:tc>
                <w:tcPr>
                  <w:tcW w:w="4064" w:type="dxa"/>
                  <w:tcBorders>
                    <w:top w:val="single" w:color="auto" w:sz="2" w:space="0"/>
                    <w:bottom w:val="single" w:color="auto" w:sz="2" w:space="0"/>
                  </w:tcBorders>
                  <w:vAlign w:val="center"/>
                </w:tcPr>
                <w:p w14:paraId="6180DA7E">
                  <w:pPr>
                    <w:adjustRightInd w:val="0"/>
                    <w:snapToGrid w:val="0"/>
                    <w:rPr>
                      <w:color w:val="auto"/>
                      <w:szCs w:val="21"/>
                    </w:rPr>
                  </w:pPr>
                  <w:r>
                    <w:rPr>
                      <w:rFonts w:hint="eastAsia"/>
                      <w:color w:val="auto"/>
                      <w:szCs w:val="21"/>
                    </w:rPr>
                    <w:t>第十二条 医疗卫生机构和医疗废物集中处置单位，应当对医疗废物进行登记，登记内容应当包括医疗废物的来源、种类、重量或者数量、交接时间、处置方法、最终去向以及经办人签名等项目。登记资料至少保存3年。</w:t>
                  </w:r>
                </w:p>
              </w:tc>
              <w:tc>
                <w:tcPr>
                  <w:tcW w:w="2236" w:type="dxa"/>
                  <w:tcBorders>
                    <w:top w:val="single" w:color="auto" w:sz="2" w:space="0"/>
                    <w:bottom w:val="single" w:color="auto" w:sz="2" w:space="0"/>
                  </w:tcBorders>
                  <w:vAlign w:val="center"/>
                </w:tcPr>
                <w:p w14:paraId="3D06D2D4">
                  <w:pPr>
                    <w:adjustRightInd w:val="0"/>
                    <w:snapToGrid w:val="0"/>
                    <w:rPr>
                      <w:color w:val="auto"/>
                      <w:szCs w:val="21"/>
                    </w:rPr>
                  </w:pPr>
                  <w:r>
                    <w:rPr>
                      <w:rFonts w:hint="eastAsia"/>
                      <w:color w:val="auto"/>
                      <w:szCs w:val="21"/>
                    </w:rPr>
                    <w:t>按照要求对医疗废物进行登记，登记资料保存五年。</w:t>
                  </w:r>
                </w:p>
              </w:tc>
              <w:tc>
                <w:tcPr>
                  <w:tcW w:w="689" w:type="dxa"/>
                  <w:tcBorders>
                    <w:top w:val="single" w:color="auto" w:sz="2" w:space="0"/>
                    <w:bottom w:val="single" w:color="auto" w:sz="2" w:space="0"/>
                  </w:tcBorders>
                  <w:vAlign w:val="center"/>
                </w:tcPr>
                <w:p w14:paraId="3E600D11">
                  <w:pPr>
                    <w:adjustRightInd w:val="0"/>
                    <w:snapToGrid w:val="0"/>
                    <w:jc w:val="center"/>
                    <w:rPr>
                      <w:color w:val="auto"/>
                      <w:szCs w:val="21"/>
                    </w:rPr>
                  </w:pPr>
                  <w:r>
                    <w:rPr>
                      <w:rFonts w:hint="eastAsia"/>
                      <w:color w:val="auto"/>
                      <w:szCs w:val="21"/>
                    </w:rPr>
                    <w:t>符合</w:t>
                  </w:r>
                </w:p>
              </w:tc>
            </w:tr>
            <w:tr w14:paraId="515042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52" w:hRule="atLeast"/>
              </w:trPr>
              <w:tc>
                <w:tcPr>
                  <w:tcW w:w="561" w:type="dxa"/>
                  <w:tcBorders>
                    <w:top w:val="single" w:color="auto" w:sz="2" w:space="0"/>
                    <w:bottom w:val="single" w:color="auto" w:sz="2" w:space="0"/>
                  </w:tcBorders>
                  <w:vAlign w:val="center"/>
                </w:tcPr>
                <w:p w14:paraId="1FA06441">
                  <w:pPr>
                    <w:adjustRightInd w:val="0"/>
                    <w:snapToGrid w:val="0"/>
                    <w:jc w:val="center"/>
                    <w:rPr>
                      <w:color w:val="auto"/>
                      <w:szCs w:val="21"/>
                    </w:rPr>
                  </w:pPr>
                  <w:r>
                    <w:rPr>
                      <w:rFonts w:hint="eastAsia"/>
                      <w:color w:val="auto"/>
                      <w:szCs w:val="21"/>
                    </w:rPr>
                    <w:t>3</w:t>
                  </w:r>
                </w:p>
              </w:tc>
              <w:tc>
                <w:tcPr>
                  <w:tcW w:w="4064" w:type="dxa"/>
                  <w:tcBorders>
                    <w:top w:val="single" w:color="auto" w:sz="2" w:space="0"/>
                    <w:bottom w:val="single" w:color="auto" w:sz="2" w:space="0"/>
                  </w:tcBorders>
                  <w:vAlign w:val="center"/>
                </w:tcPr>
                <w:p w14:paraId="67836AD9">
                  <w:pPr>
                    <w:adjustRightInd w:val="0"/>
                    <w:snapToGrid w:val="0"/>
                    <w:rPr>
                      <w:color w:val="auto"/>
                      <w:szCs w:val="21"/>
                    </w:rPr>
                  </w:pPr>
                  <w:r>
                    <w:rPr>
                      <w:rFonts w:hint="eastAsia"/>
                      <w:color w:val="auto"/>
                      <w:szCs w:val="21"/>
                    </w:rPr>
                    <w:t>第十三条 医疗卫生机构和医疗废物集中处置单位，应当采取有效措施，防止医疗废物流失、泄漏、扩散。发生医疗废物流失、泄漏、扩散时，医疗卫生机构和医疗废物集中处置单位应当采取减少危害的紧急处理措施，对致病人员提供医疗救护和现场救援；同时向所在地的县级人民政府卫生行政主管部门、环境保护行政主管部门报告，并向可能受到危害的单位和居民通报。</w:t>
                  </w:r>
                </w:p>
              </w:tc>
              <w:tc>
                <w:tcPr>
                  <w:tcW w:w="2236" w:type="dxa"/>
                  <w:tcBorders>
                    <w:top w:val="single" w:color="auto" w:sz="2" w:space="0"/>
                    <w:bottom w:val="single" w:color="auto" w:sz="2" w:space="0"/>
                  </w:tcBorders>
                  <w:vAlign w:val="center"/>
                </w:tcPr>
                <w:p w14:paraId="1B43CBFA">
                  <w:pPr>
                    <w:adjustRightInd w:val="0"/>
                    <w:snapToGrid w:val="0"/>
                    <w:rPr>
                      <w:color w:val="auto"/>
                      <w:szCs w:val="21"/>
                    </w:rPr>
                  </w:pPr>
                  <w:r>
                    <w:rPr>
                      <w:rFonts w:hint="eastAsia"/>
                      <w:color w:val="auto"/>
                      <w:szCs w:val="21"/>
                    </w:rPr>
                    <w:t>按照要求对</w:t>
                  </w:r>
                  <w:r>
                    <w:rPr>
                      <w:rFonts w:hint="eastAsia"/>
                      <w:color w:val="auto"/>
                      <w:szCs w:val="21"/>
                      <w:lang w:val="en-US" w:eastAsia="zh-CN"/>
                    </w:rPr>
                    <w:t>医疗废物</w:t>
                  </w:r>
                  <w:r>
                    <w:rPr>
                      <w:rFonts w:hint="eastAsia"/>
                      <w:color w:val="auto"/>
                      <w:szCs w:val="21"/>
                    </w:rPr>
                    <w:t>暂存间进行重点防渗，可做到防止医疗废物的流失、泄漏、扩散。</w:t>
                  </w:r>
                </w:p>
              </w:tc>
              <w:tc>
                <w:tcPr>
                  <w:tcW w:w="689" w:type="dxa"/>
                  <w:tcBorders>
                    <w:top w:val="single" w:color="auto" w:sz="2" w:space="0"/>
                    <w:bottom w:val="single" w:color="auto" w:sz="2" w:space="0"/>
                  </w:tcBorders>
                  <w:vAlign w:val="center"/>
                </w:tcPr>
                <w:p w14:paraId="7AC5F785">
                  <w:pPr>
                    <w:adjustRightInd w:val="0"/>
                    <w:snapToGrid w:val="0"/>
                    <w:jc w:val="center"/>
                    <w:rPr>
                      <w:color w:val="auto"/>
                      <w:szCs w:val="21"/>
                    </w:rPr>
                  </w:pPr>
                  <w:r>
                    <w:rPr>
                      <w:rFonts w:hint="eastAsia"/>
                      <w:color w:val="auto"/>
                      <w:szCs w:val="21"/>
                    </w:rPr>
                    <w:t>符合</w:t>
                  </w:r>
                </w:p>
              </w:tc>
            </w:tr>
            <w:tr w14:paraId="582660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77" w:hRule="atLeast"/>
              </w:trPr>
              <w:tc>
                <w:tcPr>
                  <w:tcW w:w="561" w:type="dxa"/>
                  <w:tcBorders>
                    <w:top w:val="single" w:color="auto" w:sz="2" w:space="0"/>
                    <w:bottom w:val="single" w:color="auto" w:sz="2" w:space="0"/>
                  </w:tcBorders>
                  <w:vAlign w:val="center"/>
                </w:tcPr>
                <w:p w14:paraId="5A470E8C">
                  <w:pPr>
                    <w:adjustRightInd w:val="0"/>
                    <w:snapToGrid w:val="0"/>
                    <w:jc w:val="center"/>
                    <w:rPr>
                      <w:color w:val="auto"/>
                      <w:szCs w:val="21"/>
                    </w:rPr>
                  </w:pPr>
                  <w:r>
                    <w:rPr>
                      <w:rFonts w:hint="eastAsia"/>
                      <w:color w:val="auto"/>
                      <w:szCs w:val="21"/>
                    </w:rPr>
                    <w:t>4</w:t>
                  </w:r>
                </w:p>
              </w:tc>
              <w:tc>
                <w:tcPr>
                  <w:tcW w:w="4064" w:type="dxa"/>
                  <w:tcBorders>
                    <w:top w:val="single" w:color="auto" w:sz="2" w:space="0"/>
                    <w:bottom w:val="single" w:color="auto" w:sz="2" w:space="0"/>
                  </w:tcBorders>
                  <w:vAlign w:val="center"/>
                </w:tcPr>
                <w:p w14:paraId="14A2DD85">
                  <w:pPr>
                    <w:adjustRightInd w:val="0"/>
                    <w:snapToGrid w:val="0"/>
                    <w:rPr>
                      <w:color w:val="auto"/>
                      <w:szCs w:val="21"/>
                    </w:rPr>
                  </w:pPr>
                  <w:r>
                    <w:rPr>
                      <w:rFonts w:hint="eastAsia"/>
                      <w:color w:val="auto"/>
                      <w:szCs w:val="21"/>
                    </w:rPr>
                    <w:t>第十六条 医疗卫生机构应当及时收集本单位产生的医疗废物，并按照类别分置于防渗漏、防锐器穿透的专用包装物或者密闭的容器内。</w:t>
                  </w:r>
                </w:p>
                <w:p w14:paraId="75C562D1">
                  <w:pPr>
                    <w:adjustRightInd w:val="0"/>
                    <w:snapToGrid w:val="0"/>
                    <w:rPr>
                      <w:color w:val="auto"/>
                      <w:szCs w:val="21"/>
                    </w:rPr>
                  </w:pPr>
                  <w:r>
                    <w:rPr>
                      <w:rFonts w:hint="eastAsia"/>
                      <w:color w:val="auto"/>
                      <w:szCs w:val="21"/>
                    </w:rPr>
                    <w:t>医疗废物专用包装物、容器，应当有明显的警示标识和警示说明。</w:t>
                  </w:r>
                </w:p>
                <w:p w14:paraId="3965BB4D">
                  <w:pPr>
                    <w:adjustRightInd w:val="0"/>
                    <w:snapToGrid w:val="0"/>
                    <w:rPr>
                      <w:color w:val="auto"/>
                      <w:szCs w:val="21"/>
                    </w:rPr>
                  </w:pPr>
                  <w:r>
                    <w:rPr>
                      <w:rFonts w:hint="eastAsia"/>
                      <w:color w:val="auto"/>
                      <w:szCs w:val="21"/>
                    </w:rPr>
                    <w:t>医疗废物专用包装物、容器的标准和警示标识的规定，由国务院卫生行政主管部门和环境保护行政主管部门共同制定。</w:t>
                  </w:r>
                </w:p>
              </w:tc>
              <w:tc>
                <w:tcPr>
                  <w:tcW w:w="2236" w:type="dxa"/>
                  <w:tcBorders>
                    <w:top w:val="single" w:color="auto" w:sz="2" w:space="0"/>
                    <w:bottom w:val="single" w:color="auto" w:sz="2" w:space="0"/>
                  </w:tcBorders>
                  <w:vAlign w:val="center"/>
                </w:tcPr>
                <w:p w14:paraId="304C65B0">
                  <w:pPr>
                    <w:adjustRightInd w:val="0"/>
                    <w:snapToGrid w:val="0"/>
                    <w:rPr>
                      <w:color w:val="auto"/>
                      <w:szCs w:val="21"/>
                    </w:rPr>
                  </w:pPr>
                  <w:r>
                    <w:rPr>
                      <w:rFonts w:hint="eastAsia"/>
                      <w:color w:val="auto"/>
                      <w:szCs w:val="21"/>
                    </w:rPr>
                    <w:t>项目内医疗废物</w:t>
                  </w:r>
                  <w:r>
                    <w:rPr>
                      <w:rFonts w:hint="eastAsia"/>
                      <w:color w:val="auto"/>
                      <w:szCs w:val="21"/>
                      <w:lang w:val="en-US" w:eastAsia="zh-CN"/>
                    </w:rPr>
                    <w:t>定期处理</w:t>
                  </w:r>
                  <w:r>
                    <w:rPr>
                      <w:rFonts w:hint="eastAsia"/>
                      <w:color w:val="auto"/>
                      <w:szCs w:val="21"/>
                    </w:rPr>
                    <w:t>，并按感染性废物、损伤性废物、化学、药物性废物用专用容器分类收集，并且收集容器应按相关规定规范设置标识。</w:t>
                  </w:r>
                </w:p>
              </w:tc>
              <w:tc>
                <w:tcPr>
                  <w:tcW w:w="689" w:type="dxa"/>
                  <w:tcBorders>
                    <w:top w:val="single" w:color="auto" w:sz="2" w:space="0"/>
                    <w:bottom w:val="single" w:color="auto" w:sz="2" w:space="0"/>
                  </w:tcBorders>
                  <w:vAlign w:val="center"/>
                </w:tcPr>
                <w:p w14:paraId="73B87213">
                  <w:pPr>
                    <w:adjustRightInd w:val="0"/>
                    <w:snapToGrid w:val="0"/>
                    <w:jc w:val="center"/>
                    <w:rPr>
                      <w:color w:val="auto"/>
                      <w:szCs w:val="21"/>
                    </w:rPr>
                  </w:pPr>
                  <w:r>
                    <w:rPr>
                      <w:rFonts w:hint="eastAsia"/>
                      <w:color w:val="auto"/>
                      <w:szCs w:val="21"/>
                    </w:rPr>
                    <w:t>符合</w:t>
                  </w:r>
                </w:p>
              </w:tc>
            </w:tr>
            <w:tr w14:paraId="505F9F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62" w:hRule="atLeast"/>
              </w:trPr>
              <w:tc>
                <w:tcPr>
                  <w:tcW w:w="561" w:type="dxa"/>
                  <w:tcBorders>
                    <w:top w:val="single" w:color="auto" w:sz="2" w:space="0"/>
                    <w:bottom w:val="single" w:color="auto" w:sz="12" w:space="0"/>
                  </w:tcBorders>
                  <w:vAlign w:val="center"/>
                </w:tcPr>
                <w:p w14:paraId="396E5779">
                  <w:pPr>
                    <w:adjustRightInd w:val="0"/>
                    <w:snapToGrid w:val="0"/>
                    <w:jc w:val="center"/>
                    <w:rPr>
                      <w:color w:val="auto"/>
                      <w:szCs w:val="21"/>
                    </w:rPr>
                  </w:pPr>
                  <w:r>
                    <w:rPr>
                      <w:rFonts w:hint="eastAsia"/>
                      <w:color w:val="auto"/>
                      <w:szCs w:val="21"/>
                    </w:rPr>
                    <w:t>5</w:t>
                  </w:r>
                </w:p>
              </w:tc>
              <w:tc>
                <w:tcPr>
                  <w:tcW w:w="4064" w:type="dxa"/>
                  <w:tcBorders>
                    <w:top w:val="single" w:color="auto" w:sz="2" w:space="0"/>
                    <w:bottom w:val="single" w:color="auto" w:sz="12" w:space="0"/>
                  </w:tcBorders>
                  <w:vAlign w:val="center"/>
                </w:tcPr>
                <w:p w14:paraId="138BCF20">
                  <w:pPr>
                    <w:adjustRightInd w:val="0"/>
                    <w:snapToGrid w:val="0"/>
                    <w:rPr>
                      <w:color w:val="auto"/>
                      <w:szCs w:val="21"/>
                    </w:rPr>
                  </w:pPr>
                  <w:r>
                    <w:rPr>
                      <w:rFonts w:hint="eastAsia"/>
                      <w:color w:val="auto"/>
                      <w:szCs w:val="21"/>
                    </w:rPr>
                    <w:t>第十七条 医疗卫生机构应当建立医疗废物的暂时贮存设施、设备，不得露天存放医疗废物；医疗废物暂时贮存的时间不得超过2天。医疗废物的暂时贮存设施、设备，应当远离医疗区、食品加工区和人员活动区以及生活垃圾存放场所，并设置明显的警示标识和防渗漏、防鼠、防蚊蝇、防蟑螂、防盗以及预防儿童接触等安全措施。医疗废物的暂时贮存设施、设备应当定期消毒和清洁。</w:t>
                  </w:r>
                </w:p>
              </w:tc>
              <w:tc>
                <w:tcPr>
                  <w:tcW w:w="2236" w:type="dxa"/>
                  <w:tcBorders>
                    <w:top w:val="single" w:color="auto" w:sz="2" w:space="0"/>
                    <w:bottom w:val="single" w:color="auto" w:sz="12" w:space="0"/>
                  </w:tcBorders>
                  <w:vAlign w:val="center"/>
                </w:tcPr>
                <w:p w14:paraId="22B090F8">
                  <w:pPr>
                    <w:adjustRightInd w:val="0"/>
                    <w:snapToGrid w:val="0"/>
                    <w:rPr>
                      <w:color w:val="auto"/>
                      <w:szCs w:val="21"/>
                    </w:rPr>
                  </w:pPr>
                  <w:r>
                    <w:rPr>
                      <w:rFonts w:hint="eastAsia"/>
                      <w:color w:val="auto"/>
                      <w:szCs w:val="21"/>
                    </w:rPr>
                    <w:t>项目内设置有独立医废暂存间及暂存设施，医疗废物密闭保存，并定期进行消毒和清洁，设置明显的警示标识。医疗废物暂时贮存的时间不超过2天。远离医疗区、食品加工区和人员活动区以及生活垃圾存放场所，医疗废物委托有资质单位清运处置。</w:t>
                  </w:r>
                </w:p>
              </w:tc>
              <w:tc>
                <w:tcPr>
                  <w:tcW w:w="689" w:type="dxa"/>
                  <w:tcBorders>
                    <w:top w:val="single" w:color="auto" w:sz="2" w:space="0"/>
                    <w:bottom w:val="single" w:color="auto" w:sz="12" w:space="0"/>
                  </w:tcBorders>
                  <w:vAlign w:val="center"/>
                </w:tcPr>
                <w:p w14:paraId="0E91706D">
                  <w:pPr>
                    <w:adjustRightInd w:val="0"/>
                    <w:snapToGrid w:val="0"/>
                    <w:jc w:val="center"/>
                    <w:rPr>
                      <w:color w:val="auto"/>
                      <w:szCs w:val="21"/>
                    </w:rPr>
                  </w:pPr>
                  <w:r>
                    <w:rPr>
                      <w:rFonts w:hint="eastAsia"/>
                      <w:color w:val="auto"/>
                      <w:szCs w:val="21"/>
                    </w:rPr>
                    <w:t>符合</w:t>
                  </w:r>
                </w:p>
              </w:tc>
            </w:tr>
          </w:tbl>
          <w:p w14:paraId="4BD293E4">
            <w:pPr>
              <w:autoSpaceDE w:val="0"/>
              <w:autoSpaceDN w:val="0"/>
              <w:adjustRightInd w:val="0"/>
              <w:snapToGrid w:val="0"/>
              <w:spacing w:line="360" w:lineRule="auto"/>
              <w:ind w:firstLine="480" w:firstLineChars="200"/>
              <w:jc w:val="left"/>
              <w:rPr>
                <w:color w:val="auto"/>
                <w:kern w:val="0"/>
                <w:sz w:val="24"/>
              </w:rPr>
            </w:pPr>
            <w:r>
              <w:rPr>
                <w:rFonts w:hint="eastAsia"/>
                <w:color w:val="auto"/>
                <w:kern w:val="0"/>
                <w:sz w:val="24"/>
              </w:rPr>
              <w:t>综上所述，项目医疗固废的管理、处置符合《医疗废物管理条例》的相关要求，项目医疗固废管理、处置合理。</w:t>
            </w:r>
          </w:p>
          <w:p w14:paraId="4ACA1274">
            <w:pPr>
              <w:pStyle w:val="54"/>
              <w:ind w:firstLine="498" w:firstLineChars="200"/>
              <w:jc w:val="left"/>
              <w:outlineLvl w:val="3"/>
              <w:rPr>
                <w:rFonts w:ascii="Times New Roman" w:hAnsi="Times New Roman" w:cs="宋体"/>
                <w:b/>
                <w:color w:val="auto"/>
              </w:rPr>
            </w:pPr>
            <w:r>
              <w:rPr>
                <w:rFonts w:hint="eastAsia" w:ascii="Times New Roman" w:hAnsi="Times New Roman" w:cs="宋体"/>
                <w:b/>
                <w:color w:val="auto"/>
              </w:rPr>
              <w:t>9、与《医疗机构废弃物综合整治方案的通知（国卫医办</w:t>
            </w:r>
            <w:r>
              <w:rPr>
                <w:rFonts w:ascii="Times New Roman" w:hAnsi="Times New Roman"/>
                <w:b/>
                <w:color w:val="auto"/>
              </w:rPr>
              <w:t>【2020】）3</w:t>
            </w:r>
            <w:r>
              <w:rPr>
                <w:rFonts w:hint="eastAsia" w:ascii="Times New Roman" w:hAnsi="Times New Roman" w:cs="宋体"/>
                <w:b/>
                <w:color w:val="auto"/>
              </w:rPr>
              <w:t>号》符合性分析</w:t>
            </w:r>
          </w:p>
          <w:p w14:paraId="4A1A8DEA">
            <w:pPr>
              <w:spacing w:line="360" w:lineRule="auto"/>
              <w:ind w:firstLine="480" w:firstLineChars="200"/>
              <w:rPr>
                <w:rFonts w:cs="宋体"/>
                <w:color w:val="auto"/>
                <w:sz w:val="24"/>
              </w:rPr>
            </w:pPr>
            <w:r>
              <w:rPr>
                <w:rFonts w:hint="eastAsia" w:cs="宋体"/>
                <w:color w:val="auto"/>
                <w:sz w:val="24"/>
              </w:rPr>
              <w:t>《医疗机构废弃物综合整治方案的通知（国卫医办</w:t>
            </w:r>
            <w:r>
              <w:rPr>
                <w:color w:val="auto"/>
                <w:sz w:val="24"/>
              </w:rPr>
              <w:t>【2020】）3</w:t>
            </w:r>
            <w:r>
              <w:rPr>
                <w:rFonts w:hint="eastAsia" w:cs="宋体"/>
                <w:color w:val="auto"/>
                <w:sz w:val="24"/>
              </w:rPr>
              <w:t>号》要求如下：做好医疗机构内部废弃物分类和管理；做好医疗废物处置；</w:t>
            </w:r>
          </w:p>
          <w:p w14:paraId="1C27B471">
            <w:pPr>
              <w:spacing w:line="360" w:lineRule="auto"/>
              <w:rPr>
                <w:rFonts w:cs="宋体"/>
                <w:color w:val="auto"/>
                <w:sz w:val="24"/>
              </w:rPr>
            </w:pPr>
            <w:r>
              <w:rPr>
                <w:rFonts w:hint="eastAsia" w:cs="宋体"/>
                <w:color w:val="auto"/>
                <w:sz w:val="24"/>
              </w:rPr>
              <w:t>做好生活垃圾管理；做好输液瓶（袋）回收利用；开展医疗机构废弃物专项整治；落实各项保障措施；做好宣传引导；开展总结评估。</w:t>
            </w:r>
          </w:p>
          <w:p w14:paraId="15E2D3C4">
            <w:pPr>
              <w:spacing w:line="360" w:lineRule="auto"/>
              <w:ind w:firstLine="480" w:firstLineChars="200"/>
              <w:rPr>
                <w:rFonts w:cs="宋体"/>
                <w:color w:val="auto"/>
                <w:sz w:val="24"/>
              </w:rPr>
            </w:pPr>
            <w:r>
              <w:rPr>
                <w:rFonts w:hint="eastAsia" w:cs="宋体"/>
                <w:color w:val="auto"/>
                <w:sz w:val="24"/>
              </w:rPr>
              <w:t>医疗机构须按照《医疗废物分类目录》等要求制定具体的分类收集清单。严格落实危险废物申报登记和管理计划备案要求，依法向生态环境部门申报医疗废物的种类、产生量、流向、贮存和处置等情况。严禁混合医疗废物、生活垃圾，严禁混放各类医疗废物。规范医疗废物贮存场所（设施）管理，不得露天存放。及时告知并将医疗废物交由持有危险废物经营许可证的集中处置单位，执行转移联单并做好交接登记，资料保存不少于</w:t>
            </w:r>
            <w:r>
              <w:rPr>
                <w:color w:val="auto"/>
                <w:sz w:val="24"/>
              </w:rPr>
              <w:t>3</w:t>
            </w:r>
            <w:r>
              <w:rPr>
                <w:rFonts w:hint="eastAsia" w:cs="宋体"/>
                <w:color w:val="auto"/>
                <w:sz w:val="24"/>
              </w:rPr>
              <w:t>年。医疗机构要严格落实生活垃圾分类管理有关政策，将非传染病患者或家属在就诊过程中产生的生活垃圾，以及医疗机构职工非医疗活动产生的生活垃圾，与医疗活动中产生的医疗废物、输液瓶（袋）等区别管理。做好医疗机构生活垃圾的接收、运输和处理工作。</w:t>
            </w:r>
          </w:p>
          <w:p w14:paraId="74E30A18">
            <w:pPr>
              <w:spacing w:line="360" w:lineRule="auto"/>
              <w:ind w:firstLine="480" w:firstLineChars="200"/>
              <w:rPr>
                <w:rFonts w:cs="宋体"/>
                <w:color w:val="auto"/>
                <w:sz w:val="24"/>
              </w:rPr>
            </w:pPr>
            <w:r>
              <w:rPr>
                <w:rFonts w:hint="eastAsia" w:cs="宋体"/>
                <w:color w:val="auto"/>
                <w:sz w:val="24"/>
              </w:rPr>
              <w:t>本项目为乡镇卫生院项目，各类废物均妥善分类收集，生活垃圾由市政环卫部门定期统一清运处理，危险废物按规定收集、贮存后，运往具有相应危废处置资质单位处置，避免了二次污染、交叉感染，严格执行转移清单，做好交接登记，资料保存时间为</w:t>
            </w:r>
            <w:r>
              <w:rPr>
                <w:color w:val="auto"/>
                <w:sz w:val="24"/>
              </w:rPr>
              <w:t>3</w:t>
            </w:r>
            <w:r>
              <w:rPr>
                <w:rFonts w:hint="eastAsia" w:cs="宋体"/>
                <w:color w:val="auto"/>
                <w:sz w:val="24"/>
              </w:rPr>
              <w:t>年。</w:t>
            </w:r>
          </w:p>
          <w:p w14:paraId="4209A911">
            <w:pPr>
              <w:pStyle w:val="54"/>
              <w:ind w:firstLine="498" w:firstLineChars="200"/>
              <w:jc w:val="left"/>
              <w:outlineLvl w:val="3"/>
              <w:rPr>
                <w:rFonts w:ascii="Times New Roman" w:hAnsi="Times New Roman" w:cs="宋体"/>
                <w:b/>
                <w:color w:val="auto"/>
              </w:rPr>
            </w:pPr>
            <w:r>
              <w:rPr>
                <w:rFonts w:hint="eastAsia" w:ascii="Times New Roman" w:hAnsi="Times New Roman" w:cs="宋体"/>
                <w:b/>
                <w:color w:val="auto"/>
              </w:rPr>
              <w:t>10、与《关于在医疗机构推进生活垃圾分类管理的通知》（国卫办医发[</w:t>
            </w:r>
            <w:r>
              <w:rPr>
                <w:rFonts w:ascii="Times New Roman" w:hAnsi="Times New Roman"/>
                <w:b/>
                <w:color w:val="auto"/>
              </w:rPr>
              <w:t>2017]30</w:t>
            </w:r>
            <w:r>
              <w:rPr>
                <w:rFonts w:hint="eastAsia" w:ascii="Times New Roman" w:hAnsi="Times New Roman" w:cs="宋体"/>
                <w:b/>
                <w:color w:val="auto"/>
              </w:rPr>
              <w:t>号）符合性分析</w:t>
            </w:r>
          </w:p>
          <w:p w14:paraId="700E92B6">
            <w:pPr>
              <w:spacing w:line="360" w:lineRule="auto"/>
              <w:ind w:firstLine="480" w:firstLineChars="200"/>
              <w:rPr>
                <w:rFonts w:cs="宋体"/>
                <w:color w:val="auto"/>
                <w:sz w:val="24"/>
              </w:rPr>
            </w:pPr>
            <w:r>
              <w:rPr>
                <w:rFonts w:hint="eastAsia" w:cs="宋体"/>
                <w:color w:val="auto"/>
                <w:sz w:val="24"/>
              </w:rPr>
              <w:t>《关于在医疗机构推进生活垃圾分类管理的通知》要求所有医疗机构应当实施生活垃圾分类管理。</w:t>
            </w:r>
          </w:p>
          <w:p w14:paraId="212255C6">
            <w:pPr>
              <w:spacing w:line="360" w:lineRule="auto"/>
              <w:ind w:firstLine="480" w:firstLineChars="200"/>
              <w:rPr>
                <w:rFonts w:cs="宋体"/>
                <w:color w:val="auto"/>
                <w:sz w:val="24"/>
              </w:rPr>
            </w:pPr>
            <w:r>
              <w:rPr>
                <w:rFonts w:hint="eastAsia" w:cs="宋体"/>
                <w:color w:val="auto"/>
                <w:sz w:val="24"/>
              </w:rPr>
              <w:t>医疗机构应当按照《医疗废物管理条例》等相关规定严格医疗废物的源头分类管理，规范收集暂存，严禁将医疗废物混入生活垃圾。医疗机构内产生的生活垃圾按照属性分为有害垃圾、易腐垃圾、可回收物和其他垃圾四类。</w:t>
            </w:r>
          </w:p>
          <w:p w14:paraId="7247420E">
            <w:pPr>
              <w:spacing w:line="360" w:lineRule="auto"/>
              <w:ind w:firstLine="480" w:firstLineChars="200"/>
              <w:rPr>
                <w:rFonts w:cs="宋体"/>
                <w:color w:val="auto"/>
                <w:sz w:val="24"/>
              </w:rPr>
            </w:pPr>
            <w:r>
              <w:rPr>
                <w:rFonts w:hint="eastAsia" w:cs="宋体"/>
                <w:color w:val="auto"/>
                <w:sz w:val="24"/>
              </w:rPr>
              <w:t>有害垃圾：主要包括废电池（镉镍电池、氧化汞电池、铅蓄电池等）、废荧光灯管（日光灯管、节能灯等）、废胶片及废相纸等。</w:t>
            </w:r>
          </w:p>
          <w:p w14:paraId="11E35062">
            <w:pPr>
              <w:spacing w:line="360" w:lineRule="auto"/>
              <w:ind w:firstLine="480" w:firstLineChars="200"/>
              <w:rPr>
                <w:rFonts w:cs="宋体"/>
                <w:color w:val="auto"/>
                <w:sz w:val="24"/>
              </w:rPr>
            </w:pPr>
            <w:r>
              <w:rPr>
                <w:rFonts w:hint="eastAsia" w:cs="宋体"/>
                <w:color w:val="auto"/>
                <w:sz w:val="24"/>
              </w:rPr>
              <w:t>易腐垃圾：主要包括食堂、办公楼等区域产生的餐厨垃圾、瓜果垃圾、花卉垃圾等。</w:t>
            </w:r>
          </w:p>
          <w:p w14:paraId="4A913B81">
            <w:pPr>
              <w:spacing w:line="360" w:lineRule="auto"/>
              <w:ind w:firstLine="480" w:firstLineChars="200"/>
              <w:rPr>
                <w:rFonts w:cs="宋体"/>
                <w:color w:val="auto"/>
                <w:sz w:val="24"/>
              </w:rPr>
            </w:pPr>
            <w:r>
              <w:rPr>
                <w:rFonts w:hint="eastAsia" w:cs="宋体"/>
                <w:color w:val="auto"/>
                <w:sz w:val="24"/>
              </w:rPr>
              <w:t>可回收物：主要包括塑料类包装袋、包装盒、包装箱，纸张，纸质外包装物，废弃电器电子产品。</w:t>
            </w:r>
          </w:p>
          <w:p w14:paraId="0A7F8B4C">
            <w:pPr>
              <w:spacing w:line="360" w:lineRule="auto"/>
              <w:ind w:firstLine="480" w:firstLineChars="200"/>
              <w:rPr>
                <w:rFonts w:cs="宋体"/>
                <w:color w:val="auto"/>
                <w:sz w:val="24"/>
              </w:rPr>
            </w:pPr>
            <w:r>
              <w:rPr>
                <w:rFonts w:hint="eastAsia" w:cs="宋体"/>
                <w:color w:val="auto"/>
                <w:sz w:val="24"/>
              </w:rPr>
              <w:t>（一）有害垃圾：</w:t>
            </w:r>
          </w:p>
          <w:p w14:paraId="2270503B">
            <w:pPr>
              <w:spacing w:line="360" w:lineRule="auto"/>
              <w:ind w:firstLine="480" w:firstLineChars="200"/>
              <w:rPr>
                <w:rFonts w:cs="宋体"/>
                <w:color w:val="auto"/>
                <w:sz w:val="24"/>
              </w:rPr>
            </w:pPr>
            <w:r>
              <w:rPr>
                <w:color w:val="auto"/>
                <w:sz w:val="24"/>
              </w:rPr>
              <w:t>1、</w:t>
            </w:r>
            <w:r>
              <w:rPr>
                <w:rFonts w:hint="eastAsia" w:cs="宋体"/>
                <w:color w:val="auto"/>
                <w:sz w:val="24"/>
              </w:rPr>
              <w:t>投放要求：医疗机构应当按照安全、便利、快捷的原则，集中或定点设立容器对不同品种的有害垃圾收集、暂存，并在醒目位置设置有害垃圾标志。</w:t>
            </w:r>
          </w:p>
          <w:p w14:paraId="30BCD060">
            <w:pPr>
              <w:spacing w:line="360" w:lineRule="auto"/>
              <w:ind w:firstLine="480" w:firstLineChars="200"/>
              <w:rPr>
                <w:rFonts w:cs="宋体"/>
                <w:color w:val="auto"/>
                <w:sz w:val="24"/>
              </w:rPr>
            </w:pPr>
            <w:r>
              <w:rPr>
                <w:color w:val="auto"/>
                <w:sz w:val="24"/>
              </w:rPr>
              <w:t>2、</w:t>
            </w:r>
            <w:r>
              <w:rPr>
                <w:rFonts w:hint="eastAsia" w:cs="宋体"/>
                <w:color w:val="auto"/>
                <w:sz w:val="24"/>
              </w:rPr>
              <w:t>处置要求：医疗机构应当与有资质的危险废物处置单位签订合同，根据有害垃圾的品种和产生数量合理确定或约定收运频率。</w:t>
            </w:r>
          </w:p>
          <w:p w14:paraId="3E7FD554">
            <w:pPr>
              <w:widowControl/>
              <w:spacing w:line="360" w:lineRule="auto"/>
              <w:ind w:firstLine="480" w:firstLineChars="200"/>
              <w:jc w:val="left"/>
              <w:rPr>
                <w:rFonts w:cs="宋体"/>
                <w:color w:val="auto"/>
                <w:sz w:val="24"/>
              </w:rPr>
            </w:pPr>
            <w:r>
              <w:rPr>
                <w:rFonts w:hint="eastAsia" w:cs="宋体"/>
                <w:color w:val="auto"/>
                <w:sz w:val="24"/>
              </w:rPr>
              <w:t>（二）易腐垃圾：</w:t>
            </w:r>
          </w:p>
          <w:p w14:paraId="41757FB3">
            <w:pPr>
              <w:widowControl/>
              <w:spacing w:line="360" w:lineRule="auto"/>
              <w:ind w:firstLine="480" w:firstLineChars="200"/>
              <w:jc w:val="left"/>
              <w:rPr>
                <w:rFonts w:cs="宋体"/>
                <w:color w:val="auto"/>
                <w:sz w:val="24"/>
              </w:rPr>
            </w:pPr>
            <w:r>
              <w:rPr>
                <w:color w:val="auto"/>
                <w:kern w:val="0"/>
                <w:sz w:val="24"/>
                <w:lang w:bidi="ar"/>
              </w:rPr>
              <w:t>1、</w:t>
            </w:r>
            <w:r>
              <w:rPr>
                <w:rFonts w:hint="eastAsia" w:cs="宋体"/>
                <w:color w:val="auto"/>
                <w:kern w:val="0"/>
                <w:sz w:val="24"/>
                <w:lang w:bidi="ar"/>
              </w:rPr>
              <w:t>投放要求：医疗机构应当在易腐垃圾主要产生区域设置专门容器单独投放易腐垃圾，原则上应采用密闭容器存放。</w:t>
            </w:r>
          </w:p>
          <w:p w14:paraId="64B6ECBB">
            <w:pPr>
              <w:widowControl/>
              <w:spacing w:line="360" w:lineRule="auto"/>
              <w:ind w:firstLine="480" w:firstLineChars="200"/>
              <w:jc w:val="left"/>
              <w:rPr>
                <w:rFonts w:cs="宋体"/>
                <w:color w:val="auto"/>
                <w:kern w:val="0"/>
                <w:sz w:val="24"/>
                <w:lang w:bidi="ar"/>
              </w:rPr>
            </w:pPr>
            <w:r>
              <w:rPr>
                <w:color w:val="auto"/>
                <w:kern w:val="0"/>
                <w:sz w:val="24"/>
                <w:lang w:bidi="ar"/>
              </w:rPr>
              <w:t>2、</w:t>
            </w:r>
            <w:r>
              <w:rPr>
                <w:rFonts w:hint="eastAsia" w:cs="宋体"/>
                <w:color w:val="auto"/>
                <w:kern w:val="0"/>
                <w:sz w:val="24"/>
                <w:lang w:bidi="ar"/>
              </w:rPr>
              <w:t>处置要求：医疗机构可与易腐垃圾专业处置单位签订合同，每日产生的易腐垃圾由易腐垃圾专业处置单位上门收集并处理。有条件的医疗机构可采用生物转化有机肥等技术就地处置易腐垃圾。</w:t>
            </w:r>
          </w:p>
          <w:p w14:paraId="322F76D6">
            <w:pPr>
              <w:widowControl/>
              <w:spacing w:line="360" w:lineRule="auto"/>
              <w:ind w:firstLine="480" w:firstLineChars="200"/>
              <w:jc w:val="both"/>
              <w:rPr>
                <w:rFonts w:cs="宋体"/>
                <w:color w:val="auto"/>
                <w:sz w:val="24"/>
              </w:rPr>
            </w:pPr>
            <w:r>
              <w:rPr>
                <w:rFonts w:hint="eastAsia" w:cs="宋体"/>
                <w:color w:val="auto"/>
                <w:kern w:val="0"/>
                <w:sz w:val="24"/>
                <w:lang w:bidi="ar"/>
              </w:rPr>
              <w:t>（三）可回收物：</w:t>
            </w:r>
          </w:p>
          <w:p w14:paraId="33F39D97">
            <w:pPr>
              <w:widowControl/>
              <w:spacing w:line="360" w:lineRule="auto"/>
              <w:ind w:firstLine="480" w:firstLineChars="200"/>
              <w:jc w:val="both"/>
              <w:rPr>
                <w:rFonts w:cs="宋体"/>
                <w:color w:val="auto"/>
                <w:sz w:val="24"/>
              </w:rPr>
            </w:pPr>
            <w:r>
              <w:rPr>
                <w:color w:val="auto"/>
                <w:kern w:val="0"/>
                <w:sz w:val="24"/>
                <w:lang w:bidi="ar"/>
              </w:rPr>
              <w:t>1、</w:t>
            </w:r>
            <w:r>
              <w:rPr>
                <w:rFonts w:hint="eastAsia" w:cs="宋体"/>
                <w:color w:val="auto"/>
                <w:kern w:val="0"/>
                <w:sz w:val="24"/>
                <w:lang w:bidi="ar"/>
              </w:rPr>
              <w:t>投放要求：医疗机构应当根据可回收物的种类和产生量，设置专门容器和临时存储空间，定点投放和暂存，必要时可设专人分拣打包，做到标识明显。</w:t>
            </w:r>
          </w:p>
          <w:p w14:paraId="6AD92FB7">
            <w:pPr>
              <w:widowControl/>
              <w:spacing w:line="360" w:lineRule="auto"/>
              <w:ind w:firstLine="480" w:firstLineChars="200"/>
              <w:jc w:val="both"/>
              <w:rPr>
                <w:rFonts w:cs="宋体"/>
                <w:color w:val="auto"/>
                <w:kern w:val="0"/>
                <w:sz w:val="24"/>
                <w:lang w:bidi="ar"/>
              </w:rPr>
            </w:pPr>
            <w:r>
              <w:rPr>
                <w:color w:val="auto"/>
                <w:kern w:val="0"/>
                <w:sz w:val="24"/>
                <w:lang w:bidi="ar"/>
              </w:rPr>
              <w:t>2、</w:t>
            </w:r>
            <w:r>
              <w:rPr>
                <w:rFonts w:hint="eastAsia" w:cs="宋体"/>
                <w:color w:val="auto"/>
                <w:kern w:val="0"/>
                <w:sz w:val="24"/>
                <w:lang w:bidi="ar"/>
              </w:rPr>
              <w:t>处置要求：医疗机构应当统一处置本单位产生的可回收物，与再生资源回收单位做好交接、登记和统计工作，实现可回收物的可追溯。再生资源回收单位向再生资源利用单位提供可回收物时，应当说明来源并做好交接登记，确保可追溯。再生资源利用单位利用这类可回收物时不得用于原用途，用于其他用途时不应危害人体健康。</w:t>
            </w:r>
          </w:p>
          <w:p w14:paraId="42C58806">
            <w:pPr>
              <w:widowControl/>
              <w:spacing w:line="360" w:lineRule="auto"/>
              <w:ind w:firstLine="480" w:firstLineChars="200"/>
              <w:jc w:val="both"/>
              <w:rPr>
                <w:rFonts w:cs="宋体"/>
                <w:color w:val="auto"/>
                <w:kern w:val="0"/>
                <w:sz w:val="24"/>
                <w:lang w:bidi="ar"/>
              </w:rPr>
            </w:pPr>
            <w:r>
              <w:rPr>
                <w:rFonts w:hint="eastAsia" w:cs="宋体"/>
                <w:color w:val="auto"/>
                <w:kern w:val="0"/>
                <w:sz w:val="24"/>
                <w:lang w:bidi="ar"/>
              </w:rPr>
              <w:t>本项目产生的生活垃圾按要求分类收集，产生的有害垃圾交由有相应危废处置资质单位处置，易腐垃圾交由易腐垃圾专业处置单位处置，可回收物交由相应的物资回收单位回收处理，其他垃圾统一交由环卫部门处置。</w:t>
            </w:r>
          </w:p>
          <w:p w14:paraId="16BEB613">
            <w:pPr>
              <w:pStyle w:val="54"/>
              <w:ind w:firstLine="498" w:firstLineChars="200"/>
              <w:jc w:val="left"/>
              <w:outlineLvl w:val="3"/>
              <w:rPr>
                <w:rFonts w:ascii="Times New Roman" w:hAnsi="Times New Roman" w:cs="宋体"/>
                <w:b/>
                <w:color w:val="auto"/>
              </w:rPr>
            </w:pPr>
            <w:r>
              <w:rPr>
                <w:rFonts w:hint="eastAsia" w:ascii="Times New Roman" w:hAnsi="Times New Roman" w:cs="宋体"/>
                <w:b/>
                <w:color w:val="auto"/>
              </w:rPr>
              <w:t>11、与《卫办医发</w:t>
            </w:r>
            <w:r>
              <w:rPr>
                <w:rFonts w:ascii="Times New Roman" w:hAnsi="Times New Roman" w:cs="宋体"/>
                <w:b/>
                <w:color w:val="auto"/>
              </w:rPr>
              <w:t>(2005)292</w:t>
            </w:r>
            <w:r>
              <w:rPr>
                <w:rFonts w:hint="eastAsia" w:ascii="Times New Roman" w:hAnsi="Times New Roman" w:cs="宋体"/>
                <w:b/>
                <w:color w:val="auto"/>
              </w:rPr>
              <w:t>号》相符性分析</w:t>
            </w:r>
          </w:p>
          <w:p w14:paraId="2EECB9D8">
            <w:pPr>
              <w:pStyle w:val="3"/>
              <w:spacing w:before="0" w:after="0" w:line="360" w:lineRule="auto"/>
              <w:ind w:firstLine="468" w:firstLineChars="195"/>
              <w:rPr>
                <w:rFonts w:ascii="Times New Roman" w:hAnsi="Times New Roman" w:cs="宋体"/>
                <w:color w:val="auto"/>
                <w:kern w:val="2"/>
                <w:sz w:val="24"/>
                <w:szCs w:val="24"/>
              </w:rPr>
            </w:pPr>
            <w:r>
              <w:rPr>
                <w:rFonts w:hint="eastAsia" w:ascii="Times New Roman" w:hAnsi="Times New Roman" w:cs="宋体"/>
                <w:color w:val="auto"/>
                <w:kern w:val="2"/>
                <w:sz w:val="24"/>
                <w:szCs w:val="24"/>
              </w:rPr>
              <w:t>使用后的输液瓶不属于医疗废物</w:t>
            </w:r>
            <w:r>
              <w:rPr>
                <w:rFonts w:hint="eastAsia" w:ascii="Times New Roman" w:hAnsi="Times New Roman" w:cs="宋体"/>
                <w:color w:val="auto"/>
                <w:kern w:val="2"/>
                <w:sz w:val="24"/>
                <w:szCs w:val="24"/>
                <w:lang w:eastAsia="zh-CN"/>
              </w:rPr>
              <w:t>，</w:t>
            </w:r>
            <w:r>
              <w:rPr>
                <w:rFonts w:hint="eastAsia" w:ascii="Times New Roman" w:hAnsi="Times New Roman" w:cs="宋体"/>
                <w:color w:val="auto"/>
                <w:kern w:val="2"/>
                <w:sz w:val="24"/>
                <w:szCs w:val="24"/>
              </w:rPr>
              <w:t>根据原卫生部联合环境保护部印发的《关于明确医疗废物分类有关问题的通知》（卫办医发〔2005)292号）规定：使用后的各种玻璃（一次性塑料）输液瓶（袋）未被病人血液、体液、排泄物污染的，不属于医疗废物，不必按照医疗废物进行管理，但这类废物回收利用时不能用于原用途，用于其他用途时应当符合不危害人体健康的原则；使用后的一次性医疗器械，不论是否剪除针头，是否被病人体液、血液、排泄物污染，均属医疗废物，均应当作为医疗废物进行管理。</w:t>
            </w:r>
          </w:p>
          <w:p w14:paraId="1E00305B">
            <w:pPr>
              <w:spacing w:line="360" w:lineRule="auto"/>
              <w:ind w:firstLine="480" w:firstLineChars="200"/>
              <w:rPr>
                <w:rFonts w:hint="eastAsia" w:cs="宋体"/>
                <w:color w:val="auto"/>
                <w:sz w:val="24"/>
              </w:rPr>
            </w:pPr>
            <w:r>
              <w:rPr>
                <w:rFonts w:hint="eastAsia" w:cs="宋体"/>
                <w:color w:val="auto"/>
                <w:sz w:val="24"/>
              </w:rPr>
              <w:t>本项目产生的医疗废物采用医院废物专用垃圾袋密封后放置于医疗垃圾桶内暂存于危险废物暂存库，定期交由有医疗废物处置资质的单位集中处置。使用后的输液瓶不属于医疗废物。医院对于未被患者血液、体液和排泄物等污染的输液瓶（袋）和残留少量经稀释的普通药液的输液瓶（袋），应当在其与输液管连接处去除输液管后单独集中回收、存放。去除后的输液管、针头等应当严格按照医疗废物处理。废输液瓶（袋）、包装纸盒、包装塑料盒等医药包装材料属于一般固体废物，由废旧资源回收单位回收利用。故本项目的建设符合《卫办医发</w:t>
            </w:r>
            <w:r>
              <w:rPr>
                <w:color w:val="auto"/>
                <w:sz w:val="24"/>
              </w:rPr>
              <w:t>(2005)292</w:t>
            </w:r>
            <w:r>
              <w:rPr>
                <w:rFonts w:hint="eastAsia" w:cs="宋体"/>
                <w:color w:val="auto"/>
                <w:sz w:val="24"/>
              </w:rPr>
              <w:t>号卫生部关于明确医疗废物分类有关问题通知》的相关规定。</w:t>
            </w:r>
          </w:p>
        </w:tc>
      </w:tr>
    </w:tbl>
    <w:p w14:paraId="06BD4505">
      <w:pPr>
        <w:pStyle w:val="23"/>
        <w:ind w:left="67"/>
        <w:rPr>
          <w:color w:val="auto"/>
          <w:sz w:val="30"/>
        </w:rPr>
      </w:pPr>
    </w:p>
    <w:p w14:paraId="3FF85FBC">
      <w:pPr>
        <w:pStyle w:val="23"/>
        <w:ind w:left="67"/>
        <w:rPr>
          <w:color w:val="auto"/>
          <w:sz w:val="30"/>
        </w:rPr>
        <w:sectPr>
          <w:footerReference r:id="rId5" w:type="default"/>
          <w:pgSz w:w="11906" w:h="16838"/>
          <w:pgMar w:top="1701" w:right="1531" w:bottom="1701" w:left="1531" w:header="851" w:footer="1077" w:gutter="0"/>
          <w:pgNumType w:start="1"/>
          <w:cols w:space="720" w:num="1"/>
          <w:docGrid w:linePitch="312" w:charSpace="0"/>
        </w:sectPr>
      </w:pPr>
    </w:p>
    <w:p w14:paraId="60207FCF">
      <w:pPr>
        <w:pStyle w:val="16"/>
        <w:numPr>
          <w:ilvl w:val="0"/>
          <w:numId w:val="5"/>
        </w:numPr>
        <w:jc w:val="center"/>
        <w:outlineLvl w:val="0"/>
        <w:rPr>
          <w:rFonts w:ascii="Times New Roman" w:hAnsi="Times New Roman"/>
          <w:b/>
          <w:bCs/>
          <w:snapToGrid w:val="0"/>
          <w:color w:val="auto"/>
          <w:sz w:val="30"/>
          <w:szCs w:val="30"/>
        </w:rPr>
      </w:pPr>
      <w:bookmarkStart w:id="5" w:name="_Toc17291"/>
      <w:bookmarkStart w:id="6" w:name="_Hlk141865748"/>
      <w:r>
        <w:rPr>
          <w:rFonts w:ascii="Times New Roman" w:hAnsi="Times New Roman"/>
          <w:b/>
          <w:bCs/>
          <w:snapToGrid w:val="0"/>
          <w:color w:val="auto"/>
          <w:sz w:val="30"/>
          <w:szCs w:val="30"/>
        </w:rPr>
        <w:t>建设项目工程分析</w:t>
      </w:r>
      <w:bookmarkEnd w:id="5"/>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5"/>
        <w:gridCol w:w="8615"/>
      </w:tblGrid>
      <w:tr w14:paraId="7850D4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48" w:hRule="atLeast"/>
          <w:jc w:val="center"/>
        </w:trPr>
        <w:tc>
          <w:tcPr>
            <w:tcW w:w="445" w:type="dxa"/>
            <w:vAlign w:val="center"/>
          </w:tcPr>
          <w:p w14:paraId="79E64194">
            <w:pPr>
              <w:pStyle w:val="16"/>
              <w:adjustRightInd w:val="0"/>
              <w:snapToGrid w:val="0"/>
              <w:spacing w:before="0" w:beforeAutospacing="0" w:after="0" w:afterAutospacing="0"/>
              <w:jc w:val="center"/>
              <w:rPr>
                <w:rFonts w:ascii="Times New Roman" w:hAnsi="Times New Roman"/>
                <w:color w:val="auto"/>
                <w:szCs w:val="24"/>
              </w:rPr>
            </w:pPr>
            <w:bookmarkStart w:id="7" w:name="_Hlk141860908"/>
            <w:r>
              <w:rPr>
                <w:rFonts w:ascii="Times New Roman" w:hAnsi="Times New Roman"/>
                <w:color w:val="auto"/>
                <w:szCs w:val="24"/>
              </w:rPr>
              <w:br w:type="page"/>
            </w:r>
            <w:r>
              <w:rPr>
                <w:rFonts w:ascii="Times New Roman" w:hAnsi="Times New Roman"/>
                <w:color w:val="auto"/>
                <w:szCs w:val="24"/>
              </w:rPr>
              <w:t>建设内容</w:t>
            </w:r>
          </w:p>
        </w:tc>
        <w:tc>
          <w:tcPr>
            <w:tcW w:w="8615" w:type="dxa"/>
          </w:tcPr>
          <w:p w14:paraId="46F4FDF8">
            <w:pPr>
              <w:snapToGrid w:val="0"/>
              <w:spacing w:before="120" w:beforeLines="50" w:line="360" w:lineRule="auto"/>
              <w:ind w:firstLine="482" w:firstLineChars="200"/>
              <w:jc w:val="left"/>
              <w:rPr>
                <w:b/>
                <w:color w:val="auto"/>
                <w:kern w:val="0"/>
                <w:sz w:val="24"/>
              </w:rPr>
            </w:pPr>
            <w:r>
              <w:rPr>
                <w:rFonts w:hint="eastAsia"/>
                <w:b/>
                <w:color w:val="auto"/>
                <w:kern w:val="0"/>
                <w:sz w:val="24"/>
              </w:rPr>
              <w:t>1</w:t>
            </w:r>
            <w:r>
              <w:rPr>
                <w:b/>
                <w:color w:val="auto"/>
                <w:kern w:val="0"/>
                <w:sz w:val="24"/>
              </w:rPr>
              <w:t>、</w:t>
            </w:r>
            <w:r>
              <w:rPr>
                <w:rFonts w:hint="eastAsia"/>
                <w:b/>
                <w:color w:val="auto"/>
                <w:kern w:val="0"/>
                <w:sz w:val="24"/>
              </w:rPr>
              <w:t>项目</w:t>
            </w:r>
            <w:r>
              <w:rPr>
                <w:b/>
                <w:color w:val="auto"/>
                <w:kern w:val="0"/>
                <w:sz w:val="24"/>
              </w:rPr>
              <w:t>由来</w:t>
            </w:r>
          </w:p>
          <w:p w14:paraId="1A86DE9E">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b w:val="0"/>
                <w:color w:val="auto"/>
                <w:sz w:val="24"/>
                <w:lang w:val="en-US" w:eastAsia="zh-CN"/>
              </w:rPr>
            </w:pPr>
            <w:r>
              <w:rPr>
                <w:rFonts w:hint="eastAsia" w:ascii="Times New Roman" w:hAnsi="Times New Roman" w:eastAsia="宋体" w:cs="Times New Roman"/>
                <w:b w:val="0"/>
                <w:color w:val="auto"/>
                <w:sz w:val="24"/>
                <w:lang w:val="en-US" w:eastAsia="zh-CN"/>
              </w:rPr>
              <w:t>庐山市卫生健康委员会上报的《庐山市乡镇卫生院整体改造提升项目初步设计审查的报告》及《庐山市乡镇卫生院整体改造提升项目初步设计》已经得到了庐山市发展和改革委员会的批复，批复文号为《关于庐山市乡镇卫生院整体改造提升项目初步设计的批复》（庐发改审批字(2022)291号）。该项目旨在优化庐山市医疗卫生资源配置，建立优质高效的医疗卫生服务体系，以促进医疗卫生事业的可持续发展。本次</w:t>
            </w:r>
            <w:r>
              <w:rPr>
                <w:rFonts w:hint="default" w:ascii="Times New Roman" w:hAnsi="Times New Roman" w:eastAsia="宋体" w:cs="Times New Roman"/>
                <w:b w:val="0"/>
                <w:color w:val="auto"/>
                <w:sz w:val="24"/>
                <w:lang w:val="en-US" w:eastAsia="zh-CN"/>
              </w:rPr>
              <w:t>批复的建设规模及主要建设内容</w:t>
            </w:r>
            <w:r>
              <w:rPr>
                <w:rFonts w:hint="eastAsia" w:ascii="Times New Roman" w:hAnsi="Times New Roman" w:eastAsia="宋体" w:cs="Times New Roman"/>
                <w:b w:val="0"/>
                <w:color w:val="auto"/>
                <w:sz w:val="24"/>
                <w:lang w:val="en-US" w:eastAsia="zh-CN"/>
              </w:rPr>
              <w:t>：</w:t>
            </w:r>
          </w:p>
          <w:p w14:paraId="78DA5E03">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1、庐山市蛟塘镇中心卫生院</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新建1800平方米门诊住院综合大楼，新建医疗废物暂存间30平方米及预检分诊点</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原医技楼改造装修，地硬化、铺设沥青</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w:t>
            </w:r>
          </w:p>
          <w:p w14:paraId="298141AB">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2、星子镇中心卫生院</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新建业务用房约900平方米</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占地约280平方米，三层</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完善周围场地环境，及医疗废物、水处理工程项目，拆除原建部分大楼满足消防通道，钢屋面拆除重建</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w:t>
            </w:r>
          </w:p>
          <w:p w14:paraId="710E250D">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3、蛟塘镇沙湖山卫生院</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新建占地面积200平方米总建筑面积600平方米医技大楼及医疗废物暂存间、场地硬化、新建围墙门卫、废水处理系统</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原门诊楼线路改修隔热</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新增钢屋面</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、一、二楼装修、外墙翻新</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w:t>
            </w:r>
          </w:p>
          <w:p w14:paraId="1D768790">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4、华林镇卫生院</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1200平方米场地硬化、铺设沥青围墙粉刷改造，新建围墙50米及门楼，新门诊综合楼内部及老周转房翻新改造，化验室改造装修，医疗废物、水处理工程项目，计免门诊提升改造，钢屋面拆除重建</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w:t>
            </w:r>
          </w:p>
          <w:p w14:paraId="5009C271">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5、温泉镇中心卫生院</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新建4602平方米急救大楼装修设计，室外场地硬化、新建围墙门卫，废水处理系统，污水处理</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w:t>
            </w:r>
          </w:p>
          <w:p w14:paraId="6B7FB961">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6、牯岭镇镇卫生院</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门诊楼外墙外侧污水改造，挡土墙修建</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w:t>
            </w:r>
          </w:p>
          <w:p w14:paraId="3A2AC2A5">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7、海会镇中心卫生院</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内部局部装修及卫生间改造</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外墙翻新</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w:t>
            </w:r>
          </w:p>
          <w:p w14:paraId="24CF1F93">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8、白鹿镇卫生院</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老门诊楼改造、一、二楼装修、屋顶隔热、外墙刷新</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医疗废物、废水处理工程项目</w:t>
            </w:r>
            <w:r>
              <w:rPr>
                <w:rFonts w:hint="eastAsia" w:cs="Times New Roman"/>
                <w:color w:val="auto"/>
                <w:sz w:val="24"/>
                <w:lang w:val="en-US" w:eastAsia="zh-CN"/>
              </w:rPr>
              <w:t>）</w:t>
            </w:r>
          </w:p>
          <w:p w14:paraId="22E1BF75">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9、南康镇卫生院</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手术室、检验科、供应室二次医疗装修、CT、DR、彩超等设备采购</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w:t>
            </w:r>
          </w:p>
          <w:p w14:paraId="688535E6">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outlineLvl w:val="9"/>
              <w:rPr>
                <w:rFonts w:hint="eastAsia" w:ascii="Times New Roman" w:hAnsi="Times New Roman" w:eastAsia="宋体"/>
                <w:b w:val="0"/>
                <w:color w:val="auto"/>
                <w:sz w:val="24"/>
                <w:lang w:val="en-US" w:eastAsia="zh-CN"/>
              </w:rPr>
            </w:pPr>
            <w:r>
              <w:rPr>
                <w:rFonts w:hint="default" w:ascii="Times New Roman" w:hAnsi="Times New Roman" w:eastAsia="宋体" w:cs="Times New Roman"/>
                <w:color w:val="auto"/>
                <w:sz w:val="24"/>
                <w:lang w:val="en-US" w:eastAsia="zh-CN"/>
              </w:rPr>
              <w:t>10、牯岭镇正街社区卫生服务中心</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门急诊大楼装修改造、职工宿舍改造、医疗废物暂存间改造、车库用于改造预防接种办公场地、完善消防和污水处理系统工程项目</w:t>
            </w:r>
            <w:r>
              <w:rPr>
                <w:rFonts w:hint="eastAsia" w:cs="Times New Roman"/>
                <w:color w:val="auto"/>
                <w:sz w:val="24"/>
                <w:lang w:val="en-US" w:eastAsia="zh-CN"/>
              </w:rPr>
              <w:t>）</w:t>
            </w:r>
          </w:p>
          <w:p w14:paraId="587E6356">
            <w:pPr>
              <w:pStyle w:val="11"/>
              <w:spacing w:line="360" w:lineRule="auto"/>
              <w:ind w:firstLine="480" w:firstLineChars="200"/>
              <w:jc w:val="both"/>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华林卫生院是庐山市乡镇卫生院整体改造提升项目的一部分，坐落于庐山市华林镇桥北村紧邻镇政府。该卫生院始建于1953年，是一所提供医疗、预防、保健和基本公共卫生服务的综合性非营利性医疗机构，</w:t>
            </w:r>
            <w:r>
              <w:rPr>
                <w:rFonts w:hint="eastAsia" w:ascii="Times New Roman" w:hAnsi="Times New Roman" w:eastAsia="宋体" w:cs="Times New Roman"/>
                <w:color w:val="auto"/>
                <w:kern w:val="2"/>
                <w:sz w:val="24"/>
                <w:szCs w:val="24"/>
                <w:lang w:val="en-US" w:eastAsia="zh-CN" w:bidi="ar-SA"/>
              </w:rPr>
              <w:t>目前</w:t>
            </w:r>
            <w:r>
              <w:rPr>
                <w:rFonts w:ascii="Times New Roman" w:hAnsi="Times New Roman" w:eastAsia="宋体" w:cs="Times New Roman"/>
                <w:color w:val="auto"/>
                <w:kern w:val="2"/>
                <w:sz w:val="24"/>
                <w:szCs w:val="24"/>
                <w:lang w:val="en-US" w:eastAsia="zh-CN" w:bidi="ar-SA"/>
              </w:rPr>
              <w:t>设有20张床位。</w:t>
            </w:r>
            <w:r>
              <w:rPr>
                <w:rFonts w:hint="eastAsia" w:ascii="Times New Roman" w:hAnsi="Times New Roman" w:eastAsia="宋体" w:cs="Times New Roman"/>
                <w:color w:val="auto"/>
                <w:kern w:val="2"/>
                <w:sz w:val="24"/>
                <w:szCs w:val="24"/>
                <w:lang w:val="en-US" w:eastAsia="zh-CN" w:bidi="ar-SA"/>
              </w:rPr>
              <w:t>由于卫生院建设时期较早，未办理环评相关手续。根据现场调查，目前处于停业状态，</w:t>
            </w:r>
            <w:r>
              <w:rPr>
                <w:rFonts w:hint="eastAsia" w:cs="Times New Roman"/>
                <w:color w:val="auto"/>
                <w:kern w:val="2"/>
                <w:sz w:val="24"/>
                <w:szCs w:val="24"/>
                <w:lang w:val="en-US" w:eastAsia="zh-CN" w:bidi="ar-SA"/>
              </w:rPr>
              <w:t>目前改造工程未进行，</w:t>
            </w:r>
            <w:r>
              <w:rPr>
                <w:rFonts w:hint="eastAsia" w:ascii="Times New Roman" w:hAnsi="Times New Roman" w:eastAsia="宋体" w:cs="Times New Roman"/>
                <w:color w:val="auto"/>
                <w:kern w:val="2"/>
                <w:sz w:val="24"/>
                <w:szCs w:val="24"/>
                <w:lang w:val="en-US" w:eastAsia="zh-CN" w:bidi="ar-SA"/>
              </w:rPr>
              <w:t>本次环评为补办环评。</w:t>
            </w:r>
          </w:p>
          <w:p w14:paraId="27D4E350">
            <w:pPr>
              <w:pStyle w:val="16"/>
              <w:shd w:val="clear" w:color="auto" w:fill="FFFFFF"/>
              <w:spacing w:before="0" w:beforeAutospacing="0" w:after="0" w:afterAutospacing="0" w:line="360" w:lineRule="auto"/>
              <w:ind w:firstLine="480" w:firstLineChars="200"/>
              <w:jc w:val="both"/>
              <w:rPr>
                <w:rFonts w:hint="default" w:ascii="Times New Roman" w:hAnsi="Times New Roman"/>
                <w:color w:val="auto"/>
                <w:kern w:val="2"/>
                <w:szCs w:val="24"/>
                <w:lang w:val="en-US"/>
              </w:rPr>
            </w:pPr>
            <w:r>
              <w:rPr>
                <w:rFonts w:ascii="Times New Roman" w:hAnsi="Times New Roman"/>
                <w:color w:val="auto"/>
                <w:kern w:val="2"/>
                <w:szCs w:val="24"/>
              </w:rPr>
              <w:t>院内共有四栋主要建筑。门诊综合楼分为三层，底层设有门诊部、药房、收费处和医生值班室；二层包括护理部、输液室、病房和护士值班室；三层则是行政办公室和公共卫生科。医技楼共有两层，一层设有化验室、B超室、心电图室和食堂；二层则作为宿舍使用。中医馆大楼</w:t>
            </w:r>
            <w:r>
              <w:rPr>
                <w:rFonts w:hint="eastAsia" w:ascii="Times New Roman" w:hAnsi="Times New Roman"/>
                <w:color w:val="auto"/>
                <w:kern w:val="2"/>
                <w:szCs w:val="24"/>
                <w:lang w:val="en-US" w:eastAsia="zh-CN"/>
              </w:rPr>
              <w:t>为原</w:t>
            </w:r>
            <w:r>
              <w:rPr>
                <w:rFonts w:hint="default" w:ascii="Times New Roman" w:hAnsi="Times New Roman"/>
                <w:color w:val="auto"/>
                <w:kern w:val="2"/>
                <w:szCs w:val="24"/>
                <w:lang w:val="en-US" w:eastAsia="zh-CN"/>
              </w:rPr>
              <w:t>老周转房</w:t>
            </w:r>
            <w:r>
              <w:rPr>
                <w:rFonts w:hint="eastAsia" w:ascii="Times New Roman" w:hAnsi="Times New Roman"/>
                <w:color w:val="auto"/>
                <w:kern w:val="2"/>
                <w:szCs w:val="24"/>
                <w:lang w:val="en-US" w:eastAsia="zh-CN"/>
              </w:rPr>
              <w:t>改造，</w:t>
            </w:r>
            <w:r>
              <w:rPr>
                <w:rFonts w:ascii="Times New Roman" w:hAnsi="Times New Roman"/>
                <w:color w:val="auto"/>
                <w:kern w:val="2"/>
                <w:szCs w:val="24"/>
              </w:rPr>
              <w:t>同样为三层结构，一层包括中医门诊、药房和诊疗室；二层和三层均作为宿舍。计免大楼为两层建筑，一层设有预防接种门诊和接种室；二层则用作仓库等其他用途。</w:t>
            </w:r>
          </w:p>
          <w:p w14:paraId="313C7898">
            <w:pPr>
              <w:pStyle w:val="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9"/>
              <w:rPr>
                <w:rFonts w:hint="default" w:ascii="Times New Roman" w:hAnsi="Times New Roman" w:eastAsia="宋体" w:cs="Times New Roman"/>
                <w:b w:val="0"/>
                <w:color w:val="auto"/>
                <w:sz w:val="24"/>
                <w:szCs w:val="24"/>
                <w:lang w:val="en-US" w:eastAsia="zh-CN"/>
              </w:rPr>
            </w:pPr>
            <w:r>
              <w:rPr>
                <w:rFonts w:hint="default" w:ascii="Times New Roman" w:hAnsi="Times New Roman" w:eastAsia="宋体" w:cs="Times New Roman"/>
                <w:b w:val="0"/>
                <w:color w:val="auto"/>
                <w:sz w:val="24"/>
                <w:szCs w:val="24"/>
                <w:lang w:val="en-US" w:eastAsia="zh-CN"/>
              </w:rPr>
              <w:t>根据《中华人民共和国环境保护法》（中华人民共和国主席令第九号）、《建设项目环境保护管理条例》（中华人民共和国国务院令第682号），建设过程中或者建成投产后可能对环境产生影响的新建、扩建、改建、迁建、技术改造项目及区域开发建设项目，必须进行环境影响评价。根据《建设项目环境影响评价分类管理名录》（2021年版），</w:t>
            </w:r>
            <w:r>
              <w:rPr>
                <w:rFonts w:hint="eastAsia" w:ascii="Times New Roman" w:hAnsi="Times New Roman" w:eastAsia="宋体" w:cs="Times New Roman"/>
                <w:b w:val="0"/>
                <w:color w:val="auto"/>
                <w:sz w:val="24"/>
                <w:szCs w:val="24"/>
                <w:lang w:val="en-US" w:eastAsia="zh-CN"/>
              </w:rPr>
              <w:t>本项目属于“</w:t>
            </w:r>
            <w:r>
              <w:rPr>
                <w:rFonts w:ascii="Times New Roman" w:hAnsi="Times New Roman" w:eastAsia="宋体" w:cs="Helvetica"/>
                <w:b w:val="0"/>
                <w:i w:val="0"/>
                <w:iCs w:val="0"/>
                <w:caps w:val="0"/>
                <w:color w:val="auto"/>
                <w:spacing w:val="0"/>
                <w:sz w:val="24"/>
                <w:szCs w:val="21"/>
                <w:shd w:val="clear" w:color="auto" w:fill="FFFFFF"/>
              </w:rPr>
              <w:t>四</w:t>
            </w:r>
            <w:r>
              <w:rPr>
                <w:rFonts w:hint="default" w:ascii="Times New Roman" w:hAnsi="Times New Roman" w:eastAsia="宋体" w:cs="Helvetica"/>
                <w:b w:val="0"/>
                <w:i w:val="0"/>
                <w:iCs w:val="0"/>
                <w:caps w:val="0"/>
                <w:color w:val="auto"/>
                <w:spacing w:val="0"/>
                <w:sz w:val="24"/>
                <w:szCs w:val="21"/>
                <w:shd w:val="clear" w:color="auto" w:fill="FFFFFF"/>
              </w:rPr>
              <w:t>十九、卫生84</w:t>
            </w:r>
            <w:r>
              <w:rPr>
                <w:rFonts w:hint="eastAsia" w:ascii="Times New Roman" w:hAnsi="Times New Roman" w:eastAsia="宋体" w:cs="Helvetica"/>
                <w:b w:val="0"/>
                <w:i w:val="0"/>
                <w:iCs w:val="0"/>
                <w:caps w:val="0"/>
                <w:color w:val="auto"/>
                <w:spacing w:val="0"/>
                <w:sz w:val="24"/>
                <w:szCs w:val="21"/>
                <w:shd w:val="clear" w:color="auto" w:fill="FFFFFF"/>
                <w:lang w:val="en-US" w:eastAsia="zh-CN"/>
              </w:rPr>
              <w:t>-</w:t>
            </w:r>
            <w:r>
              <w:rPr>
                <w:rFonts w:ascii="Times New Roman" w:hAnsi="Times New Roman" w:eastAsia="宋体" w:cs="Helvetica"/>
                <w:b w:val="0"/>
                <w:i w:val="0"/>
                <w:iCs w:val="0"/>
                <w:caps w:val="0"/>
                <w:color w:val="auto"/>
                <w:spacing w:val="0"/>
                <w:sz w:val="24"/>
                <w:szCs w:val="21"/>
                <w:shd w:val="clear" w:color="auto" w:fill="FFFFFF"/>
              </w:rPr>
              <w:t>基</w:t>
            </w:r>
            <w:r>
              <w:rPr>
                <w:rFonts w:hint="default" w:ascii="Times New Roman" w:hAnsi="Times New Roman" w:eastAsia="宋体" w:cs="Helvetica"/>
                <w:b w:val="0"/>
                <w:i w:val="0"/>
                <w:iCs w:val="0"/>
                <w:caps w:val="0"/>
                <w:color w:val="auto"/>
                <w:spacing w:val="0"/>
                <w:sz w:val="24"/>
                <w:szCs w:val="21"/>
                <w:shd w:val="clear" w:color="auto" w:fill="FFFFFF"/>
              </w:rPr>
              <w:t>层医疗卫生服务842</w:t>
            </w:r>
            <w:r>
              <w:rPr>
                <w:rFonts w:hint="eastAsia" w:ascii="Times New Roman" w:hAnsi="Times New Roman" w:eastAsia="宋体" w:cs="Helvetica"/>
                <w:b w:val="0"/>
                <w:i w:val="0"/>
                <w:iCs w:val="0"/>
                <w:caps w:val="0"/>
                <w:color w:val="auto"/>
                <w:spacing w:val="0"/>
                <w:sz w:val="24"/>
                <w:szCs w:val="21"/>
                <w:shd w:val="clear" w:color="auto" w:fill="FFFFFF"/>
                <w:lang w:val="en-US" w:eastAsia="zh-CN"/>
              </w:rPr>
              <w:t>-</w:t>
            </w:r>
            <w:r>
              <w:rPr>
                <w:rFonts w:ascii="Times New Roman" w:hAnsi="Times New Roman" w:eastAsia="宋体" w:cs="Helvetica"/>
                <w:b w:val="0"/>
                <w:i w:val="0"/>
                <w:iCs w:val="0"/>
                <w:caps w:val="0"/>
                <w:color w:val="auto"/>
                <w:spacing w:val="0"/>
                <w:sz w:val="24"/>
                <w:szCs w:val="21"/>
                <w:shd w:val="clear" w:color="auto" w:fill="FFFFFF"/>
              </w:rPr>
              <w:t>其</w:t>
            </w:r>
            <w:r>
              <w:rPr>
                <w:rFonts w:hint="default" w:ascii="Times New Roman" w:hAnsi="Times New Roman" w:eastAsia="宋体" w:cs="Helvetica"/>
                <w:b w:val="0"/>
                <w:i w:val="0"/>
                <w:iCs w:val="0"/>
                <w:caps w:val="0"/>
                <w:color w:val="auto"/>
                <w:spacing w:val="0"/>
                <w:sz w:val="24"/>
                <w:szCs w:val="21"/>
                <w:shd w:val="clear" w:color="auto" w:fill="FFFFFF"/>
              </w:rPr>
              <w:t>他（住院床位20张以下的除外）</w:t>
            </w:r>
            <w:r>
              <w:rPr>
                <w:rFonts w:hint="eastAsia" w:ascii="Times New Roman" w:hAnsi="Times New Roman" w:eastAsia="宋体" w:cs="Helvetica"/>
                <w:b w:val="0"/>
                <w:i w:val="0"/>
                <w:iCs w:val="0"/>
                <w:caps w:val="0"/>
                <w:color w:val="auto"/>
                <w:spacing w:val="0"/>
                <w:sz w:val="24"/>
                <w:szCs w:val="21"/>
                <w:shd w:val="clear" w:color="auto" w:fill="FFFFFF"/>
                <w:lang w:eastAsia="zh-CN"/>
              </w:rPr>
              <w:t>”</w:t>
            </w:r>
            <w:r>
              <w:rPr>
                <w:rFonts w:hint="eastAsia" w:ascii="Times New Roman" w:hAnsi="Times New Roman" w:eastAsia="宋体" w:cs="Helvetica"/>
                <w:b w:val="0"/>
                <w:i w:val="0"/>
                <w:iCs w:val="0"/>
                <w:caps w:val="0"/>
                <w:color w:val="auto"/>
                <w:spacing w:val="0"/>
                <w:sz w:val="24"/>
                <w:szCs w:val="21"/>
                <w:shd w:val="clear" w:color="auto" w:fill="FFFFFF"/>
                <w:lang w:val="en-US" w:eastAsia="zh-CN"/>
              </w:rPr>
              <w:t>类别</w:t>
            </w:r>
            <w:r>
              <w:rPr>
                <w:rFonts w:hint="eastAsia" w:ascii="Times New Roman" w:hAnsi="Times New Roman" w:eastAsia="宋体" w:cs="Helvetica"/>
                <w:b w:val="0"/>
                <w:i w:val="0"/>
                <w:iCs w:val="0"/>
                <w:caps w:val="0"/>
                <w:color w:val="auto"/>
                <w:spacing w:val="0"/>
                <w:sz w:val="24"/>
                <w:szCs w:val="21"/>
                <w:shd w:val="clear" w:color="auto" w:fill="FFFFFF"/>
                <w:lang w:eastAsia="zh-CN"/>
              </w:rPr>
              <w:t>，</w:t>
            </w:r>
            <w:r>
              <w:rPr>
                <w:rFonts w:hint="default" w:ascii="Times New Roman" w:hAnsi="Times New Roman" w:eastAsia="宋体" w:cs="Times New Roman"/>
                <w:b w:val="0"/>
                <w:color w:val="auto"/>
                <w:sz w:val="24"/>
                <w:szCs w:val="24"/>
                <w:lang w:val="en-US" w:eastAsia="zh-CN"/>
              </w:rPr>
              <w:t>应该编制环境影响报告表。</w:t>
            </w:r>
          </w:p>
          <w:p w14:paraId="6E20DD3B">
            <w:pPr>
              <w:spacing w:line="360" w:lineRule="auto"/>
              <w:ind w:firstLine="482" w:firstLineChars="200"/>
              <w:rPr>
                <w:b/>
                <w:bCs w:val="0"/>
                <w:color w:val="auto"/>
                <w:sz w:val="24"/>
              </w:rPr>
            </w:pPr>
            <w:r>
              <w:rPr>
                <w:rFonts w:hint="eastAsia"/>
                <w:b/>
                <w:bCs w:val="0"/>
                <w:color w:val="auto"/>
                <w:sz w:val="24"/>
              </w:rPr>
              <w:t>注：本项目不设传染病病房，当门诊接收到传染病人后立即转送当地传染病医院。本项目配备有DR、X射线等放射科辐射设备，本次环评不包括放射科设备的环境影响评价内容，放射科辐射设备须单独办理环评手续。</w:t>
            </w:r>
          </w:p>
          <w:p w14:paraId="4164BF62">
            <w:pPr>
              <w:snapToGrid w:val="0"/>
              <w:spacing w:line="360" w:lineRule="auto"/>
              <w:ind w:firstLine="482" w:firstLineChars="200"/>
              <w:jc w:val="left"/>
              <w:rPr>
                <w:rFonts w:hint="default" w:eastAsia="宋体"/>
                <w:color w:val="auto"/>
                <w:lang w:val="en-US" w:eastAsia="zh-CN"/>
              </w:rPr>
            </w:pPr>
            <w:r>
              <w:rPr>
                <w:rFonts w:hint="eastAsia"/>
                <w:b/>
                <w:color w:val="auto"/>
                <w:kern w:val="0"/>
                <w:sz w:val="24"/>
              </w:rPr>
              <w:t>2、</w:t>
            </w:r>
            <w:r>
              <w:rPr>
                <w:rFonts w:hint="eastAsia"/>
                <w:b/>
                <w:color w:val="auto"/>
                <w:kern w:val="0"/>
                <w:sz w:val="24"/>
                <w:lang w:val="en-US" w:eastAsia="zh-CN"/>
              </w:rPr>
              <w:t>工程建设内容</w:t>
            </w:r>
          </w:p>
          <w:p w14:paraId="775C732C">
            <w:pPr>
              <w:snapToGrid w:val="0"/>
              <w:spacing w:line="360" w:lineRule="auto"/>
              <w:ind w:firstLine="480" w:firstLineChars="200"/>
              <w:rPr>
                <w:rFonts w:hint="eastAsia"/>
                <w:bCs/>
                <w:color w:val="auto"/>
                <w:kern w:val="0"/>
                <w:sz w:val="24"/>
              </w:rPr>
            </w:pPr>
            <w:r>
              <w:rPr>
                <w:rFonts w:eastAsia="Helvetica"/>
                <w:color w:val="auto"/>
                <w:sz w:val="24"/>
                <w:shd w:val="clear" w:color="auto" w:fill="FFFFFF"/>
              </w:rPr>
              <w:t>卫生院位于庐山市</w:t>
            </w:r>
            <w:r>
              <w:rPr>
                <w:rFonts w:hint="eastAsia" w:eastAsia="宋体"/>
                <w:color w:val="auto"/>
                <w:sz w:val="24"/>
                <w:shd w:val="clear" w:color="auto" w:fill="FFFFFF"/>
                <w:lang w:eastAsia="zh-CN"/>
              </w:rPr>
              <w:t>华林镇华林街西南侧</w:t>
            </w:r>
            <w:r>
              <w:rPr>
                <w:color w:val="auto"/>
                <w:sz w:val="24"/>
              </w:rPr>
              <w:t>，本次</w:t>
            </w:r>
            <w:r>
              <w:rPr>
                <w:rFonts w:hint="eastAsia"/>
                <w:color w:val="auto"/>
                <w:sz w:val="24"/>
              </w:rPr>
              <w:t>项目</w:t>
            </w:r>
            <w:r>
              <w:rPr>
                <w:color w:val="auto"/>
                <w:sz w:val="24"/>
              </w:rPr>
              <w:t>内容为</w:t>
            </w:r>
            <w:r>
              <w:rPr>
                <w:color w:val="auto"/>
                <w:kern w:val="0"/>
                <w:sz w:val="24"/>
              </w:rPr>
              <w:t>对场地进行硬化，铺设沥青，并对围墙进行粉刷改造。此外，将新建50米围墙及门楼，对新门诊综合楼内部及老周转房进行翻新改造。化验室将进行改造装修，同时实施医疗废物和水处理工程项目。计免门诊也将得到提升改造，钢屋面将拆除重建。</w:t>
            </w:r>
            <w:r>
              <w:rPr>
                <w:color w:val="auto"/>
                <w:sz w:val="24"/>
              </w:rPr>
              <w:t>医院现有</w:t>
            </w:r>
            <w:r>
              <w:rPr>
                <w:color w:val="auto"/>
                <w:sz w:val="24"/>
                <w:shd w:val="clear" w:color="auto" w:fill="FFFFFF"/>
              </w:rPr>
              <w:t>内科、外科、妇科、儿科、中医康复科（中医馆）、检验科、放射科(DR室)、B超室、心电图室、公卫科、预防接种门诊、药剂科、档案室等14个科室。</w:t>
            </w:r>
            <w:r>
              <w:rPr>
                <w:rFonts w:hint="eastAsia"/>
                <w:color w:val="auto"/>
                <w:sz w:val="24"/>
                <w:lang w:val="en-US" w:eastAsia="zh-CN"/>
              </w:rPr>
              <w:t>卫生院</w:t>
            </w:r>
            <w:r>
              <w:rPr>
                <w:color w:val="auto"/>
                <w:sz w:val="24"/>
              </w:rPr>
              <w:t>现有病床20张，现有门诊量25人/天。</w:t>
            </w:r>
            <w:r>
              <w:rPr>
                <w:rFonts w:hint="eastAsia"/>
                <w:color w:val="auto"/>
                <w:sz w:val="24"/>
                <w:shd w:val="clear" w:color="auto" w:fill="FFFFFF"/>
                <w:lang w:val="en-US" w:eastAsia="zh-CN"/>
              </w:rPr>
              <w:t>项目改造完成后，病床数量和门诊量不变。</w:t>
            </w:r>
            <w:r>
              <w:rPr>
                <w:rFonts w:hint="eastAsia"/>
                <w:bCs/>
                <w:color w:val="auto"/>
                <w:kern w:val="0"/>
                <w:sz w:val="24"/>
              </w:rPr>
              <w:t>项目建设内容详见下表。</w:t>
            </w:r>
          </w:p>
          <w:p w14:paraId="7EA8E100">
            <w:pPr>
              <w:snapToGrid w:val="0"/>
              <w:jc w:val="center"/>
              <w:rPr>
                <w:b/>
                <w:color w:val="auto"/>
                <w:szCs w:val="21"/>
              </w:rPr>
            </w:pPr>
            <w:r>
              <w:rPr>
                <w:rFonts w:hint="eastAsia"/>
                <w:b/>
                <w:color w:val="auto"/>
                <w:szCs w:val="21"/>
              </w:rPr>
              <w:t>表2-</w:t>
            </w:r>
            <w:r>
              <w:rPr>
                <w:rFonts w:hint="eastAsia"/>
                <w:b/>
                <w:color w:val="auto"/>
                <w:szCs w:val="21"/>
                <w:lang w:val="en-US" w:eastAsia="zh-CN"/>
              </w:rPr>
              <w:t>1</w:t>
            </w:r>
            <w:r>
              <w:rPr>
                <w:rFonts w:hint="eastAsia"/>
                <w:b/>
                <w:color w:val="auto"/>
                <w:szCs w:val="21"/>
              </w:rPr>
              <w:t xml:space="preserve">  项目建设内容一览表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017"/>
              <w:gridCol w:w="1202"/>
              <w:gridCol w:w="4688"/>
              <w:gridCol w:w="759"/>
            </w:tblGrid>
            <w:tr w14:paraId="38BB10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vAlign w:val="center"/>
                </w:tcPr>
                <w:p w14:paraId="4596A084">
                  <w:pPr>
                    <w:adjustRightInd w:val="0"/>
                    <w:snapToGrid w:val="0"/>
                    <w:spacing w:before="48" w:beforeLines="20" w:after="48" w:afterLines="20"/>
                    <w:jc w:val="center"/>
                    <w:rPr>
                      <w:b/>
                      <w:snapToGrid w:val="0"/>
                      <w:color w:val="auto"/>
                      <w:kern w:val="0"/>
                      <w:szCs w:val="21"/>
                    </w:rPr>
                  </w:pPr>
                  <w:bookmarkStart w:id="8" w:name="_Hlk95497937"/>
                  <w:r>
                    <w:rPr>
                      <w:b/>
                      <w:snapToGrid w:val="0"/>
                      <w:color w:val="auto"/>
                      <w:kern w:val="0"/>
                      <w:szCs w:val="21"/>
                    </w:rPr>
                    <w:t>工程类别</w:t>
                  </w:r>
                </w:p>
              </w:tc>
              <w:tc>
                <w:tcPr>
                  <w:tcW w:w="1017" w:type="dxa"/>
                  <w:vAlign w:val="center"/>
                </w:tcPr>
                <w:p w14:paraId="7846D621">
                  <w:pPr>
                    <w:adjustRightInd w:val="0"/>
                    <w:snapToGrid w:val="0"/>
                    <w:spacing w:before="48" w:beforeLines="20" w:after="48" w:afterLines="20"/>
                    <w:jc w:val="center"/>
                    <w:rPr>
                      <w:b/>
                      <w:snapToGrid w:val="0"/>
                      <w:color w:val="auto"/>
                      <w:kern w:val="0"/>
                      <w:szCs w:val="21"/>
                    </w:rPr>
                  </w:pPr>
                  <w:r>
                    <w:rPr>
                      <w:b/>
                      <w:snapToGrid w:val="0"/>
                      <w:color w:val="auto"/>
                      <w:kern w:val="0"/>
                      <w:szCs w:val="21"/>
                    </w:rPr>
                    <w:t>建设名称</w:t>
                  </w:r>
                </w:p>
              </w:tc>
              <w:tc>
                <w:tcPr>
                  <w:tcW w:w="5890" w:type="dxa"/>
                  <w:gridSpan w:val="2"/>
                  <w:vAlign w:val="center"/>
                </w:tcPr>
                <w:p w14:paraId="06AA3ABB">
                  <w:pPr>
                    <w:adjustRightInd w:val="0"/>
                    <w:snapToGrid w:val="0"/>
                    <w:spacing w:before="48" w:beforeLines="20" w:after="48" w:afterLines="20"/>
                    <w:jc w:val="center"/>
                    <w:rPr>
                      <w:b/>
                      <w:snapToGrid w:val="0"/>
                      <w:color w:val="auto"/>
                      <w:kern w:val="0"/>
                      <w:szCs w:val="21"/>
                    </w:rPr>
                  </w:pPr>
                  <w:r>
                    <w:rPr>
                      <w:b/>
                      <w:snapToGrid w:val="0"/>
                      <w:color w:val="auto"/>
                      <w:kern w:val="0"/>
                      <w:szCs w:val="21"/>
                    </w:rPr>
                    <w:t>建设内容</w:t>
                  </w:r>
                </w:p>
              </w:tc>
              <w:tc>
                <w:tcPr>
                  <w:tcW w:w="759" w:type="dxa"/>
                  <w:vAlign w:val="center"/>
                </w:tcPr>
                <w:p w14:paraId="52ADAA0F">
                  <w:pPr>
                    <w:adjustRightInd w:val="0"/>
                    <w:snapToGrid w:val="0"/>
                    <w:spacing w:before="48" w:beforeLines="20" w:after="48" w:afterLines="20"/>
                    <w:jc w:val="center"/>
                    <w:rPr>
                      <w:b/>
                      <w:snapToGrid w:val="0"/>
                      <w:color w:val="auto"/>
                      <w:kern w:val="0"/>
                      <w:szCs w:val="21"/>
                    </w:rPr>
                  </w:pPr>
                  <w:r>
                    <w:rPr>
                      <w:b/>
                      <w:snapToGrid w:val="0"/>
                      <w:color w:val="auto"/>
                      <w:kern w:val="0"/>
                      <w:szCs w:val="21"/>
                    </w:rPr>
                    <w:t>备注</w:t>
                  </w:r>
                </w:p>
              </w:tc>
            </w:tr>
            <w:tr w14:paraId="402A13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9" w:hRule="atLeast"/>
                <w:jc w:val="center"/>
              </w:trPr>
              <w:tc>
                <w:tcPr>
                  <w:tcW w:w="733" w:type="dxa"/>
                  <w:vMerge w:val="restart"/>
                  <w:vAlign w:val="center"/>
                </w:tcPr>
                <w:p w14:paraId="4F1D51F4">
                  <w:pPr>
                    <w:adjustRightInd w:val="0"/>
                    <w:snapToGrid w:val="0"/>
                    <w:spacing w:before="48" w:beforeLines="20" w:after="48" w:afterLines="20"/>
                    <w:jc w:val="center"/>
                    <w:rPr>
                      <w:snapToGrid w:val="0"/>
                      <w:color w:val="auto"/>
                      <w:kern w:val="0"/>
                      <w:szCs w:val="21"/>
                    </w:rPr>
                  </w:pPr>
                  <w:r>
                    <w:rPr>
                      <w:snapToGrid w:val="0"/>
                      <w:color w:val="auto"/>
                      <w:kern w:val="0"/>
                      <w:szCs w:val="21"/>
                    </w:rPr>
                    <w:t>主体工程</w:t>
                  </w:r>
                </w:p>
              </w:tc>
              <w:tc>
                <w:tcPr>
                  <w:tcW w:w="1017" w:type="dxa"/>
                  <w:vAlign w:val="center"/>
                </w:tcPr>
                <w:p w14:paraId="52BE436D">
                  <w:pPr>
                    <w:adjustRightInd w:val="0"/>
                    <w:snapToGrid w:val="0"/>
                    <w:spacing w:before="48" w:beforeLines="20" w:after="48" w:afterLines="20"/>
                    <w:jc w:val="center"/>
                    <w:rPr>
                      <w:snapToGrid w:val="0"/>
                      <w:color w:val="auto"/>
                      <w:szCs w:val="21"/>
                    </w:rPr>
                  </w:pPr>
                  <w:r>
                    <w:rPr>
                      <w:rFonts w:hint="eastAsia"/>
                      <w:snapToGrid w:val="0"/>
                      <w:color w:val="auto"/>
                      <w:szCs w:val="21"/>
                    </w:rPr>
                    <w:t>门诊综合楼</w:t>
                  </w:r>
                </w:p>
              </w:tc>
              <w:tc>
                <w:tcPr>
                  <w:tcW w:w="5890" w:type="dxa"/>
                  <w:gridSpan w:val="2"/>
                  <w:vAlign w:val="center"/>
                </w:tcPr>
                <w:p w14:paraId="437984D7">
                  <w:pPr>
                    <w:pStyle w:val="9"/>
                    <w:adjustRightInd w:val="0"/>
                    <w:snapToGrid w:val="0"/>
                    <w:spacing w:after="0"/>
                    <w:ind w:left="0" w:leftChars="0"/>
                    <w:jc w:val="both"/>
                    <w:rPr>
                      <w:rFonts w:hint="eastAsia"/>
                      <w:snapToGrid w:val="0"/>
                      <w:color w:val="auto"/>
                      <w:sz w:val="21"/>
                      <w:szCs w:val="21"/>
                    </w:rPr>
                  </w:pPr>
                  <w:r>
                    <w:rPr>
                      <w:rFonts w:hint="eastAsia"/>
                      <w:snapToGrid w:val="0"/>
                      <w:color w:val="auto"/>
                      <w:sz w:val="21"/>
                      <w:szCs w:val="21"/>
                      <w:lang w:val="en-US" w:eastAsia="zh-CN"/>
                    </w:rPr>
                    <w:t>建筑面积约1049.16m</w:t>
                  </w:r>
                  <w:r>
                    <w:rPr>
                      <w:rFonts w:hint="eastAsia"/>
                      <w:snapToGrid w:val="0"/>
                      <w:color w:val="auto"/>
                      <w:sz w:val="21"/>
                      <w:szCs w:val="21"/>
                      <w:vertAlign w:val="superscript"/>
                      <w:lang w:val="en-US" w:eastAsia="zh-CN"/>
                    </w:rPr>
                    <w:t>2</w:t>
                  </w:r>
                  <w:r>
                    <w:rPr>
                      <w:rFonts w:hint="eastAsia"/>
                      <w:snapToGrid w:val="0"/>
                      <w:color w:val="auto"/>
                      <w:sz w:val="21"/>
                      <w:szCs w:val="21"/>
                    </w:rPr>
                    <w:t>，门诊综合楼分为三楼，底楼设有门诊部、药房、收费处和医生值班室；二楼包括护理部、输液室、病房和护士值班室；三楼则是行政办公室和公共卫生。</w:t>
                  </w:r>
                </w:p>
                <w:p w14:paraId="275C9860">
                  <w:pPr>
                    <w:jc w:val="both"/>
                    <w:rPr>
                      <w:rFonts w:hint="default" w:eastAsia="宋体"/>
                      <w:color w:val="auto"/>
                      <w:lang w:val="en-US" w:eastAsia="zh-CN"/>
                    </w:rPr>
                  </w:pPr>
                  <w:r>
                    <w:rPr>
                      <w:rFonts w:hint="eastAsia"/>
                      <w:snapToGrid w:val="0"/>
                      <w:color w:val="auto"/>
                      <w:sz w:val="21"/>
                      <w:szCs w:val="21"/>
                      <w:lang w:val="en-US" w:eastAsia="zh-CN"/>
                    </w:rPr>
                    <w:t>改造内容：内部翻新改造</w:t>
                  </w:r>
                </w:p>
              </w:tc>
              <w:tc>
                <w:tcPr>
                  <w:tcW w:w="759" w:type="dxa"/>
                  <w:vAlign w:val="center"/>
                </w:tcPr>
                <w:p w14:paraId="334F042D">
                  <w:pPr>
                    <w:pStyle w:val="9"/>
                    <w:adjustRightInd w:val="0"/>
                    <w:snapToGrid w:val="0"/>
                    <w:spacing w:before="48" w:beforeLines="20" w:after="48" w:afterLines="20"/>
                    <w:ind w:left="0" w:leftChars="0"/>
                    <w:jc w:val="center"/>
                    <w:rPr>
                      <w:rFonts w:hint="default" w:eastAsia="宋体"/>
                      <w:snapToGrid w:val="0"/>
                      <w:color w:val="auto"/>
                      <w:sz w:val="21"/>
                      <w:szCs w:val="21"/>
                      <w:lang w:val="en-US" w:eastAsia="zh-CN"/>
                    </w:rPr>
                  </w:pPr>
                  <w:r>
                    <w:rPr>
                      <w:rFonts w:hint="eastAsia"/>
                      <w:snapToGrid w:val="0"/>
                      <w:color w:val="auto"/>
                      <w:sz w:val="21"/>
                      <w:szCs w:val="21"/>
                      <w:lang w:val="en-US" w:eastAsia="zh-CN"/>
                    </w:rPr>
                    <w:t>改造</w:t>
                  </w:r>
                </w:p>
              </w:tc>
            </w:tr>
            <w:tr w14:paraId="22F0F1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733" w:type="dxa"/>
                  <w:vMerge w:val="continue"/>
                  <w:vAlign w:val="center"/>
                </w:tcPr>
                <w:p w14:paraId="574BE2C5">
                  <w:pPr>
                    <w:adjustRightInd w:val="0"/>
                    <w:snapToGrid w:val="0"/>
                    <w:spacing w:before="48" w:beforeLines="20" w:after="48" w:afterLines="20"/>
                    <w:jc w:val="center"/>
                    <w:rPr>
                      <w:snapToGrid w:val="0"/>
                      <w:color w:val="auto"/>
                      <w:kern w:val="0"/>
                      <w:szCs w:val="21"/>
                    </w:rPr>
                  </w:pPr>
                </w:p>
              </w:tc>
              <w:tc>
                <w:tcPr>
                  <w:tcW w:w="1017" w:type="dxa"/>
                  <w:vAlign w:val="center"/>
                </w:tcPr>
                <w:p w14:paraId="49E51A71">
                  <w:pPr>
                    <w:adjustRightInd w:val="0"/>
                    <w:snapToGrid w:val="0"/>
                    <w:spacing w:before="48" w:beforeLines="20" w:after="48" w:afterLines="20"/>
                    <w:jc w:val="center"/>
                    <w:rPr>
                      <w:snapToGrid w:val="0"/>
                      <w:color w:val="auto"/>
                      <w:szCs w:val="21"/>
                    </w:rPr>
                  </w:pPr>
                  <w:r>
                    <w:rPr>
                      <w:rFonts w:hint="eastAsia"/>
                      <w:snapToGrid w:val="0"/>
                      <w:color w:val="auto"/>
                      <w:szCs w:val="21"/>
                    </w:rPr>
                    <w:t>医技楼</w:t>
                  </w:r>
                </w:p>
              </w:tc>
              <w:tc>
                <w:tcPr>
                  <w:tcW w:w="5890" w:type="dxa"/>
                  <w:gridSpan w:val="2"/>
                  <w:vAlign w:val="center"/>
                </w:tcPr>
                <w:p w14:paraId="33C1538E">
                  <w:pPr>
                    <w:adjustRightInd w:val="0"/>
                    <w:snapToGrid w:val="0"/>
                    <w:spacing w:before="48" w:beforeLines="20" w:after="48" w:afterLines="20"/>
                    <w:jc w:val="both"/>
                    <w:rPr>
                      <w:rFonts w:hint="eastAsia"/>
                      <w:snapToGrid w:val="0"/>
                      <w:color w:val="auto"/>
                      <w:szCs w:val="21"/>
                    </w:rPr>
                  </w:pPr>
                  <w:r>
                    <w:rPr>
                      <w:rFonts w:hint="eastAsia"/>
                      <w:snapToGrid w:val="0"/>
                      <w:color w:val="auto"/>
                      <w:sz w:val="21"/>
                      <w:szCs w:val="21"/>
                      <w:lang w:val="en-US" w:eastAsia="zh-CN"/>
                    </w:rPr>
                    <w:t>建筑面积约489.24m</w:t>
                  </w:r>
                  <w:r>
                    <w:rPr>
                      <w:rFonts w:hint="eastAsia"/>
                      <w:snapToGrid w:val="0"/>
                      <w:color w:val="auto"/>
                      <w:sz w:val="21"/>
                      <w:szCs w:val="21"/>
                      <w:vertAlign w:val="superscript"/>
                      <w:lang w:val="en-US" w:eastAsia="zh-CN"/>
                    </w:rPr>
                    <w:t>2</w:t>
                  </w:r>
                  <w:r>
                    <w:rPr>
                      <w:rFonts w:hint="eastAsia"/>
                      <w:snapToGrid w:val="0"/>
                      <w:color w:val="auto"/>
                      <w:sz w:val="21"/>
                      <w:szCs w:val="21"/>
                    </w:rPr>
                    <w:t>，</w:t>
                  </w:r>
                  <w:r>
                    <w:rPr>
                      <w:rFonts w:hint="eastAsia"/>
                      <w:snapToGrid w:val="0"/>
                      <w:color w:val="auto"/>
                      <w:szCs w:val="21"/>
                      <w:lang w:val="en-US" w:eastAsia="zh-CN"/>
                    </w:rPr>
                    <w:t>占地面积</w:t>
                  </w:r>
                  <w:r>
                    <w:rPr>
                      <w:rFonts w:hint="eastAsia"/>
                      <w:snapToGrid w:val="0"/>
                      <w:color w:val="auto"/>
                      <w:szCs w:val="21"/>
                    </w:rPr>
                    <w:t>医技楼共两楼，一楼设有化验室、B超室、心电图室和食堂；二楼则作为宿舍使用。</w:t>
                  </w:r>
                </w:p>
                <w:p w14:paraId="02E093D6">
                  <w:pPr>
                    <w:pStyle w:val="5"/>
                    <w:numPr>
                      <w:ilvl w:val="1"/>
                      <w:numId w:val="0"/>
                    </w:numPr>
                    <w:ind w:leftChars="0"/>
                    <w:jc w:val="both"/>
                    <w:rPr>
                      <w:color w:val="auto"/>
                    </w:rPr>
                  </w:pPr>
                  <w:r>
                    <w:rPr>
                      <w:rFonts w:hint="eastAsia" w:ascii="Times New Roman" w:hAnsi="Times New Roman" w:eastAsia="宋体" w:cs="Times New Roman"/>
                      <w:b w:val="0"/>
                      <w:bCs w:val="0"/>
                      <w:snapToGrid w:val="0"/>
                      <w:color w:val="auto"/>
                      <w:kern w:val="2"/>
                      <w:sz w:val="21"/>
                      <w:szCs w:val="21"/>
                      <w:lang w:val="en-US" w:eastAsia="zh-CN" w:bidi="ar-SA"/>
                    </w:rPr>
                    <w:t>改造内容：化验室改造装修</w:t>
                  </w:r>
                </w:p>
              </w:tc>
              <w:tc>
                <w:tcPr>
                  <w:tcW w:w="759" w:type="dxa"/>
                  <w:vAlign w:val="center"/>
                </w:tcPr>
                <w:p w14:paraId="4D8F9487">
                  <w:pPr>
                    <w:pStyle w:val="23"/>
                    <w:adjustRightInd w:val="0"/>
                    <w:snapToGrid w:val="0"/>
                    <w:spacing w:before="48" w:beforeLines="20" w:after="48" w:afterLines="20"/>
                    <w:ind w:left="0" w:leftChars="0" w:firstLine="0"/>
                    <w:jc w:val="center"/>
                    <w:rPr>
                      <w:rFonts w:cs="Times New Roman"/>
                      <w:snapToGrid w:val="0"/>
                      <w:color w:val="auto"/>
                      <w:sz w:val="21"/>
                      <w:szCs w:val="21"/>
                    </w:rPr>
                  </w:pPr>
                  <w:r>
                    <w:rPr>
                      <w:rFonts w:hint="eastAsia"/>
                      <w:snapToGrid w:val="0"/>
                      <w:color w:val="auto"/>
                      <w:sz w:val="21"/>
                      <w:szCs w:val="21"/>
                      <w:lang w:val="en-US" w:eastAsia="zh-CN"/>
                    </w:rPr>
                    <w:t>改造</w:t>
                  </w:r>
                </w:p>
              </w:tc>
            </w:tr>
            <w:tr w14:paraId="5C158C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733" w:type="dxa"/>
                  <w:vMerge w:val="continue"/>
                  <w:vAlign w:val="center"/>
                </w:tcPr>
                <w:p w14:paraId="180053CF">
                  <w:pPr>
                    <w:adjustRightInd w:val="0"/>
                    <w:snapToGrid w:val="0"/>
                    <w:spacing w:before="48" w:beforeLines="20" w:after="48" w:afterLines="20"/>
                    <w:jc w:val="left"/>
                    <w:rPr>
                      <w:snapToGrid w:val="0"/>
                      <w:color w:val="auto"/>
                      <w:szCs w:val="21"/>
                    </w:rPr>
                  </w:pPr>
                </w:p>
              </w:tc>
              <w:tc>
                <w:tcPr>
                  <w:tcW w:w="1017" w:type="dxa"/>
                  <w:vAlign w:val="center"/>
                </w:tcPr>
                <w:p w14:paraId="7231086A">
                  <w:pPr>
                    <w:adjustRightInd w:val="0"/>
                    <w:snapToGrid w:val="0"/>
                    <w:spacing w:before="48" w:beforeLines="20" w:after="48" w:afterLines="20"/>
                    <w:jc w:val="center"/>
                    <w:rPr>
                      <w:snapToGrid w:val="0"/>
                      <w:color w:val="auto"/>
                      <w:szCs w:val="21"/>
                    </w:rPr>
                  </w:pPr>
                  <w:r>
                    <w:rPr>
                      <w:rFonts w:hint="eastAsia"/>
                      <w:snapToGrid w:val="0"/>
                      <w:color w:val="auto"/>
                      <w:szCs w:val="21"/>
                    </w:rPr>
                    <w:t>中医馆大楼</w:t>
                  </w:r>
                </w:p>
              </w:tc>
              <w:tc>
                <w:tcPr>
                  <w:tcW w:w="5890" w:type="dxa"/>
                  <w:gridSpan w:val="2"/>
                  <w:vAlign w:val="center"/>
                </w:tcPr>
                <w:p w14:paraId="417AABF9">
                  <w:pPr>
                    <w:adjustRightInd w:val="0"/>
                    <w:snapToGrid w:val="0"/>
                    <w:spacing w:before="48" w:beforeLines="20" w:after="48" w:afterLines="20"/>
                    <w:jc w:val="both"/>
                    <w:rPr>
                      <w:rFonts w:hint="eastAsia"/>
                      <w:snapToGrid w:val="0"/>
                      <w:color w:val="auto"/>
                      <w:szCs w:val="21"/>
                    </w:rPr>
                  </w:pPr>
                  <w:r>
                    <w:rPr>
                      <w:rFonts w:hint="eastAsia"/>
                      <w:snapToGrid w:val="0"/>
                      <w:color w:val="auto"/>
                      <w:sz w:val="21"/>
                      <w:szCs w:val="21"/>
                      <w:lang w:val="en-US" w:eastAsia="zh-CN"/>
                    </w:rPr>
                    <w:t>建筑面积约395.82m</w:t>
                  </w:r>
                  <w:r>
                    <w:rPr>
                      <w:rFonts w:hint="eastAsia"/>
                      <w:snapToGrid w:val="0"/>
                      <w:color w:val="auto"/>
                      <w:sz w:val="21"/>
                      <w:szCs w:val="21"/>
                      <w:vertAlign w:val="superscript"/>
                      <w:lang w:val="en-US" w:eastAsia="zh-CN"/>
                    </w:rPr>
                    <w:t>2</w:t>
                  </w:r>
                  <w:r>
                    <w:rPr>
                      <w:rFonts w:hint="eastAsia"/>
                      <w:snapToGrid w:val="0"/>
                      <w:color w:val="auto"/>
                      <w:sz w:val="21"/>
                      <w:szCs w:val="21"/>
                    </w:rPr>
                    <w:t>，</w:t>
                  </w:r>
                  <w:r>
                    <w:rPr>
                      <w:rFonts w:hint="eastAsia"/>
                      <w:snapToGrid w:val="0"/>
                      <w:color w:val="auto"/>
                      <w:szCs w:val="21"/>
                    </w:rPr>
                    <w:t>中医馆大楼</w:t>
                  </w:r>
                  <w:r>
                    <w:rPr>
                      <w:rFonts w:hint="eastAsia"/>
                      <w:snapToGrid w:val="0"/>
                      <w:color w:val="auto"/>
                      <w:szCs w:val="21"/>
                      <w:lang w:val="en-US" w:eastAsia="zh-CN"/>
                    </w:rPr>
                    <w:t>原为老周转房改造，</w:t>
                  </w:r>
                  <w:r>
                    <w:rPr>
                      <w:rFonts w:hint="eastAsia"/>
                      <w:snapToGrid w:val="0"/>
                      <w:color w:val="auto"/>
                      <w:szCs w:val="21"/>
                    </w:rPr>
                    <w:t>为三楼结构，一楼包括中医门诊、药房和诊疗室；二楼和三楼均作为宿舍。</w:t>
                  </w:r>
                </w:p>
                <w:p w14:paraId="44205588">
                  <w:pPr>
                    <w:pStyle w:val="5"/>
                    <w:numPr>
                      <w:ilvl w:val="1"/>
                      <w:numId w:val="0"/>
                    </w:numPr>
                    <w:ind w:leftChars="0"/>
                    <w:jc w:val="both"/>
                    <w:rPr>
                      <w:rFonts w:hint="default" w:eastAsia="宋体"/>
                      <w:color w:val="auto"/>
                      <w:lang w:val="en-US" w:eastAsia="zh-CN"/>
                    </w:rPr>
                  </w:pPr>
                  <w:r>
                    <w:rPr>
                      <w:rFonts w:hint="eastAsia" w:ascii="Times New Roman" w:hAnsi="Times New Roman" w:eastAsia="宋体" w:cs="Times New Roman"/>
                      <w:b w:val="0"/>
                      <w:bCs w:val="0"/>
                      <w:snapToGrid w:val="0"/>
                      <w:color w:val="auto"/>
                      <w:kern w:val="2"/>
                      <w:sz w:val="21"/>
                      <w:szCs w:val="21"/>
                      <w:lang w:val="en-US" w:eastAsia="zh-CN" w:bidi="ar-SA"/>
                    </w:rPr>
                    <w:t>改造内容：</w:t>
                  </w:r>
                  <w:r>
                    <w:rPr>
                      <w:rFonts w:hint="default" w:ascii="Times New Roman" w:hAnsi="Times New Roman" w:eastAsia="宋体" w:cs="Times New Roman"/>
                      <w:b w:val="0"/>
                      <w:bCs w:val="0"/>
                      <w:snapToGrid w:val="0"/>
                      <w:color w:val="auto"/>
                      <w:kern w:val="2"/>
                      <w:sz w:val="21"/>
                      <w:szCs w:val="21"/>
                      <w:lang w:val="en-US" w:eastAsia="zh-CN" w:bidi="ar-SA"/>
                    </w:rPr>
                    <w:t>翻新改造</w:t>
                  </w:r>
                </w:p>
              </w:tc>
              <w:tc>
                <w:tcPr>
                  <w:tcW w:w="759" w:type="dxa"/>
                  <w:vAlign w:val="center"/>
                </w:tcPr>
                <w:p w14:paraId="6327B9F8">
                  <w:pPr>
                    <w:pStyle w:val="23"/>
                    <w:adjustRightInd w:val="0"/>
                    <w:snapToGrid w:val="0"/>
                    <w:spacing w:before="48" w:beforeLines="20" w:after="48" w:afterLines="20"/>
                    <w:ind w:left="0" w:leftChars="0" w:firstLine="0"/>
                    <w:jc w:val="center"/>
                    <w:rPr>
                      <w:rFonts w:cs="Times New Roman"/>
                      <w:snapToGrid w:val="0"/>
                      <w:color w:val="auto"/>
                      <w:sz w:val="21"/>
                      <w:szCs w:val="21"/>
                    </w:rPr>
                  </w:pPr>
                  <w:r>
                    <w:rPr>
                      <w:rFonts w:hint="eastAsia"/>
                      <w:snapToGrid w:val="0"/>
                      <w:color w:val="auto"/>
                      <w:sz w:val="21"/>
                      <w:szCs w:val="21"/>
                      <w:lang w:val="en-US" w:eastAsia="zh-CN"/>
                    </w:rPr>
                    <w:t>改造</w:t>
                  </w:r>
                </w:p>
              </w:tc>
            </w:tr>
            <w:tr w14:paraId="1C64A0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733" w:type="dxa"/>
                  <w:vMerge w:val="continue"/>
                  <w:vAlign w:val="center"/>
                </w:tcPr>
                <w:p w14:paraId="743425AE">
                  <w:pPr>
                    <w:adjustRightInd w:val="0"/>
                    <w:snapToGrid w:val="0"/>
                    <w:spacing w:before="48" w:beforeLines="20" w:after="48" w:afterLines="20"/>
                    <w:jc w:val="center"/>
                    <w:rPr>
                      <w:snapToGrid w:val="0"/>
                      <w:color w:val="auto"/>
                      <w:szCs w:val="21"/>
                    </w:rPr>
                  </w:pPr>
                </w:p>
              </w:tc>
              <w:tc>
                <w:tcPr>
                  <w:tcW w:w="1017" w:type="dxa"/>
                  <w:vAlign w:val="center"/>
                </w:tcPr>
                <w:p w14:paraId="5309446B">
                  <w:pPr>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计免大楼</w:t>
                  </w:r>
                </w:p>
              </w:tc>
              <w:tc>
                <w:tcPr>
                  <w:tcW w:w="5890" w:type="dxa"/>
                  <w:gridSpan w:val="2"/>
                  <w:vAlign w:val="center"/>
                </w:tcPr>
                <w:p w14:paraId="5C226E53">
                  <w:pPr>
                    <w:rPr>
                      <w:rFonts w:hint="eastAsia" w:ascii="Times New Roman" w:hAnsi="Times New Roman" w:eastAsia="宋体" w:cs="Times New Roman"/>
                      <w:snapToGrid w:val="0"/>
                      <w:color w:val="auto"/>
                      <w:sz w:val="21"/>
                      <w:szCs w:val="21"/>
                      <w:lang w:val="en-US" w:eastAsia="zh-CN"/>
                    </w:rPr>
                  </w:pPr>
                  <w:r>
                    <w:rPr>
                      <w:rFonts w:hint="eastAsia" w:cs="Times New Roman"/>
                      <w:snapToGrid w:val="0"/>
                      <w:color w:val="auto"/>
                      <w:sz w:val="21"/>
                      <w:szCs w:val="21"/>
                      <w:lang w:val="en-US" w:eastAsia="zh-CN"/>
                    </w:rPr>
                    <w:t>建筑</w:t>
                  </w:r>
                  <w:r>
                    <w:rPr>
                      <w:rFonts w:hint="eastAsia" w:ascii="Times New Roman" w:hAnsi="Times New Roman" w:eastAsia="宋体" w:cs="Times New Roman"/>
                      <w:snapToGrid w:val="0"/>
                      <w:color w:val="auto"/>
                      <w:sz w:val="21"/>
                      <w:szCs w:val="21"/>
                      <w:lang w:val="en-US" w:eastAsia="zh-CN"/>
                    </w:rPr>
                    <w:t>面积约</w:t>
                  </w:r>
                  <w:r>
                    <w:rPr>
                      <w:rFonts w:hint="eastAsia" w:cs="Times New Roman"/>
                      <w:snapToGrid w:val="0"/>
                      <w:color w:val="auto"/>
                      <w:sz w:val="21"/>
                      <w:szCs w:val="21"/>
                      <w:lang w:val="en-US" w:eastAsia="zh-CN"/>
                    </w:rPr>
                    <w:t>256.4</w:t>
                  </w:r>
                  <w:r>
                    <w:rPr>
                      <w:rFonts w:hint="eastAsia" w:ascii="Times New Roman" w:hAnsi="Times New Roman" w:eastAsia="宋体" w:cs="Times New Roman"/>
                      <w:snapToGrid w:val="0"/>
                      <w:color w:val="auto"/>
                      <w:sz w:val="21"/>
                      <w:szCs w:val="21"/>
                      <w:lang w:val="en-US" w:eastAsia="zh-CN"/>
                    </w:rPr>
                    <w:t>m</w:t>
                  </w:r>
                  <w:r>
                    <w:rPr>
                      <w:rFonts w:hint="eastAsia" w:ascii="Times New Roman" w:hAnsi="Times New Roman" w:eastAsia="宋体" w:cs="Times New Roman"/>
                      <w:snapToGrid w:val="0"/>
                      <w:color w:val="auto"/>
                      <w:sz w:val="21"/>
                      <w:szCs w:val="21"/>
                      <w:vertAlign w:val="superscript"/>
                      <w:lang w:val="en-US" w:eastAsia="zh-CN"/>
                    </w:rPr>
                    <w:t>2</w:t>
                  </w:r>
                  <w:r>
                    <w:rPr>
                      <w:rFonts w:hint="eastAsia" w:ascii="Times New Roman" w:hAnsi="Times New Roman" w:eastAsia="宋体" w:cs="Times New Roman"/>
                      <w:snapToGrid w:val="0"/>
                      <w:color w:val="auto"/>
                      <w:sz w:val="21"/>
                      <w:szCs w:val="21"/>
                      <w:lang w:val="en-US" w:eastAsia="zh-CN"/>
                    </w:rPr>
                    <w:t>，计免大楼为两楼建筑，一楼设有预防接种门诊和接种室；二楼则用作仓库等其他用途。</w:t>
                  </w:r>
                </w:p>
                <w:p w14:paraId="090D94D1">
                  <w:pPr>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b w:val="0"/>
                      <w:bCs w:val="0"/>
                      <w:snapToGrid w:val="0"/>
                      <w:color w:val="auto"/>
                      <w:kern w:val="2"/>
                      <w:sz w:val="21"/>
                      <w:szCs w:val="21"/>
                      <w:lang w:val="en-US" w:eastAsia="zh-CN" w:bidi="ar-SA"/>
                    </w:rPr>
                    <w:t>改造内容：</w:t>
                  </w:r>
                  <w:r>
                    <w:rPr>
                      <w:rFonts w:hint="default" w:ascii="Times New Roman" w:hAnsi="Times New Roman" w:eastAsia="宋体" w:cs="Times New Roman"/>
                      <w:b w:val="0"/>
                      <w:bCs w:val="0"/>
                      <w:snapToGrid w:val="0"/>
                      <w:color w:val="auto"/>
                      <w:kern w:val="2"/>
                      <w:sz w:val="21"/>
                      <w:szCs w:val="21"/>
                      <w:lang w:val="en-US" w:eastAsia="zh-CN" w:bidi="ar-SA"/>
                    </w:rPr>
                    <w:t>提升改造，钢屋面拆除重建</w:t>
                  </w:r>
                </w:p>
              </w:tc>
              <w:tc>
                <w:tcPr>
                  <w:tcW w:w="759" w:type="dxa"/>
                  <w:vAlign w:val="center"/>
                </w:tcPr>
                <w:p w14:paraId="1634B563">
                  <w:pPr>
                    <w:pStyle w:val="23"/>
                    <w:adjustRightInd w:val="0"/>
                    <w:snapToGrid w:val="0"/>
                    <w:spacing w:before="48" w:beforeLines="20" w:after="48" w:afterLines="20"/>
                    <w:ind w:left="0" w:leftChars="0" w:firstLine="0"/>
                    <w:jc w:val="center"/>
                    <w:rPr>
                      <w:rFonts w:hint="default"/>
                      <w:snapToGrid w:val="0"/>
                      <w:color w:val="auto"/>
                      <w:sz w:val="21"/>
                      <w:szCs w:val="21"/>
                      <w:lang w:val="en-US"/>
                    </w:rPr>
                  </w:pPr>
                  <w:r>
                    <w:rPr>
                      <w:rFonts w:hint="eastAsia"/>
                      <w:snapToGrid w:val="0"/>
                      <w:color w:val="auto"/>
                      <w:sz w:val="21"/>
                      <w:szCs w:val="21"/>
                      <w:lang w:val="en-US" w:eastAsia="zh-CN"/>
                    </w:rPr>
                    <w:t>改造</w:t>
                  </w:r>
                </w:p>
              </w:tc>
            </w:tr>
            <w:tr w14:paraId="64A703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33" w:type="dxa"/>
                  <w:vMerge w:val="restart"/>
                  <w:vAlign w:val="center"/>
                </w:tcPr>
                <w:p w14:paraId="24603B56">
                  <w:pPr>
                    <w:adjustRightInd w:val="0"/>
                    <w:snapToGrid w:val="0"/>
                    <w:spacing w:before="48" w:beforeLines="20" w:after="48" w:afterLines="20"/>
                    <w:jc w:val="center"/>
                    <w:rPr>
                      <w:snapToGrid w:val="0"/>
                      <w:color w:val="auto"/>
                      <w:kern w:val="0"/>
                      <w:szCs w:val="21"/>
                    </w:rPr>
                  </w:pPr>
                  <w:r>
                    <w:rPr>
                      <w:rFonts w:hint="eastAsia"/>
                      <w:snapToGrid w:val="0"/>
                      <w:color w:val="auto"/>
                      <w:szCs w:val="21"/>
                    </w:rPr>
                    <w:t>配套工程</w:t>
                  </w:r>
                </w:p>
              </w:tc>
              <w:tc>
                <w:tcPr>
                  <w:tcW w:w="1017" w:type="dxa"/>
                  <w:vAlign w:val="center"/>
                </w:tcPr>
                <w:p w14:paraId="51A46227">
                  <w:pPr>
                    <w:adjustRightInd w:val="0"/>
                    <w:snapToGrid w:val="0"/>
                    <w:spacing w:before="48" w:beforeLines="20" w:after="48" w:afterLines="20"/>
                    <w:jc w:val="center"/>
                    <w:rPr>
                      <w:snapToGrid w:val="0"/>
                      <w:color w:val="auto"/>
                      <w:kern w:val="0"/>
                      <w:szCs w:val="21"/>
                    </w:rPr>
                  </w:pPr>
                  <w:bookmarkStart w:id="9" w:name="_Hlk142325611"/>
                  <w:r>
                    <w:rPr>
                      <w:rFonts w:hint="eastAsia"/>
                      <w:snapToGrid w:val="0"/>
                      <w:color w:val="auto"/>
                      <w:kern w:val="0"/>
                      <w:szCs w:val="21"/>
                    </w:rPr>
                    <w:t>食堂</w:t>
                  </w:r>
                  <w:bookmarkEnd w:id="9"/>
                </w:p>
              </w:tc>
              <w:tc>
                <w:tcPr>
                  <w:tcW w:w="5890" w:type="dxa"/>
                  <w:gridSpan w:val="2"/>
                  <w:vAlign w:val="center"/>
                </w:tcPr>
                <w:p w14:paraId="235AC766">
                  <w:pPr>
                    <w:adjustRightInd w:val="0"/>
                    <w:snapToGrid w:val="0"/>
                    <w:spacing w:before="48" w:beforeLines="20" w:after="48" w:afterLines="20"/>
                    <w:jc w:val="center"/>
                    <w:rPr>
                      <w:snapToGrid w:val="0"/>
                      <w:color w:val="auto"/>
                      <w:szCs w:val="21"/>
                    </w:rPr>
                  </w:pPr>
                  <w:r>
                    <w:rPr>
                      <w:rFonts w:hint="eastAsia"/>
                      <w:snapToGrid w:val="0"/>
                      <w:color w:val="auto"/>
                      <w:szCs w:val="21"/>
                    </w:rPr>
                    <w:t>位于医技楼1楼</w:t>
                  </w:r>
                </w:p>
              </w:tc>
              <w:tc>
                <w:tcPr>
                  <w:tcW w:w="759" w:type="dxa"/>
                  <w:vAlign w:val="center"/>
                </w:tcPr>
                <w:p w14:paraId="56973BA9">
                  <w:pPr>
                    <w:pStyle w:val="23"/>
                    <w:adjustRightInd w:val="0"/>
                    <w:snapToGrid w:val="0"/>
                    <w:spacing w:before="48" w:beforeLines="20" w:after="48" w:afterLines="20"/>
                    <w:ind w:left="0" w:leftChars="0" w:firstLine="0" w:firstLineChars="0"/>
                    <w:jc w:val="center"/>
                    <w:rPr>
                      <w:snapToGrid w:val="0"/>
                      <w:color w:val="auto"/>
                      <w:szCs w:val="21"/>
                    </w:rPr>
                  </w:pPr>
                  <w:r>
                    <w:rPr>
                      <w:rFonts w:hint="eastAsia"/>
                      <w:snapToGrid w:val="0"/>
                      <w:color w:val="auto"/>
                      <w:sz w:val="21"/>
                      <w:szCs w:val="21"/>
                      <w:lang w:val="en-US" w:eastAsia="zh-CN"/>
                    </w:rPr>
                    <w:t>已建</w:t>
                  </w:r>
                </w:p>
              </w:tc>
            </w:tr>
            <w:tr w14:paraId="5C5480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33" w:type="dxa"/>
                  <w:vMerge w:val="continue"/>
                  <w:vAlign w:val="center"/>
                </w:tcPr>
                <w:p w14:paraId="2D5E4633">
                  <w:pPr>
                    <w:adjustRightInd w:val="0"/>
                    <w:snapToGrid w:val="0"/>
                    <w:spacing w:before="48" w:beforeLines="20" w:after="48" w:afterLines="20"/>
                    <w:jc w:val="center"/>
                    <w:rPr>
                      <w:snapToGrid w:val="0"/>
                      <w:color w:val="auto"/>
                      <w:szCs w:val="21"/>
                    </w:rPr>
                  </w:pPr>
                </w:p>
              </w:tc>
              <w:tc>
                <w:tcPr>
                  <w:tcW w:w="1017" w:type="dxa"/>
                  <w:vAlign w:val="center"/>
                </w:tcPr>
                <w:p w14:paraId="424A985F">
                  <w:pPr>
                    <w:adjustRightInd w:val="0"/>
                    <w:snapToGrid w:val="0"/>
                    <w:spacing w:before="48" w:beforeLines="20" w:after="48" w:afterLines="20"/>
                    <w:jc w:val="center"/>
                    <w:rPr>
                      <w:snapToGrid w:val="0"/>
                      <w:color w:val="auto"/>
                      <w:kern w:val="0"/>
                      <w:szCs w:val="21"/>
                    </w:rPr>
                  </w:pPr>
                  <w:r>
                    <w:rPr>
                      <w:rFonts w:hint="eastAsia"/>
                      <w:snapToGrid w:val="0"/>
                      <w:color w:val="auto"/>
                      <w:kern w:val="0"/>
                      <w:szCs w:val="21"/>
                    </w:rPr>
                    <w:t>宿舍</w:t>
                  </w:r>
                </w:p>
              </w:tc>
              <w:tc>
                <w:tcPr>
                  <w:tcW w:w="5890" w:type="dxa"/>
                  <w:gridSpan w:val="2"/>
                  <w:vAlign w:val="center"/>
                </w:tcPr>
                <w:p w14:paraId="1F92F841">
                  <w:pPr>
                    <w:adjustRightInd w:val="0"/>
                    <w:snapToGrid w:val="0"/>
                    <w:spacing w:before="48" w:beforeLines="20" w:after="48" w:afterLines="20"/>
                    <w:jc w:val="center"/>
                    <w:rPr>
                      <w:snapToGrid w:val="0"/>
                      <w:color w:val="auto"/>
                      <w:szCs w:val="21"/>
                    </w:rPr>
                  </w:pPr>
                  <w:r>
                    <w:rPr>
                      <w:rFonts w:hint="eastAsia"/>
                      <w:snapToGrid w:val="0"/>
                      <w:color w:val="auto"/>
                      <w:szCs w:val="21"/>
                    </w:rPr>
                    <w:t>位于中医馆二楼和三楼及医技楼</w:t>
                  </w:r>
                  <w:r>
                    <w:rPr>
                      <w:rFonts w:hint="eastAsia"/>
                      <w:snapToGrid w:val="0"/>
                      <w:color w:val="auto"/>
                      <w:szCs w:val="21"/>
                      <w:lang w:val="en-US" w:eastAsia="zh-CN"/>
                    </w:rPr>
                    <w:t>二</w:t>
                  </w:r>
                  <w:r>
                    <w:rPr>
                      <w:rFonts w:hint="eastAsia"/>
                      <w:snapToGrid w:val="0"/>
                      <w:color w:val="auto"/>
                      <w:szCs w:val="21"/>
                    </w:rPr>
                    <w:t>楼</w:t>
                  </w:r>
                </w:p>
              </w:tc>
              <w:tc>
                <w:tcPr>
                  <w:tcW w:w="759" w:type="dxa"/>
                  <w:vAlign w:val="center"/>
                </w:tcPr>
                <w:p w14:paraId="058FA219">
                  <w:pPr>
                    <w:pStyle w:val="23"/>
                    <w:adjustRightInd w:val="0"/>
                    <w:snapToGrid w:val="0"/>
                    <w:spacing w:before="48" w:beforeLines="20" w:after="48" w:afterLines="20"/>
                    <w:ind w:left="0" w:leftChars="0" w:firstLine="0" w:firstLineChars="0"/>
                    <w:jc w:val="center"/>
                    <w:rPr>
                      <w:snapToGrid w:val="0"/>
                      <w:color w:val="auto"/>
                      <w:szCs w:val="21"/>
                    </w:rPr>
                  </w:pPr>
                  <w:r>
                    <w:rPr>
                      <w:rFonts w:hint="eastAsia"/>
                      <w:snapToGrid w:val="0"/>
                      <w:color w:val="auto"/>
                      <w:sz w:val="21"/>
                      <w:szCs w:val="21"/>
                      <w:lang w:val="en-US" w:eastAsia="zh-CN"/>
                    </w:rPr>
                    <w:t>已建</w:t>
                  </w:r>
                </w:p>
              </w:tc>
            </w:tr>
            <w:tr w14:paraId="645946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33" w:type="dxa"/>
                  <w:vMerge w:val="continue"/>
                  <w:vAlign w:val="center"/>
                </w:tcPr>
                <w:p w14:paraId="0A9A83F9">
                  <w:pPr>
                    <w:adjustRightInd w:val="0"/>
                    <w:snapToGrid w:val="0"/>
                    <w:spacing w:before="48" w:beforeLines="20" w:after="48" w:afterLines="20"/>
                    <w:jc w:val="center"/>
                    <w:rPr>
                      <w:snapToGrid w:val="0"/>
                      <w:color w:val="auto"/>
                      <w:kern w:val="0"/>
                      <w:szCs w:val="21"/>
                    </w:rPr>
                  </w:pPr>
                </w:p>
              </w:tc>
              <w:tc>
                <w:tcPr>
                  <w:tcW w:w="1017" w:type="dxa"/>
                  <w:vAlign w:val="center"/>
                </w:tcPr>
                <w:p w14:paraId="7CEBDA64">
                  <w:pPr>
                    <w:adjustRightInd w:val="0"/>
                    <w:snapToGrid w:val="0"/>
                    <w:spacing w:before="48" w:beforeLines="20" w:after="48" w:afterLines="20"/>
                    <w:jc w:val="center"/>
                    <w:rPr>
                      <w:snapToGrid w:val="0"/>
                      <w:color w:val="auto"/>
                      <w:kern w:val="0"/>
                      <w:szCs w:val="21"/>
                    </w:rPr>
                  </w:pPr>
                  <w:r>
                    <w:rPr>
                      <w:rFonts w:hint="eastAsia"/>
                      <w:snapToGrid w:val="0"/>
                      <w:color w:val="auto"/>
                      <w:kern w:val="0"/>
                      <w:szCs w:val="21"/>
                    </w:rPr>
                    <w:t>门卫</w:t>
                  </w:r>
                </w:p>
              </w:tc>
              <w:tc>
                <w:tcPr>
                  <w:tcW w:w="5890" w:type="dxa"/>
                  <w:gridSpan w:val="2"/>
                  <w:vAlign w:val="center"/>
                </w:tcPr>
                <w:p w14:paraId="431FF489">
                  <w:pPr>
                    <w:adjustRightInd w:val="0"/>
                    <w:snapToGrid w:val="0"/>
                    <w:spacing w:before="48" w:beforeLines="20" w:after="48" w:afterLines="20"/>
                    <w:jc w:val="center"/>
                    <w:rPr>
                      <w:snapToGrid w:val="0"/>
                      <w:color w:val="auto"/>
                      <w:szCs w:val="21"/>
                    </w:rPr>
                  </w:pPr>
                  <w:r>
                    <w:rPr>
                      <w:rFonts w:hint="eastAsia"/>
                      <w:snapToGrid w:val="0"/>
                      <w:color w:val="auto"/>
                      <w:szCs w:val="21"/>
                    </w:rPr>
                    <w:t>位于卫生院东南角</w:t>
                  </w:r>
                </w:p>
              </w:tc>
              <w:tc>
                <w:tcPr>
                  <w:tcW w:w="759" w:type="dxa"/>
                  <w:vAlign w:val="center"/>
                </w:tcPr>
                <w:p w14:paraId="049DDE7E">
                  <w:pPr>
                    <w:pStyle w:val="23"/>
                    <w:adjustRightInd w:val="0"/>
                    <w:snapToGrid w:val="0"/>
                    <w:spacing w:before="48" w:beforeLines="20" w:after="48" w:afterLines="20"/>
                    <w:ind w:left="0" w:leftChars="0" w:firstLine="0" w:firstLineChars="0"/>
                    <w:jc w:val="center"/>
                    <w:rPr>
                      <w:snapToGrid w:val="0"/>
                      <w:color w:val="auto"/>
                      <w:szCs w:val="21"/>
                    </w:rPr>
                  </w:pPr>
                  <w:r>
                    <w:rPr>
                      <w:rFonts w:hint="eastAsia"/>
                      <w:snapToGrid w:val="0"/>
                      <w:color w:val="auto"/>
                      <w:sz w:val="21"/>
                      <w:szCs w:val="21"/>
                      <w:lang w:val="en-US" w:eastAsia="zh-CN"/>
                    </w:rPr>
                    <w:t>已建</w:t>
                  </w:r>
                </w:p>
              </w:tc>
            </w:tr>
            <w:tr w14:paraId="71549F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33" w:type="dxa"/>
                  <w:vMerge w:val="continue"/>
                  <w:vAlign w:val="center"/>
                </w:tcPr>
                <w:p w14:paraId="1ACD6279">
                  <w:pPr>
                    <w:adjustRightInd w:val="0"/>
                    <w:snapToGrid w:val="0"/>
                    <w:spacing w:before="48" w:beforeLines="20" w:after="48" w:afterLines="20"/>
                    <w:jc w:val="center"/>
                    <w:rPr>
                      <w:snapToGrid w:val="0"/>
                      <w:color w:val="auto"/>
                      <w:kern w:val="0"/>
                      <w:szCs w:val="21"/>
                    </w:rPr>
                  </w:pPr>
                </w:p>
              </w:tc>
              <w:tc>
                <w:tcPr>
                  <w:tcW w:w="1017" w:type="dxa"/>
                  <w:vAlign w:val="center"/>
                </w:tcPr>
                <w:p w14:paraId="55AE773C">
                  <w:pPr>
                    <w:adjustRightInd w:val="0"/>
                    <w:snapToGrid w:val="0"/>
                    <w:spacing w:before="48" w:beforeLines="20" w:after="48" w:afterLines="20"/>
                    <w:jc w:val="center"/>
                    <w:rPr>
                      <w:rFonts w:hint="default" w:eastAsia="宋体"/>
                      <w:snapToGrid w:val="0"/>
                      <w:color w:val="auto"/>
                      <w:kern w:val="0"/>
                      <w:szCs w:val="21"/>
                      <w:lang w:val="en-US" w:eastAsia="zh-CN"/>
                    </w:rPr>
                  </w:pPr>
                  <w:r>
                    <w:rPr>
                      <w:rFonts w:hint="eastAsia"/>
                      <w:snapToGrid w:val="0"/>
                      <w:color w:val="auto"/>
                      <w:kern w:val="0"/>
                      <w:szCs w:val="21"/>
                      <w:lang w:val="en-US" w:eastAsia="zh-CN"/>
                    </w:rPr>
                    <w:t>洗衣房</w:t>
                  </w:r>
                </w:p>
              </w:tc>
              <w:tc>
                <w:tcPr>
                  <w:tcW w:w="5890" w:type="dxa"/>
                  <w:gridSpan w:val="2"/>
                  <w:vAlign w:val="center"/>
                </w:tcPr>
                <w:p w14:paraId="598CD5A3">
                  <w:pPr>
                    <w:adjustRightInd w:val="0"/>
                    <w:snapToGrid w:val="0"/>
                    <w:spacing w:before="48" w:beforeLines="20" w:after="48" w:afterLines="20"/>
                    <w:jc w:val="center"/>
                    <w:rPr>
                      <w:rFonts w:hint="default" w:eastAsia="宋体"/>
                      <w:snapToGrid w:val="0"/>
                      <w:color w:val="auto"/>
                      <w:szCs w:val="21"/>
                      <w:lang w:val="en-US" w:eastAsia="zh-CN"/>
                    </w:rPr>
                  </w:pPr>
                  <w:r>
                    <w:rPr>
                      <w:rFonts w:hint="eastAsia"/>
                      <w:snapToGrid w:val="0"/>
                      <w:color w:val="auto"/>
                      <w:szCs w:val="21"/>
                      <w:lang w:val="en-US" w:eastAsia="zh-CN"/>
                    </w:rPr>
                    <w:t>位于门诊综合楼一楼厕所旁</w:t>
                  </w:r>
                </w:p>
              </w:tc>
              <w:tc>
                <w:tcPr>
                  <w:tcW w:w="759" w:type="dxa"/>
                  <w:vAlign w:val="center"/>
                </w:tcPr>
                <w:p w14:paraId="75EB73EA">
                  <w:pPr>
                    <w:pStyle w:val="23"/>
                    <w:adjustRightInd w:val="0"/>
                    <w:snapToGrid w:val="0"/>
                    <w:spacing w:before="48" w:beforeLines="20" w:after="48" w:afterLines="20"/>
                    <w:ind w:left="0" w:leftChars="0" w:firstLine="0" w:firstLineChars="0"/>
                    <w:jc w:val="center"/>
                    <w:rPr>
                      <w:rFonts w:hint="eastAsia"/>
                      <w:snapToGrid w:val="0"/>
                      <w:color w:val="auto"/>
                      <w:sz w:val="21"/>
                      <w:szCs w:val="21"/>
                      <w:lang w:val="en-US" w:eastAsia="zh-CN"/>
                    </w:rPr>
                  </w:pPr>
                  <w:r>
                    <w:rPr>
                      <w:rFonts w:hint="eastAsia"/>
                      <w:snapToGrid w:val="0"/>
                      <w:color w:val="auto"/>
                      <w:sz w:val="21"/>
                      <w:szCs w:val="21"/>
                      <w:lang w:val="en-US" w:eastAsia="zh-CN"/>
                    </w:rPr>
                    <w:t>已建</w:t>
                  </w:r>
                </w:p>
              </w:tc>
            </w:tr>
            <w:bookmarkEnd w:id="8"/>
            <w:tr w14:paraId="5DFB3A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733" w:type="dxa"/>
                  <w:vMerge w:val="restart"/>
                  <w:vAlign w:val="center"/>
                </w:tcPr>
                <w:p w14:paraId="074E6E25">
                  <w:pPr>
                    <w:adjustRightInd w:val="0"/>
                    <w:snapToGrid w:val="0"/>
                    <w:spacing w:before="48" w:beforeLines="20" w:after="48" w:afterLines="20"/>
                    <w:jc w:val="center"/>
                    <w:rPr>
                      <w:snapToGrid w:val="0"/>
                      <w:color w:val="auto"/>
                      <w:kern w:val="0"/>
                      <w:szCs w:val="21"/>
                    </w:rPr>
                  </w:pPr>
                  <w:r>
                    <w:rPr>
                      <w:snapToGrid w:val="0"/>
                      <w:color w:val="auto"/>
                      <w:kern w:val="0"/>
                      <w:szCs w:val="21"/>
                    </w:rPr>
                    <w:t>公用工程</w:t>
                  </w:r>
                </w:p>
              </w:tc>
              <w:tc>
                <w:tcPr>
                  <w:tcW w:w="1017" w:type="dxa"/>
                  <w:vAlign w:val="center"/>
                </w:tcPr>
                <w:p w14:paraId="70B50734">
                  <w:pPr>
                    <w:adjustRightInd w:val="0"/>
                    <w:snapToGrid w:val="0"/>
                    <w:spacing w:before="48" w:beforeLines="20" w:after="48" w:afterLines="20"/>
                    <w:jc w:val="center"/>
                    <w:rPr>
                      <w:snapToGrid w:val="0"/>
                      <w:color w:val="auto"/>
                      <w:kern w:val="0"/>
                      <w:szCs w:val="21"/>
                    </w:rPr>
                  </w:pPr>
                  <w:r>
                    <w:rPr>
                      <w:snapToGrid w:val="0"/>
                      <w:color w:val="auto"/>
                      <w:kern w:val="0"/>
                      <w:szCs w:val="21"/>
                    </w:rPr>
                    <w:t>供电</w:t>
                  </w:r>
                </w:p>
              </w:tc>
              <w:tc>
                <w:tcPr>
                  <w:tcW w:w="1202" w:type="dxa"/>
                  <w:vAlign w:val="center"/>
                </w:tcPr>
                <w:p w14:paraId="6B9325B5">
                  <w:pPr>
                    <w:adjustRightInd w:val="0"/>
                    <w:snapToGrid w:val="0"/>
                    <w:spacing w:before="48" w:beforeLines="20" w:after="48" w:afterLines="20"/>
                    <w:rPr>
                      <w:snapToGrid w:val="0"/>
                      <w:color w:val="auto"/>
                      <w:kern w:val="0"/>
                      <w:szCs w:val="21"/>
                    </w:rPr>
                  </w:pPr>
                  <w:r>
                    <w:rPr>
                      <w:snapToGrid w:val="0"/>
                      <w:color w:val="auto"/>
                      <w:kern w:val="0"/>
                      <w:szCs w:val="21"/>
                    </w:rPr>
                    <w:t>配电间及电网</w:t>
                  </w:r>
                </w:p>
              </w:tc>
              <w:tc>
                <w:tcPr>
                  <w:tcW w:w="4688" w:type="dxa"/>
                  <w:vAlign w:val="center"/>
                </w:tcPr>
                <w:p w14:paraId="015B0CC8">
                  <w:pPr>
                    <w:adjustRightInd w:val="0"/>
                    <w:snapToGrid w:val="0"/>
                    <w:spacing w:before="48" w:beforeLines="20" w:after="48" w:afterLines="20"/>
                    <w:jc w:val="center"/>
                    <w:rPr>
                      <w:snapToGrid w:val="0"/>
                      <w:color w:val="auto"/>
                      <w:kern w:val="0"/>
                      <w:szCs w:val="21"/>
                    </w:rPr>
                  </w:pPr>
                  <w:r>
                    <w:rPr>
                      <w:snapToGrid w:val="0"/>
                      <w:color w:val="auto"/>
                      <w:szCs w:val="21"/>
                    </w:rPr>
                    <w:t>市政电网供电</w:t>
                  </w:r>
                  <w:r>
                    <w:rPr>
                      <w:rFonts w:hint="eastAsia"/>
                      <w:snapToGrid w:val="0"/>
                      <w:color w:val="auto"/>
                      <w:szCs w:val="21"/>
                    </w:rPr>
                    <w:t>，为双电源双回路供电系统，不设置应急配电设施。</w:t>
                  </w:r>
                </w:p>
              </w:tc>
              <w:tc>
                <w:tcPr>
                  <w:tcW w:w="759" w:type="dxa"/>
                  <w:vAlign w:val="center"/>
                </w:tcPr>
                <w:p w14:paraId="62B5F4AA">
                  <w:pPr>
                    <w:pStyle w:val="23"/>
                    <w:adjustRightInd w:val="0"/>
                    <w:snapToGrid w:val="0"/>
                    <w:spacing w:before="48" w:beforeLines="20" w:after="48" w:afterLines="20"/>
                    <w:ind w:left="0" w:leftChars="0" w:firstLine="0" w:firstLineChars="0"/>
                    <w:jc w:val="center"/>
                    <w:rPr>
                      <w:rFonts w:hint="eastAsia" w:eastAsia="宋体"/>
                      <w:snapToGrid w:val="0"/>
                      <w:color w:val="auto"/>
                      <w:szCs w:val="21"/>
                      <w:lang w:eastAsia="zh-CN"/>
                    </w:rPr>
                  </w:pPr>
                  <w:r>
                    <w:rPr>
                      <w:rFonts w:hint="eastAsia"/>
                      <w:snapToGrid w:val="0"/>
                      <w:color w:val="auto"/>
                      <w:sz w:val="21"/>
                      <w:szCs w:val="21"/>
                      <w:lang w:val="en-US" w:eastAsia="zh-CN"/>
                    </w:rPr>
                    <w:t>已建</w:t>
                  </w:r>
                </w:p>
              </w:tc>
            </w:tr>
            <w:tr w14:paraId="05301A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vMerge w:val="continue"/>
                  <w:vAlign w:val="center"/>
                </w:tcPr>
                <w:p w14:paraId="50EF4CEE">
                  <w:pPr>
                    <w:adjustRightInd w:val="0"/>
                    <w:snapToGrid w:val="0"/>
                    <w:spacing w:before="48" w:beforeLines="20" w:after="48" w:afterLines="20"/>
                    <w:jc w:val="center"/>
                    <w:rPr>
                      <w:snapToGrid w:val="0"/>
                      <w:color w:val="auto"/>
                      <w:kern w:val="0"/>
                      <w:szCs w:val="21"/>
                    </w:rPr>
                  </w:pPr>
                </w:p>
              </w:tc>
              <w:tc>
                <w:tcPr>
                  <w:tcW w:w="1017" w:type="dxa"/>
                  <w:vAlign w:val="center"/>
                </w:tcPr>
                <w:p w14:paraId="7FF61C2D">
                  <w:pPr>
                    <w:adjustRightInd w:val="0"/>
                    <w:snapToGrid w:val="0"/>
                    <w:spacing w:before="48" w:beforeLines="20" w:after="48" w:afterLines="20"/>
                    <w:jc w:val="center"/>
                    <w:rPr>
                      <w:snapToGrid w:val="0"/>
                      <w:color w:val="auto"/>
                      <w:kern w:val="0"/>
                      <w:szCs w:val="21"/>
                    </w:rPr>
                  </w:pPr>
                  <w:r>
                    <w:rPr>
                      <w:snapToGrid w:val="0"/>
                      <w:color w:val="auto"/>
                      <w:kern w:val="0"/>
                      <w:szCs w:val="21"/>
                    </w:rPr>
                    <w:t>给水</w:t>
                  </w:r>
                </w:p>
              </w:tc>
              <w:tc>
                <w:tcPr>
                  <w:tcW w:w="1202" w:type="dxa"/>
                  <w:vAlign w:val="center"/>
                </w:tcPr>
                <w:p w14:paraId="6DDA13C9">
                  <w:pPr>
                    <w:adjustRightInd w:val="0"/>
                    <w:snapToGrid w:val="0"/>
                    <w:spacing w:before="48" w:beforeLines="20" w:after="48" w:afterLines="20"/>
                    <w:rPr>
                      <w:snapToGrid w:val="0"/>
                      <w:color w:val="auto"/>
                      <w:kern w:val="0"/>
                      <w:szCs w:val="21"/>
                    </w:rPr>
                  </w:pPr>
                  <w:r>
                    <w:rPr>
                      <w:snapToGrid w:val="0"/>
                      <w:color w:val="auto"/>
                      <w:kern w:val="0"/>
                      <w:szCs w:val="21"/>
                    </w:rPr>
                    <w:t>医疗及生活用水</w:t>
                  </w:r>
                </w:p>
              </w:tc>
              <w:tc>
                <w:tcPr>
                  <w:tcW w:w="4688" w:type="dxa"/>
                  <w:vAlign w:val="center"/>
                </w:tcPr>
                <w:p w14:paraId="76C854A5">
                  <w:pPr>
                    <w:adjustRightInd w:val="0"/>
                    <w:snapToGrid w:val="0"/>
                    <w:spacing w:before="48" w:beforeLines="20" w:after="48" w:afterLines="20"/>
                    <w:jc w:val="center"/>
                    <w:rPr>
                      <w:snapToGrid w:val="0"/>
                      <w:color w:val="auto"/>
                      <w:szCs w:val="21"/>
                    </w:rPr>
                  </w:pPr>
                  <w:r>
                    <w:rPr>
                      <w:rFonts w:hint="eastAsia"/>
                      <w:snapToGrid w:val="0"/>
                      <w:color w:val="auto"/>
                      <w:szCs w:val="21"/>
                    </w:rPr>
                    <w:t>由市政自来水管网引入</w:t>
                  </w:r>
                </w:p>
              </w:tc>
              <w:tc>
                <w:tcPr>
                  <w:tcW w:w="759" w:type="dxa"/>
                  <w:vAlign w:val="center"/>
                </w:tcPr>
                <w:p w14:paraId="6730FA22">
                  <w:pPr>
                    <w:pStyle w:val="23"/>
                    <w:adjustRightInd w:val="0"/>
                    <w:snapToGrid w:val="0"/>
                    <w:spacing w:before="48" w:beforeLines="20" w:after="48" w:afterLines="20"/>
                    <w:ind w:left="0" w:leftChars="0" w:firstLine="0" w:firstLineChars="0"/>
                    <w:jc w:val="center"/>
                    <w:rPr>
                      <w:rFonts w:hint="eastAsia" w:eastAsia="宋体"/>
                      <w:snapToGrid w:val="0"/>
                      <w:color w:val="auto"/>
                      <w:szCs w:val="21"/>
                      <w:lang w:eastAsia="zh-CN"/>
                    </w:rPr>
                  </w:pPr>
                  <w:r>
                    <w:rPr>
                      <w:rFonts w:hint="eastAsia"/>
                      <w:snapToGrid w:val="0"/>
                      <w:color w:val="auto"/>
                      <w:sz w:val="21"/>
                      <w:szCs w:val="21"/>
                      <w:lang w:val="en-US" w:eastAsia="zh-CN"/>
                    </w:rPr>
                    <w:t>已建</w:t>
                  </w:r>
                </w:p>
              </w:tc>
            </w:tr>
            <w:tr w14:paraId="53AF88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vMerge w:val="continue"/>
                  <w:vAlign w:val="center"/>
                </w:tcPr>
                <w:p w14:paraId="16CB9A06">
                  <w:pPr>
                    <w:adjustRightInd w:val="0"/>
                    <w:snapToGrid w:val="0"/>
                    <w:spacing w:before="48" w:beforeLines="20" w:after="48" w:afterLines="20"/>
                    <w:jc w:val="center"/>
                    <w:rPr>
                      <w:snapToGrid w:val="0"/>
                      <w:color w:val="auto"/>
                      <w:kern w:val="0"/>
                      <w:szCs w:val="21"/>
                    </w:rPr>
                  </w:pPr>
                </w:p>
              </w:tc>
              <w:tc>
                <w:tcPr>
                  <w:tcW w:w="1017" w:type="dxa"/>
                  <w:vAlign w:val="center"/>
                </w:tcPr>
                <w:p w14:paraId="01E6CA66">
                  <w:pPr>
                    <w:adjustRightInd w:val="0"/>
                    <w:snapToGrid w:val="0"/>
                    <w:spacing w:before="48" w:beforeLines="20" w:after="48" w:afterLines="20"/>
                    <w:jc w:val="center"/>
                    <w:rPr>
                      <w:rFonts w:hint="default" w:eastAsia="宋体"/>
                      <w:snapToGrid w:val="0"/>
                      <w:color w:val="auto"/>
                      <w:kern w:val="0"/>
                      <w:szCs w:val="21"/>
                      <w:lang w:val="en-US" w:eastAsia="zh-CN"/>
                    </w:rPr>
                  </w:pPr>
                  <w:r>
                    <w:rPr>
                      <w:rFonts w:hint="eastAsia"/>
                      <w:snapToGrid w:val="0"/>
                      <w:color w:val="auto"/>
                      <w:kern w:val="0"/>
                      <w:szCs w:val="21"/>
                      <w:lang w:val="en-US" w:eastAsia="zh-CN"/>
                    </w:rPr>
                    <w:t>供暖方式</w:t>
                  </w:r>
                </w:p>
              </w:tc>
              <w:tc>
                <w:tcPr>
                  <w:tcW w:w="5890" w:type="dxa"/>
                  <w:gridSpan w:val="2"/>
                  <w:vAlign w:val="center"/>
                </w:tcPr>
                <w:p w14:paraId="314AD5BC">
                  <w:pPr>
                    <w:adjustRightInd w:val="0"/>
                    <w:snapToGrid w:val="0"/>
                    <w:spacing w:before="48" w:beforeLines="20" w:after="48" w:afterLines="20"/>
                    <w:jc w:val="center"/>
                    <w:rPr>
                      <w:rFonts w:hint="default" w:eastAsia="宋体"/>
                      <w:snapToGrid w:val="0"/>
                      <w:color w:val="auto"/>
                      <w:szCs w:val="21"/>
                      <w:lang w:val="en-US" w:eastAsia="zh-CN"/>
                    </w:rPr>
                  </w:pPr>
                  <w:r>
                    <w:rPr>
                      <w:rFonts w:hint="eastAsia"/>
                      <w:snapToGrid w:val="0"/>
                      <w:color w:val="7030A0"/>
                      <w:szCs w:val="21"/>
                      <w:lang w:val="en-US" w:eastAsia="zh-CN"/>
                    </w:rPr>
                    <w:t>采用电加热</w:t>
                  </w:r>
                </w:p>
              </w:tc>
              <w:tc>
                <w:tcPr>
                  <w:tcW w:w="759" w:type="dxa"/>
                  <w:vAlign w:val="center"/>
                </w:tcPr>
                <w:p w14:paraId="7E90BFFF">
                  <w:pPr>
                    <w:pStyle w:val="23"/>
                    <w:adjustRightInd w:val="0"/>
                    <w:snapToGrid w:val="0"/>
                    <w:spacing w:before="48" w:beforeLines="20" w:after="48" w:afterLines="20"/>
                    <w:ind w:left="0" w:leftChars="0" w:firstLine="0" w:firstLineChars="0"/>
                    <w:jc w:val="center"/>
                    <w:rPr>
                      <w:rFonts w:hint="eastAsia"/>
                      <w:snapToGrid w:val="0"/>
                      <w:color w:val="auto"/>
                      <w:sz w:val="21"/>
                      <w:szCs w:val="21"/>
                      <w:lang w:val="en-US" w:eastAsia="zh-CN"/>
                    </w:rPr>
                  </w:pPr>
                  <w:r>
                    <w:rPr>
                      <w:rFonts w:hint="eastAsia"/>
                      <w:snapToGrid w:val="0"/>
                      <w:color w:val="auto"/>
                      <w:sz w:val="21"/>
                      <w:szCs w:val="21"/>
                      <w:lang w:val="en-US" w:eastAsia="zh-CN"/>
                    </w:rPr>
                    <w:t>已建</w:t>
                  </w:r>
                </w:p>
              </w:tc>
            </w:tr>
            <w:tr w14:paraId="33077B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Merge w:val="continue"/>
                  <w:vAlign w:val="center"/>
                </w:tcPr>
                <w:p w14:paraId="089D293B">
                  <w:pPr>
                    <w:adjustRightInd w:val="0"/>
                    <w:snapToGrid w:val="0"/>
                    <w:spacing w:before="48" w:beforeLines="20" w:after="48" w:afterLines="20"/>
                    <w:jc w:val="center"/>
                    <w:rPr>
                      <w:snapToGrid w:val="0"/>
                      <w:color w:val="auto"/>
                      <w:kern w:val="0"/>
                      <w:szCs w:val="21"/>
                    </w:rPr>
                  </w:pPr>
                </w:p>
              </w:tc>
              <w:tc>
                <w:tcPr>
                  <w:tcW w:w="1017" w:type="dxa"/>
                  <w:vAlign w:val="center"/>
                </w:tcPr>
                <w:p w14:paraId="231C7F25">
                  <w:pPr>
                    <w:adjustRightInd w:val="0"/>
                    <w:snapToGrid w:val="0"/>
                    <w:spacing w:before="48" w:beforeLines="20" w:after="48" w:afterLines="20"/>
                    <w:jc w:val="center"/>
                    <w:rPr>
                      <w:snapToGrid w:val="0"/>
                      <w:color w:val="auto"/>
                      <w:kern w:val="0"/>
                      <w:szCs w:val="21"/>
                    </w:rPr>
                  </w:pPr>
                  <w:r>
                    <w:rPr>
                      <w:snapToGrid w:val="0"/>
                      <w:color w:val="auto"/>
                      <w:kern w:val="0"/>
                      <w:szCs w:val="21"/>
                    </w:rPr>
                    <w:t>排水</w:t>
                  </w:r>
                </w:p>
              </w:tc>
              <w:tc>
                <w:tcPr>
                  <w:tcW w:w="5890" w:type="dxa"/>
                  <w:gridSpan w:val="2"/>
                  <w:vAlign w:val="center"/>
                </w:tcPr>
                <w:p w14:paraId="72F772C4">
                  <w:pPr>
                    <w:adjustRightInd w:val="0"/>
                    <w:snapToGrid w:val="0"/>
                    <w:spacing w:before="48" w:beforeLines="20" w:after="48" w:afterLines="20"/>
                    <w:rPr>
                      <w:snapToGrid w:val="0"/>
                      <w:color w:val="auto"/>
                      <w:kern w:val="0"/>
                      <w:szCs w:val="21"/>
                    </w:rPr>
                  </w:pPr>
                  <w:r>
                    <w:rPr>
                      <w:rFonts w:hint="eastAsia"/>
                      <w:snapToGrid w:val="0"/>
                      <w:color w:val="auto"/>
                      <w:kern w:val="0"/>
                      <w:szCs w:val="21"/>
                    </w:rPr>
                    <w:t>①院区采用雨污分流，雨水通过项目区雨水截沟收集后排入市政雨水管道；</w:t>
                  </w:r>
                </w:p>
                <w:p w14:paraId="09F3FCBD">
                  <w:pPr>
                    <w:adjustRightInd w:val="0"/>
                    <w:snapToGrid w:val="0"/>
                    <w:spacing w:before="48" w:beforeLines="20" w:after="48" w:afterLines="20"/>
                    <w:rPr>
                      <w:snapToGrid w:val="0"/>
                      <w:color w:val="auto"/>
                      <w:kern w:val="0"/>
                      <w:szCs w:val="21"/>
                    </w:rPr>
                  </w:pPr>
                  <w:r>
                    <w:rPr>
                      <w:rFonts w:hint="eastAsia"/>
                      <w:snapToGrid w:val="0"/>
                      <w:color w:val="auto"/>
                      <w:kern w:val="0"/>
                      <w:szCs w:val="21"/>
                    </w:rPr>
                    <w:t>②食堂废水经隔油池处理后排入化粪池，再进入院内污水处理站；</w:t>
                  </w:r>
                </w:p>
                <w:p w14:paraId="47EC9D72">
                  <w:pPr>
                    <w:adjustRightInd w:val="0"/>
                    <w:snapToGrid w:val="0"/>
                    <w:spacing w:before="48" w:beforeLines="20" w:after="48" w:afterLines="20"/>
                    <w:rPr>
                      <w:snapToGrid w:val="0"/>
                      <w:color w:val="auto"/>
                      <w:kern w:val="0"/>
                      <w:szCs w:val="21"/>
                    </w:rPr>
                  </w:pPr>
                  <w:r>
                    <w:rPr>
                      <w:rFonts w:hint="eastAsia"/>
                      <w:snapToGrid w:val="0"/>
                      <w:color w:val="auto"/>
                      <w:kern w:val="0"/>
                      <w:szCs w:val="21"/>
                    </w:rPr>
                    <w:t>③医务人员办公废水、住院病床废水、陪护人员废水、病床品洗涤废水、</w:t>
                  </w:r>
                  <w:r>
                    <w:rPr>
                      <w:rFonts w:hint="eastAsia"/>
                      <w:snapToGrid w:val="0"/>
                      <w:color w:val="auto"/>
                      <w:kern w:val="0"/>
                      <w:szCs w:val="21"/>
                      <w:lang w:val="en-US" w:eastAsia="zh-CN"/>
                    </w:rPr>
                    <w:t>行政人员</w:t>
                  </w:r>
                  <w:r>
                    <w:rPr>
                      <w:rFonts w:hint="eastAsia"/>
                      <w:snapToGrid w:val="0"/>
                      <w:color w:val="auto"/>
                      <w:kern w:val="0"/>
                      <w:szCs w:val="21"/>
                    </w:rPr>
                    <w:t>废水等经</w:t>
                  </w:r>
                  <w:r>
                    <w:rPr>
                      <w:rFonts w:hint="eastAsia"/>
                      <w:snapToGrid w:val="0"/>
                      <w:color w:val="auto"/>
                      <w:kern w:val="0"/>
                      <w:szCs w:val="21"/>
                      <w:lang w:val="en-US" w:eastAsia="zh-CN"/>
                    </w:rPr>
                    <w:t>化粪池</w:t>
                  </w:r>
                  <w:r>
                    <w:rPr>
                      <w:rFonts w:hint="eastAsia"/>
                      <w:snapToGrid w:val="0"/>
                      <w:color w:val="auto"/>
                      <w:kern w:val="0"/>
                      <w:szCs w:val="21"/>
                    </w:rPr>
                    <w:t>处理后排入院内污水处理站；</w:t>
                  </w:r>
                </w:p>
                <w:p w14:paraId="6D9D9C7E">
                  <w:pPr>
                    <w:adjustRightInd w:val="0"/>
                    <w:snapToGrid w:val="0"/>
                    <w:spacing w:before="48" w:beforeLines="20" w:after="48" w:afterLines="20"/>
                    <w:rPr>
                      <w:rFonts w:hint="default" w:eastAsia="宋体"/>
                      <w:snapToGrid w:val="0"/>
                      <w:color w:val="auto"/>
                      <w:kern w:val="0"/>
                      <w:szCs w:val="21"/>
                      <w:lang w:val="en-US" w:eastAsia="zh-CN"/>
                    </w:rPr>
                  </w:pPr>
                  <w:r>
                    <w:rPr>
                      <w:rFonts w:hint="eastAsia"/>
                      <w:snapToGrid w:val="0"/>
                      <w:color w:val="auto"/>
                      <w:kern w:val="0"/>
                      <w:szCs w:val="21"/>
                    </w:rPr>
                    <w:t>④检验</w:t>
                  </w:r>
                  <w:r>
                    <w:rPr>
                      <w:rFonts w:hint="eastAsia"/>
                      <w:snapToGrid w:val="0"/>
                      <w:color w:val="auto"/>
                      <w:kern w:val="0"/>
                      <w:szCs w:val="21"/>
                      <w:lang w:val="en-US" w:eastAsia="zh-CN"/>
                    </w:rPr>
                    <w:t>设备清洗废水</w:t>
                  </w:r>
                  <w:r>
                    <w:rPr>
                      <w:rFonts w:hint="eastAsia"/>
                      <w:snapToGrid w:val="0"/>
                      <w:color w:val="auto"/>
                      <w:kern w:val="0"/>
                      <w:szCs w:val="21"/>
                    </w:rPr>
                    <w:t>经中和桶收集中和（氢氧化钠）处理</w:t>
                  </w:r>
                  <w:r>
                    <w:rPr>
                      <w:rFonts w:hint="eastAsia"/>
                      <w:snapToGrid w:val="0"/>
                      <w:color w:val="auto"/>
                      <w:kern w:val="0"/>
                      <w:szCs w:val="21"/>
                      <w:lang w:val="en-US" w:eastAsia="zh-CN"/>
                    </w:rPr>
                    <w:t>并消毒后</w:t>
                  </w:r>
                  <w:r>
                    <w:rPr>
                      <w:rFonts w:hint="eastAsia"/>
                      <w:snapToGrid w:val="0"/>
                      <w:color w:val="auto"/>
                      <w:kern w:val="0"/>
                      <w:szCs w:val="21"/>
                    </w:rPr>
                    <w:t>排入化粪池，再进入院内污水处理站</w:t>
                  </w:r>
                  <w:r>
                    <w:rPr>
                      <w:rFonts w:hint="eastAsia"/>
                      <w:snapToGrid w:val="0"/>
                      <w:color w:val="auto"/>
                      <w:kern w:val="0"/>
                      <w:szCs w:val="21"/>
                      <w:lang w:eastAsia="zh-CN"/>
                    </w:rPr>
                    <w:t>；</w:t>
                  </w:r>
                  <w:r>
                    <w:rPr>
                      <w:rFonts w:hint="eastAsia"/>
                      <w:snapToGrid w:val="0"/>
                      <w:color w:val="auto"/>
                      <w:kern w:val="0"/>
                      <w:szCs w:val="21"/>
                      <w:lang w:val="en-US" w:eastAsia="zh-CN"/>
                    </w:rPr>
                    <w:t>含药剂废水根据药剂成分倒入相应的废液桶中，作为医疗废物，交由有资质单位处理。</w:t>
                  </w:r>
                </w:p>
                <w:p w14:paraId="36EB98EA">
                  <w:pPr>
                    <w:adjustRightInd w:val="0"/>
                    <w:snapToGrid w:val="0"/>
                    <w:spacing w:before="48" w:beforeLines="20" w:after="48" w:afterLines="20"/>
                    <w:rPr>
                      <w:snapToGrid w:val="0"/>
                      <w:color w:val="auto"/>
                      <w:kern w:val="0"/>
                      <w:szCs w:val="21"/>
                    </w:rPr>
                  </w:pPr>
                  <w:r>
                    <w:rPr>
                      <w:rFonts w:hint="eastAsia"/>
                      <w:snapToGrid w:val="0"/>
                      <w:color w:val="auto"/>
                      <w:kern w:val="0"/>
                      <w:szCs w:val="21"/>
                    </w:rPr>
                    <w:t>⑤医疗综合废水经院内污水处理站处理后经市政管网排入华林集镇污水处理厂。</w:t>
                  </w:r>
                </w:p>
              </w:tc>
              <w:tc>
                <w:tcPr>
                  <w:tcW w:w="759" w:type="dxa"/>
                  <w:vAlign w:val="center"/>
                </w:tcPr>
                <w:p w14:paraId="17E70605">
                  <w:pPr>
                    <w:widowControl/>
                    <w:adjustRightInd w:val="0"/>
                    <w:snapToGrid w:val="0"/>
                    <w:spacing w:before="48" w:beforeLines="20" w:after="48" w:afterLines="20"/>
                    <w:jc w:val="center"/>
                    <w:rPr>
                      <w:rFonts w:hint="eastAsia" w:eastAsia="宋体"/>
                      <w:snapToGrid w:val="0"/>
                      <w:color w:val="auto"/>
                      <w:kern w:val="0"/>
                      <w:szCs w:val="21"/>
                      <w:lang w:eastAsia="zh-CN" w:bidi="ar"/>
                    </w:rPr>
                  </w:pPr>
                  <w:r>
                    <w:rPr>
                      <w:rFonts w:hint="eastAsia"/>
                      <w:snapToGrid w:val="0"/>
                      <w:color w:val="auto"/>
                      <w:szCs w:val="21"/>
                      <w:lang w:val="en-US" w:eastAsia="zh-CN"/>
                    </w:rPr>
                    <w:t>/</w:t>
                  </w:r>
                </w:p>
              </w:tc>
            </w:tr>
            <w:tr w14:paraId="1F3557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9" w:hRule="atLeast"/>
                <w:jc w:val="center"/>
              </w:trPr>
              <w:tc>
                <w:tcPr>
                  <w:tcW w:w="733" w:type="dxa"/>
                  <w:vMerge w:val="continue"/>
                  <w:vAlign w:val="center"/>
                </w:tcPr>
                <w:p w14:paraId="079E11C1">
                  <w:pPr>
                    <w:adjustRightInd w:val="0"/>
                    <w:snapToGrid w:val="0"/>
                    <w:spacing w:before="48" w:beforeLines="20" w:after="48" w:afterLines="20"/>
                    <w:jc w:val="center"/>
                    <w:rPr>
                      <w:snapToGrid w:val="0"/>
                      <w:color w:val="auto"/>
                      <w:kern w:val="0"/>
                      <w:szCs w:val="21"/>
                    </w:rPr>
                  </w:pPr>
                </w:p>
              </w:tc>
              <w:tc>
                <w:tcPr>
                  <w:tcW w:w="1017" w:type="dxa"/>
                  <w:vAlign w:val="center"/>
                </w:tcPr>
                <w:p w14:paraId="50981A3A">
                  <w:pPr>
                    <w:adjustRightInd w:val="0"/>
                    <w:snapToGrid w:val="0"/>
                    <w:spacing w:before="48" w:beforeLines="20" w:after="48" w:afterLines="20"/>
                    <w:jc w:val="center"/>
                    <w:rPr>
                      <w:snapToGrid w:val="0"/>
                      <w:color w:val="auto"/>
                      <w:kern w:val="0"/>
                      <w:szCs w:val="21"/>
                    </w:rPr>
                  </w:pPr>
                  <w:r>
                    <w:rPr>
                      <w:rFonts w:hint="eastAsia"/>
                      <w:snapToGrid w:val="0"/>
                      <w:color w:val="auto"/>
                      <w:kern w:val="0"/>
                      <w:szCs w:val="21"/>
                    </w:rPr>
                    <w:t>消毒</w:t>
                  </w:r>
                </w:p>
              </w:tc>
              <w:tc>
                <w:tcPr>
                  <w:tcW w:w="5890" w:type="dxa"/>
                  <w:gridSpan w:val="2"/>
                  <w:vAlign w:val="center"/>
                </w:tcPr>
                <w:p w14:paraId="35BA5599">
                  <w:pPr>
                    <w:adjustRightInd w:val="0"/>
                    <w:snapToGrid w:val="0"/>
                    <w:spacing w:before="48" w:beforeLines="20" w:after="48" w:afterLines="20"/>
                    <w:rPr>
                      <w:snapToGrid w:val="0"/>
                      <w:color w:val="auto"/>
                      <w:kern w:val="0"/>
                      <w:szCs w:val="21"/>
                    </w:rPr>
                  </w:pPr>
                  <w:r>
                    <w:rPr>
                      <w:rFonts w:hint="eastAsia"/>
                      <w:snapToGrid w:val="0"/>
                      <w:color w:val="auto"/>
                      <w:kern w:val="0"/>
                      <w:szCs w:val="21"/>
                    </w:rPr>
                    <w:t>①院区床单、病服消毒采用专用消毒剂。</w:t>
                  </w:r>
                </w:p>
                <w:p w14:paraId="52D7F4F7">
                  <w:pPr>
                    <w:adjustRightInd w:val="0"/>
                    <w:snapToGrid w:val="0"/>
                    <w:spacing w:before="48" w:beforeLines="20" w:after="48" w:afterLines="20"/>
                    <w:rPr>
                      <w:snapToGrid w:val="0"/>
                      <w:color w:val="auto"/>
                      <w:kern w:val="0"/>
                      <w:szCs w:val="21"/>
                    </w:rPr>
                  </w:pPr>
                  <w:r>
                    <w:rPr>
                      <w:rFonts w:hint="eastAsia"/>
                      <w:snapToGrid w:val="0"/>
                      <w:color w:val="auto"/>
                      <w:kern w:val="0"/>
                      <w:szCs w:val="21"/>
                    </w:rPr>
                    <w:t>②医废暂存间采用紫外灯消毒。</w:t>
                  </w:r>
                </w:p>
                <w:p w14:paraId="61107892">
                  <w:pPr>
                    <w:adjustRightInd w:val="0"/>
                    <w:snapToGrid w:val="0"/>
                    <w:spacing w:before="48" w:beforeLines="20" w:after="48" w:afterLines="20"/>
                    <w:rPr>
                      <w:snapToGrid w:val="0"/>
                      <w:color w:val="auto"/>
                      <w:kern w:val="0"/>
                      <w:szCs w:val="21"/>
                    </w:rPr>
                  </w:pPr>
                  <w:r>
                    <w:rPr>
                      <w:rFonts w:hint="eastAsia"/>
                      <w:snapToGrid w:val="0"/>
                      <w:color w:val="auto"/>
                      <w:kern w:val="0"/>
                      <w:szCs w:val="21"/>
                    </w:rPr>
                    <w:t>③污水处理站出水采用</w:t>
                  </w:r>
                  <w:r>
                    <w:rPr>
                      <w:rFonts w:hint="eastAsia"/>
                      <w:snapToGrid w:val="0"/>
                      <w:color w:val="auto"/>
                      <w:kern w:val="0"/>
                      <w:szCs w:val="21"/>
                      <w:lang w:val="en-US" w:eastAsia="zh-CN"/>
                    </w:rPr>
                    <w:t>次氯酸钠</w:t>
                  </w:r>
                  <w:r>
                    <w:rPr>
                      <w:rFonts w:hint="eastAsia"/>
                      <w:snapToGrid w:val="0"/>
                      <w:color w:val="auto"/>
                      <w:kern w:val="0"/>
                      <w:szCs w:val="21"/>
                    </w:rPr>
                    <w:t>消毒。</w:t>
                  </w:r>
                </w:p>
                <w:p w14:paraId="35EA2D15">
                  <w:pPr>
                    <w:adjustRightInd w:val="0"/>
                    <w:snapToGrid w:val="0"/>
                    <w:spacing w:before="48" w:beforeLines="20" w:after="48" w:afterLines="20"/>
                    <w:rPr>
                      <w:snapToGrid w:val="0"/>
                      <w:color w:val="auto"/>
                      <w:kern w:val="0"/>
                      <w:szCs w:val="21"/>
                    </w:rPr>
                  </w:pPr>
                  <w:r>
                    <w:rPr>
                      <w:rFonts w:hint="eastAsia"/>
                      <w:snapToGrid w:val="0"/>
                      <w:color w:val="auto"/>
                      <w:kern w:val="0"/>
                      <w:szCs w:val="21"/>
                    </w:rPr>
                    <w:t>④院区环境消毒采用消毒剂。</w:t>
                  </w:r>
                </w:p>
                <w:p w14:paraId="57E494CE">
                  <w:pPr>
                    <w:adjustRightInd w:val="0"/>
                    <w:snapToGrid w:val="0"/>
                    <w:spacing w:before="48" w:beforeLines="20" w:after="48" w:afterLines="20"/>
                    <w:rPr>
                      <w:snapToGrid w:val="0"/>
                      <w:color w:val="auto"/>
                      <w:kern w:val="0"/>
                      <w:szCs w:val="21"/>
                    </w:rPr>
                  </w:pPr>
                  <w:r>
                    <w:rPr>
                      <w:rFonts w:hint="eastAsia"/>
                      <w:snapToGrid w:val="0"/>
                      <w:color w:val="auto"/>
                      <w:kern w:val="0"/>
                      <w:szCs w:val="21"/>
                    </w:rPr>
                    <w:t>⑤检验科仪器采用盐酸进行</w:t>
                  </w:r>
                  <w:r>
                    <w:rPr>
                      <w:rFonts w:hint="eastAsia"/>
                      <w:snapToGrid w:val="0"/>
                      <w:color w:val="auto"/>
                      <w:kern w:val="0"/>
                      <w:szCs w:val="21"/>
                      <w:lang w:val="en-US" w:eastAsia="zh-CN"/>
                    </w:rPr>
                    <w:t>清洗消毒</w:t>
                  </w:r>
                  <w:r>
                    <w:rPr>
                      <w:rFonts w:hint="eastAsia"/>
                      <w:snapToGrid w:val="0"/>
                      <w:color w:val="auto"/>
                      <w:kern w:val="0"/>
                      <w:szCs w:val="21"/>
                    </w:rPr>
                    <w:t>。</w:t>
                  </w:r>
                </w:p>
              </w:tc>
              <w:tc>
                <w:tcPr>
                  <w:tcW w:w="759" w:type="dxa"/>
                  <w:vAlign w:val="center"/>
                </w:tcPr>
                <w:p w14:paraId="59D225C6">
                  <w:pPr>
                    <w:widowControl/>
                    <w:adjustRightInd w:val="0"/>
                    <w:snapToGrid w:val="0"/>
                    <w:spacing w:before="48" w:beforeLines="20" w:after="48" w:afterLines="20"/>
                    <w:jc w:val="center"/>
                    <w:rPr>
                      <w:rFonts w:hint="eastAsia" w:eastAsia="宋体"/>
                      <w:snapToGrid w:val="0"/>
                      <w:color w:val="auto"/>
                      <w:kern w:val="0"/>
                      <w:szCs w:val="21"/>
                      <w:lang w:eastAsia="zh-CN" w:bidi="ar"/>
                    </w:rPr>
                  </w:pPr>
                  <w:r>
                    <w:rPr>
                      <w:rFonts w:hint="eastAsia"/>
                      <w:snapToGrid w:val="0"/>
                      <w:color w:val="auto"/>
                      <w:szCs w:val="21"/>
                      <w:lang w:val="en-US" w:eastAsia="zh-CN"/>
                    </w:rPr>
                    <w:t>/</w:t>
                  </w:r>
                </w:p>
              </w:tc>
            </w:tr>
            <w:tr w14:paraId="3B0F8D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733" w:type="dxa"/>
                  <w:vMerge w:val="continue"/>
                  <w:vAlign w:val="center"/>
                </w:tcPr>
                <w:p w14:paraId="1280EC27">
                  <w:pPr>
                    <w:adjustRightInd w:val="0"/>
                    <w:snapToGrid w:val="0"/>
                    <w:spacing w:before="48" w:beforeLines="20" w:after="48" w:afterLines="20"/>
                    <w:jc w:val="center"/>
                    <w:rPr>
                      <w:snapToGrid w:val="0"/>
                      <w:color w:val="auto"/>
                      <w:kern w:val="0"/>
                      <w:szCs w:val="21"/>
                    </w:rPr>
                  </w:pPr>
                </w:p>
              </w:tc>
              <w:tc>
                <w:tcPr>
                  <w:tcW w:w="1017" w:type="dxa"/>
                  <w:vAlign w:val="center"/>
                </w:tcPr>
                <w:p w14:paraId="10A1BA91">
                  <w:pPr>
                    <w:adjustRightInd w:val="0"/>
                    <w:snapToGrid w:val="0"/>
                    <w:spacing w:before="48" w:beforeLines="20" w:after="48" w:afterLines="20"/>
                    <w:jc w:val="center"/>
                    <w:rPr>
                      <w:snapToGrid w:val="0"/>
                      <w:color w:val="auto"/>
                      <w:kern w:val="0"/>
                      <w:szCs w:val="21"/>
                    </w:rPr>
                  </w:pPr>
                  <w:r>
                    <w:rPr>
                      <w:rFonts w:hint="eastAsia"/>
                      <w:snapToGrid w:val="0"/>
                      <w:color w:val="auto"/>
                      <w:kern w:val="0"/>
                      <w:szCs w:val="21"/>
                    </w:rPr>
                    <w:t>制冷</w:t>
                  </w:r>
                </w:p>
              </w:tc>
              <w:tc>
                <w:tcPr>
                  <w:tcW w:w="5890" w:type="dxa"/>
                  <w:gridSpan w:val="2"/>
                  <w:vAlign w:val="center"/>
                </w:tcPr>
                <w:p w14:paraId="5B1716D6">
                  <w:pPr>
                    <w:adjustRightInd w:val="0"/>
                    <w:snapToGrid w:val="0"/>
                    <w:spacing w:before="48" w:beforeLines="20" w:after="48" w:afterLines="20"/>
                    <w:rPr>
                      <w:snapToGrid w:val="0"/>
                      <w:color w:val="auto"/>
                      <w:kern w:val="0"/>
                      <w:szCs w:val="21"/>
                    </w:rPr>
                  </w:pPr>
                  <w:r>
                    <w:rPr>
                      <w:rFonts w:hint="eastAsia"/>
                      <w:snapToGrid w:val="0"/>
                      <w:color w:val="auto"/>
                      <w:kern w:val="0"/>
                      <w:szCs w:val="21"/>
                    </w:rPr>
                    <w:t>项目不专门设置冷库，采用常规冰柜对需要低温保存的药品和用具进行冷藏。</w:t>
                  </w:r>
                </w:p>
              </w:tc>
              <w:tc>
                <w:tcPr>
                  <w:tcW w:w="759" w:type="dxa"/>
                  <w:vAlign w:val="center"/>
                </w:tcPr>
                <w:p w14:paraId="46DCF939">
                  <w:pPr>
                    <w:widowControl/>
                    <w:adjustRightInd w:val="0"/>
                    <w:snapToGrid w:val="0"/>
                    <w:spacing w:before="48" w:beforeLines="20" w:after="48" w:afterLines="20"/>
                    <w:jc w:val="center"/>
                    <w:rPr>
                      <w:rFonts w:hint="eastAsia" w:eastAsia="宋体"/>
                      <w:snapToGrid w:val="0"/>
                      <w:color w:val="auto"/>
                      <w:kern w:val="0"/>
                      <w:szCs w:val="21"/>
                      <w:lang w:eastAsia="zh-CN" w:bidi="ar"/>
                    </w:rPr>
                  </w:pPr>
                  <w:r>
                    <w:rPr>
                      <w:rFonts w:hint="eastAsia"/>
                      <w:snapToGrid w:val="0"/>
                      <w:color w:val="auto"/>
                      <w:szCs w:val="21"/>
                      <w:lang w:val="en-US" w:eastAsia="zh-CN"/>
                    </w:rPr>
                    <w:t>/</w:t>
                  </w:r>
                </w:p>
              </w:tc>
            </w:tr>
            <w:tr w14:paraId="2FA9A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33" w:type="dxa"/>
                  <w:vMerge w:val="restart"/>
                  <w:vAlign w:val="center"/>
                </w:tcPr>
                <w:p w14:paraId="3A54DF25">
                  <w:pPr>
                    <w:adjustRightInd w:val="0"/>
                    <w:snapToGrid w:val="0"/>
                    <w:spacing w:before="48" w:beforeLines="20" w:after="48" w:afterLines="20"/>
                    <w:jc w:val="center"/>
                    <w:rPr>
                      <w:snapToGrid w:val="0"/>
                      <w:color w:val="auto"/>
                      <w:kern w:val="0"/>
                      <w:szCs w:val="21"/>
                    </w:rPr>
                  </w:pPr>
                  <w:r>
                    <w:rPr>
                      <w:snapToGrid w:val="0"/>
                      <w:color w:val="auto"/>
                      <w:kern w:val="0"/>
                      <w:szCs w:val="21"/>
                    </w:rPr>
                    <w:t>环保工程</w:t>
                  </w:r>
                </w:p>
              </w:tc>
              <w:tc>
                <w:tcPr>
                  <w:tcW w:w="1017" w:type="dxa"/>
                  <w:vMerge w:val="restart"/>
                  <w:vAlign w:val="center"/>
                </w:tcPr>
                <w:p w14:paraId="0797EA36">
                  <w:pPr>
                    <w:adjustRightInd w:val="0"/>
                    <w:snapToGrid w:val="0"/>
                    <w:spacing w:before="48" w:beforeLines="20" w:after="48" w:afterLines="20"/>
                    <w:jc w:val="center"/>
                    <w:rPr>
                      <w:snapToGrid w:val="0"/>
                      <w:color w:val="auto"/>
                      <w:kern w:val="0"/>
                      <w:szCs w:val="21"/>
                    </w:rPr>
                  </w:pPr>
                  <w:r>
                    <w:rPr>
                      <w:snapToGrid w:val="0"/>
                      <w:color w:val="auto"/>
                      <w:kern w:val="0"/>
                      <w:szCs w:val="21"/>
                    </w:rPr>
                    <w:t>废气</w:t>
                  </w:r>
                </w:p>
              </w:tc>
              <w:tc>
                <w:tcPr>
                  <w:tcW w:w="1202" w:type="dxa"/>
                  <w:vAlign w:val="center"/>
                </w:tcPr>
                <w:p w14:paraId="6A547F94">
                  <w:pPr>
                    <w:adjustRightInd w:val="0"/>
                    <w:snapToGrid w:val="0"/>
                    <w:spacing w:before="48" w:beforeLines="20" w:after="48" w:afterLines="20"/>
                    <w:jc w:val="center"/>
                    <w:rPr>
                      <w:snapToGrid w:val="0"/>
                      <w:color w:val="auto"/>
                      <w:kern w:val="0"/>
                      <w:szCs w:val="21"/>
                    </w:rPr>
                  </w:pPr>
                  <w:r>
                    <w:rPr>
                      <w:snapToGrid w:val="0"/>
                      <w:color w:val="auto"/>
                      <w:kern w:val="0"/>
                      <w:szCs w:val="21"/>
                    </w:rPr>
                    <w:t>污水处理站恶臭</w:t>
                  </w:r>
                </w:p>
              </w:tc>
              <w:tc>
                <w:tcPr>
                  <w:tcW w:w="4688" w:type="dxa"/>
                  <w:vAlign w:val="center"/>
                </w:tcPr>
                <w:p w14:paraId="6F87D6C2">
                  <w:pPr>
                    <w:adjustRightInd w:val="0"/>
                    <w:snapToGrid w:val="0"/>
                    <w:spacing w:before="48" w:beforeLines="20" w:after="48" w:afterLines="20"/>
                    <w:jc w:val="center"/>
                    <w:rPr>
                      <w:rFonts w:hint="default" w:eastAsia="宋体"/>
                      <w:snapToGrid w:val="0"/>
                      <w:color w:val="auto"/>
                      <w:kern w:val="0"/>
                      <w:szCs w:val="21"/>
                      <w:lang w:val="en-US" w:eastAsia="zh-CN"/>
                    </w:rPr>
                  </w:pPr>
                  <w:r>
                    <w:rPr>
                      <w:rFonts w:hint="eastAsia"/>
                      <w:snapToGrid w:val="0"/>
                      <w:color w:val="auto"/>
                      <w:kern w:val="0"/>
                      <w:szCs w:val="21"/>
                    </w:rPr>
                    <w:t>污水处理站</w:t>
                  </w:r>
                  <w:r>
                    <w:rPr>
                      <w:rFonts w:hint="eastAsia"/>
                      <w:snapToGrid w:val="0"/>
                      <w:color w:val="auto"/>
                      <w:kern w:val="0"/>
                      <w:szCs w:val="21"/>
                      <w:lang w:val="en-US" w:eastAsia="zh-CN"/>
                    </w:rPr>
                    <w:t>为一体化地埋设备</w:t>
                  </w:r>
                  <w:r>
                    <w:rPr>
                      <w:rFonts w:hint="eastAsia"/>
                      <w:snapToGrid w:val="0"/>
                      <w:color w:val="auto"/>
                      <w:kern w:val="0"/>
                      <w:szCs w:val="21"/>
                      <w:lang w:eastAsia="zh-CN"/>
                    </w:rPr>
                    <w:t>，</w:t>
                  </w:r>
                  <w:r>
                    <w:rPr>
                      <w:rFonts w:hint="eastAsia"/>
                      <w:snapToGrid w:val="0"/>
                      <w:color w:val="auto"/>
                      <w:kern w:val="0"/>
                      <w:szCs w:val="21"/>
                      <w:lang w:val="en-US" w:eastAsia="zh-CN"/>
                    </w:rPr>
                    <w:t>投加除臭剂除臭</w:t>
                  </w:r>
                </w:p>
              </w:tc>
              <w:tc>
                <w:tcPr>
                  <w:tcW w:w="759" w:type="dxa"/>
                  <w:vAlign w:val="center"/>
                </w:tcPr>
                <w:p w14:paraId="031C7059">
                  <w:pPr>
                    <w:adjustRightInd w:val="0"/>
                    <w:snapToGrid w:val="0"/>
                    <w:spacing w:before="48" w:beforeLines="20" w:after="48" w:afterLines="20"/>
                    <w:jc w:val="center"/>
                    <w:rPr>
                      <w:snapToGrid w:val="0"/>
                      <w:color w:val="auto"/>
                      <w:kern w:val="0"/>
                      <w:szCs w:val="21"/>
                    </w:rPr>
                  </w:pPr>
                  <w:r>
                    <w:rPr>
                      <w:rFonts w:hint="eastAsia"/>
                      <w:snapToGrid w:val="0"/>
                      <w:color w:val="auto"/>
                      <w:szCs w:val="21"/>
                      <w:lang w:val="en-US" w:eastAsia="zh-CN"/>
                    </w:rPr>
                    <w:t>新建</w:t>
                  </w:r>
                </w:p>
              </w:tc>
            </w:tr>
            <w:tr w14:paraId="5AD2B9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33" w:type="dxa"/>
                  <w:vMerge w:val="continue"/>
                  <w:vAlign w:val="center"/>
                </w:tcPr>
                <w:p w14:paraId="0C0AC0A1">
                  <w:pPr>
                    <w:adjustRightInd w:val="0"/>
                    <w:snapToGrid w:val="0"/>
                    <w:spacing w:before="48" w:beforeLines="20" w:after="48" w:afterLines="20"/>
                    <w:jc w:val="center"/>
                    <w:rPr>
                      <w:snapToGrid w:val="0"/>
                      <w:color w:val="auto"/>
                      <w:kern w:val="0"/>
                      <w:szCs w:val="21"/>
                    </w:rPr>
                  </w:pPr>
                </w:p>
              </w:tc>
              <w:tc>
                <w:tcPr>
                  <w:tcW w:w="1017" w:type="dxa"/>
                  <w:vMerge w:val="continue"/>
                  <w:vAlign w:val="center"/>
                </w:tcPr>
                <w:p w14:paraId="19B977F3">
                  <w:pPr>
                    <w:adjustRightInd w:val="0"/>
                    <w:snapToGrid w:val="0"/>
                    <w:spacing w:before="48" w:beforeLines="20" w:after="48" w:afterLines="20"/>
                    <w:jc w:val="center"/>
                    <w:rPr>
                      <w:snapToGrid w:val="0"/>
                      <w:color w:val="auto"/>
                      <w:kern w:val="0"/>
                      <w:szCs w:val="21"/>
                    </w:rPr>
                  </w:pPr>
                </w:p>
              </w:tc>
              <w:tc>
                <w:tcPr>
                  <w:tcW w:w="1202" w:type="dxa"/>
                  <w:vAlign w:val="center"/>
                </w:tcPr>
                <w:p w14:paraId="57B2D0BD">
                  <w:pPr>
                    <w:adjustRightInd w:val="0"/>
                    <w:snapToGrid w:val="0"/>
                    <w:spacing w:before="48" w:beforeLines="20" w:after="48" w:afterLines="20"/>
                    <w:jc w:val="center"/>
                    <w:rPr>
                      <w:snapToGrid w:val="0"/>
                      <w:color w:val="auto"/>
                      <w:kern w:val="0"/>
                      <w:szCs w:val="21"/>
                    </w:rPr>
                  </w:pPr>
                  <w:r>
                    <w:rPr>
                      <w:snapToGrid w:val="0"/>
                      <w:color w:val="auto"/>
                      <w:kern w:val="0"/>
                      <w:szCs w:val="21"/>
                    </w:rPr>
                    <w:t>食堂油烟</w:t>
                  </w:r>
                </w:p>
              </w:tc>
              <w:tc>
                <w:tcPr>
                  <w:tcW w:w="4688" w:type="dxa"/>
                  <w:vAlign w:val="center"/>
                </w:tcPr>
                <w:p w14:paraId="6CA90991">
                  <w:pPr>
                    <w:adjustRightInd w:val="0"/>
                    <w:snapToGrid w:val="0"/>
                    <w:spacing w:before="48" w:beforeLines="20" w:after="48" w:afterLines="20"/>
                    <w:rPr>
                      <w:snapToGrid w:val="0"/>
                      <w:color w:val="auto"/>
                      <w:kern w:val="0"/>
                      <w:szCs w:val="21"/>
                    </w:rPr>
                  </w:pPr>
                  <w:r>
                    <w:rPr>
                      <w:snapToGrid w:val="0"/>
                      <w:color w:val="auto"/>
                      <w:kern w:val="0"/>
                      <w:szCs w:val="21"/>
                    </w:rPr>
                    <w:t>经油烟净化装置处理后经专用管道排至屋顶排放</w:t>
                  </w:r>
                  <w:r>
                    <w:rPr>
                      <w:rFonts w:hint="eastAsia"/>
                      <w:snapToGrid w:val="0"/>
                      <w:color w:val="auto"/>
                      <w:kern w:val="0"/>
                      <w:szCs w:val="21"/>
                    </w:rPr>
                    <w:t>。</w:t>
                  </w:r>
                </w:p>
              </w:tc>
              <w:tc>
                <w:tcPr>
                  <w:tcW w:w="759" w:type="dxa"/>
                  <w:vAlign w:val="center"/>
                </w:tcPr>
                <w:p w14:paraId="315625FA">
                  <w:pPr>
                    <w:adjustRightInd w:val="0"/>
                    <w:snapToGrid w:val="0"/>
                    <w:spacing w:before="48" w:beforeLines="20" w:after="48" w:afterLines="20"/>
                    <w:jc w:val="center"/>
                    <w:rPr>
                      <w:rFonts w:hint="eastAsia" w:eastAsia="宋体"/>
                      <w:snapToGrid w:val="0"/>
                      <w:color w:val="auto"/>
                      <w:kern w:val="0"/>
                      <w:szCs w:val="21"/>
                      <w:lang w:eastAsia="zh-CN"/>
                    </w:rPr>
                  </w:pPr>
                  <w:r>
                    <w:rPr>
                      <w:rFonts w:hint="eastAsia"/>
                      <w:snapToGrid w:val="0"/>
                      <w:color w:val="auto"/>
                      <w:szCs w:val="21"/>
                      <w:lang w:val="en-US" w:eastAsia="zh-CN"/>
                    </w:rPr>
                    <w:t>已建</w:t>
                  </w:r>
                </w:p>
              </w:tc>
            </w:tr>
            <w:tr w14:paraId="3E6082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33" w:type="dxa"/>
                  <w:vMerge w:val="continue"/>
                  <w:vAlign w:val="center"/>
                </w:tcPr>
                <w:p w14:paraId="3D25B93C">
                  <w:pPr>
                    <w:adjustRightInd w:val="0"/>
                    <w:snapToGrid w:val="0"/>
                    <w:spacing w:before="48" w:beforeLines="20" w:after="48" w:afterLines="20"/>
                    <w:jc w:val="center"/>
                    <w:rPr>
                      <w:snapToGrid w:val="0"/>
                      <w:color w:val="auto"/>
                      <w:kern w:val="0"/>
                      <w:szCs w:val="21"/>
                    </w:rPr>
                  </w:pPr>
                </w:p>
              </w:tc>
              <w:tc>
                <w:tcPr>
                  <w:tcW w:w="1017" w:type="dxa"/>
                  <w:vMerge w:val="restart"/>
                  <w:vAlign w:val="center"/>
                </w:tcPr>
                <w:p w14:paraId="6BEFC3B4">
                  <w:pPr>
                    <w:adjustRightInd w:val="0"/>
                    <w:snapToGrid w:val="0"/>
                    <w:spacing w:before="48" w:beforeLines="20" w:after="48" w:afterLines="20"/>
                    <w:jc w:val="center"/>
                    <w:rPr>
                      <w:snapToGrid w:val="0"/>
                      <w:color w:val="auto"/>
                      <w:kern w:val="0"/>
                      <w:szCs w:val="21"/>
                    </w:rPr>
                  </w:pPr>
                  <w:r>
                    <w:rPr>
                      <w:snapToGrid w:val="0"/>
                      <w:color w:val="auto"/>
                      <w:kern w:val="0"/>
                      <w:szCs w:val="21"/>
                    </w:rPr>
                    <w:t>废水</w:t>
                  </w:r>
                </w:p>
              </w:tc>
              <w:tc>
                <w:tcPr>
                  <w:tcW w:w="1202" w:type="dxa"/>
                  <w:vAlign w:val="center"/>
                </w:tcPr>
                <w:p w14:paraId="248AD39D">
                  <w:pPr>
                    <w:adjustRightInd w:val="0"/>
                    <w:snapToGrid w:val="0"/>
                    <w:spacing w:before="48" w:beforeLines="20" w:after="48" w:afterLines="20"/>
                    <w:jc w:val="center"/>
                    <w:rPr>
                      <w:snapToGrid w:val="0"/>
                      <w:color w:val="auto"/>
                      <w:kern w:val="0"/>
                      <w:szCs w:val="21"/>
                    </w:rPr>
                  </w:pPr>
                  <w:r>
                    <w:rPr>
                      <w:rFonts w:hint="eastAsia"/>
                      <w:snapToGrid w:val="0"/>
                      <w:color w:val="auto"/>
                      <w:kern w:val="0"/>
                      <w:szCs w:val="21"/>
                    </w:rPr>
                    <w:t>化粪池</w:t>
                  </w:r>
                </w:p>
              </w:tc>
              <w:tc>
                <w:tcPr>
                  <w:tcW w:w="4688" w:type="dxa"/>
                  <w:vAlign w:val="center"/>
                </w:tcPr>
                <w:p w14:paraId="024800E0">
                  <w:pPr>
                    <w:adjustRightInd w:val="0"/>
                    <w:snapToGrid w:val="0"/>
                    <w:spacing w:before="48" w:beforeLines="20" w:after="48" w:afterLines="20"/>
                    <w:jc w:val="center"/>
                    <w:rPr>
                      <w:rFonts w:hint="default" w:eastAsia="宋体"/>
                      <w:snapToGrid w:val="0"/>
                      <w:color w:val="auto"/>
                      <w:szCs w:val="21"/>
                      <w:lang w:val="en-US" w:eastAsia="zh-CN"/>
                    </w:rPr>
                  </w:pPr>
                  <w:r>
                    <w:rPr>
                      <w:rFonts w:hint="eastAsia"/>
                      <w:snapToGrid w:val="0"/>
                      <w:color w:val="auto"/>
                      <w:szCs w:val="21"/>
                      <w:lang w:val="en-US" w:eastAsia="zh-CN"/>
                    </w:rPr>
                    <w:t>2个化粪池，位于门诊大楼后侧及右侧</w:t>
                  </w:r>
                </w:p>
              </w:tc>
              <w:tc>
                <w:tcPr>
                  <w:tcW w:w="759" w:type="dxa"/>
                  <w:vAlign w:val="center"/>
                </w:tcPr>
                <w:p w14:paraId="3757C645">
                  <w:pPr>
                    <w:adjustRightInd w:val="0"/>
                    <w:snapToGrid w:val="0"/>
                    <w:spacing w:before="48" w:beforeLines="20" w:after="48" w:afterLines="20"/>
                    <w:jc w:val="center"/>
                    <w:rPr>
                      <w:rFonts w:hint="eastAsia" w:eastAsia="宋体"/>
                      <w:snapToGrid w:val="0"/>
                      <w:color w:val="auto"/>
                      <w:szCs w:val="21"/>
                      <w:lang w:eastAsia="zh-CN"/>
                    </w:rPr>
                  </w:pPr>
                  <w:r>
                    <w:rPr>
                      <w:rFonts w:hint="eastAsia"/>
                      <w:snapToGrid w:val="0"/>
                      <w:color w:val="auto"/>
                      <w:szCs w:val="21"/>
                      <w:lang w:val="en-US" w:eastAsia="zh-CN"/>
                    </w:rPr>
                    <w:t>已建</w:t>
                  </w:r>
                </w:p>
              </w:tc>
            </w:tr>
            <w:tr w14:paraId="3292A2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33" w:type="dxa"/>
                  <w:vMerge w:val="continue"/>
                  <w:vAlign w:val="center"/>
                </w:tcPr>
                <w:p w14:paraId="5ABCE69E">
                  <w:pPr>
                    <w:adjustRightInd w:val="0"/>
                    <w:snapToGrid w:val="0"/>
                    <w:spacing w:before="48" w:beforeLines="20" w:after="48" w:afterLines="20"/>
                    <w:jc w:val="center"/>
                    <w:rPr>
                      <w:snapToGrid w:val="0"/>
                      <w:color w:val="auto"/>
                      <w:kern w:val="0"/>
                      <w:szCs w:val="21"/>
                    </w:rPr>
                  </w:pPr>
                </w:p>
              </w:tc>
              <w:tc>
                <w:tcPr>
                  <w:tcW w:w="1017" w:type="dxa"/>
                  <w:vMerge w:val="continue"/>
                  <w:vAlign w:val="center"/>
                </w:tcPr>
                <w:p w14:paraId="6D84B95B">
                  <w:pPr>
                    <w:adjustRightInd w:val="0"/>
                    <w:snapToGrid w:val="0"/>
                    <w:spacing w:before="48" w:beforeLines="20" w:after="48" w:afterLines="20"/>
                    <w:jc w:val="center"/>
                    <w:rPr>
                      <w:snapToGrid w:val="0"/>
                      <w:color w:val="auto"/>
                      <w:kern w:val="0"/>
                      <w:szCs w:val="21"/>
                    </w:rPr>
                  </w:pPr>
                </w:p>
              </w:tc>
              <w:tc>
                <w:tcPr>
                  <w:tcW w:w="1202" w:type="dxa"/>
                  <w:vAlign w:val="center"/>
                </w:tcPr>
                <w:p w14:paraId="52B8942D">
                  <w:pPr>
                    <w:adjustRightInd w:val="0"/>
                    <w:snapToGrid w:val="0"/>
                    <w:spacing w:before="48" w:beforeLines="20" w:after="48" w:afterLines="20"/>
                    <w:jc w:val="center"/>
                    <w:rPr>
                      <w:snapToGrid w:val="0"/>
                      <w:color w:val="auto"/>
                      <w:kern w:val="0"/>
                      <w:szCs w:val="21"/>
                    </w:rPr>
                  </w:pPr>
                  <w:r>
                    <w:rPr>
                      <w:rFonts w:hint="eastAsia"/>
                      <w:snapToGrid w:val="0"/>
                      <w:color w:val="auto"/>
                      <w:kern w:val="0"/>
                      <w:szCs w:val="21"/>
                    </w:rPr>
                    <w:t>隔油池</w:t>
                  </w:r>
                </w:p>
              </w:tc>
              <w:tc>
                <w:tcPr>
                  <w:tcW w:w="4688" w:type="dxa"/>
                  <w:vAlign w:val="center"/>
                </w:tcPr>
                <w:p w14:paraId="30C91E71">
                  <w:pPr>
                    <w:adjustRightInd w:val="0"/>
                    <w:snapToGrid w:val="0"/>
                    <w:spacing w:before="48" w:beforeLines="20" w:after="48" w:afterLines="20"/>
                    <w:jc w:val="center"/>
                    <w:rPr>
                      <w:rFonts w:hint="default" w:eastAsia="宋体"/>
                      <w:snapToGrid w:val="0"/>
                      <w:color w:val="auto"/>
                      <w:szCs w:val="21"/>
                      <w:lang w:val="en-US" w:eastAsia="zh-CN"/>
                    </w:rPr>
                  </w:pPr>
                  <w:r>
                    <w:rPr>
                      <w:snapToGrid w:val="0"/>
                      <w:color w:val="auto"/>
                      <w:szCs w:val="21"/>
                    </w:rPr>
                    <w:t>1</w:t>
                  </w:r>
                  <w:r>
                    <w:rPr>
                      <w:rFonts w:hint="eastAsia"/>
                      <w:snapToGrid w:val="0"/>
                      <w:color w:val="auto"/>
                      <w:szCs w:val="21"/>
                    </w:rPr>
                    <w:t>个隔油池</w:t>
                  </w:r>
                  <w:r>
                    <w:rPr>
                      <w:rFonts w:hint="eastAsia"/>
                      <w:snapToGrid w:val="0"/>
                      <w:color w:val="auto"/>
                      <w:szCs w:val="21"/>
                      <w:lang w:val="en-US" w:eastAsia="zh-CN"/>
                    </w:rPr>
                    <w:t>2m</w:t>
                  </w:r>
                  <w:r>
                    <w:rPr>
                      <w:rFonts w:hint="eastAsia"/>
                      <w:snapToGrid w:val="0"/>
                      <w:color w:val="auto"/>
                      <w:szCs w:val="21"/>
                      <w:vertAlign w:val="superscript"/>
                      <w:lang w:val="en-US" w:eastAsia="zh-CN"/>
                    </w:rPr>
                    <w:t>3</w:t>
                  </w:r>
                  <w:r>
                    <w:rPr>
                      <w:rFonts w:hint="eastAsia"/>
                      <w:snapToGrid w:val="0"/>
                      <w:color w:val="auto"/>
                      <w:szCs w:val="21"/>
                    </w:rPr>
                    <w:t>，位于食堂南侧。</w:t>
                  </w:r>
                  <w:r>
                    <w:rPr>
                      <w:rFonts w:hint="eastAsia"/>
                      <w:snapToGrid w:val="0"/>
                      <w:color w:val="auto"/>
                      <w:szCs w:val="21"/>
                      <w:lang w:val="en-US" w:eastAsia="zh-CN"/>
                    </w:rPr>
                    <w:t>食堂废水-隔油池-化粪池-院内污水处理站</w:t>
                  </w:r>
                </w:p>
              </w:tc>
              <w:tc>
                <w:tcPr>
                  <w:tcW w:w="759" w:type="dxa"/>
                  <w:vAlign w:val="center"/>
                </w:tcPr>
                <w:p w14:paraId="663B26B3">
                  <w:pPr>
                    <w:adjustRightInd w:val="0"/>
                    <w:snapToGrid w:val="0"/>
                    <w:spacing w:before="48" w:beforeLines="20" w:after="48" w:afterLines="20"/>
                    <w:jc w:val="center"/>
                    <w:rPr>
                      <w:snapToGrid w:val="0"/>
                      <w:color w:val="auto"/>
                      <w:szCs w:val="21"/>
                    </w:rPr>
                  </w:pPr>
                  <w:r>
                    <w:rPr>
                      <w:rFonts w:hint="eastAsia"/>
                      <w:snapToGrid w:val="0"/>
                      <w:color w:val="auto"/>
                      <w:szCs w:val="21"/>
                      <w:lang w:val="en-US" w:eastAsia="zh-CN"/>
                    </w:rPr>
                    <w:t>已建</w:t>
                  </w:r>
                </w:p>
              </w:tc>
            </w:tr>
            <w:tr w14:paraId="053150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vMerge w:val="continue"/>
                  <w:vAlign w:val="center"/>
                </w:tcPr>
                <w:p w14:paraId="29EE50C1">
                  <w:pPr>
                    <w:adjustRightInd w:val="0"/>
                    <w:snapToGrid w:val="0"/>
                    <w:spacing w:before="48" w:beforeLines="20" w:after="48" w:afterLines="20"/>
                    <w:jc w:val="center"/>
                    <w:rPr>
                      <w:snapToGrid w:val="0"/>
                      <w:color w:val="auto"/>
                      <w:kern w:val="0"/>
                      <w:szCs w:val="21"/>
                    </w:rPr>
                  </w:pPr>
                </w:p>
              </w:tc>
              <w:tc>
                <w:tcPr>
                  <w:tcW w:w="1017" w:type="dxa"/>
                  <w:vMerge w:val="continue"/>
                  <w:vAlign w:val="center"/>
                </w:tcPr>
                <w:p w14:paraId="113BA063">
                  <w:pPr>
                    <w:adjustRightInd w:val="0"/>
                    <w:snapToGrid w:val="0"/>
                    <w:spacing w:before="48" w:beforeLines="20" w:after="48" w:afterLines="20"/>
                    <w:jc w:val="center"/>
                    <w:rPr>
                      <w:snapToGrid w:val="0"/>
                      <w:color w:val="auto"/>
                      <w:kern w:val="0"/>
                      <w:szCs w:val="21"/>
                    </w:rPr>
                  </w:pPr>
                </w:p>
              </w:tc>
              <w:tc>
                <w:tcPr>
                  <w:tcW w:w="1202" w:type="dxa"/>
                  <w:vAlign w:val="center"/>
                </w:tcPr>
                <w:p w14:paraId="0B347F58">
                  <w:pPr>
                    <w:adjustRightInd w:val="0"/>
                    <w:snapToGrid w:val="0"/>
                    <w:spacing w:before="48" w:beforeLines="20" w:after="48" w:afterLines="20"/>
                    <w:jc w:val="center"/>
                    <w:rPr>
                      <w:rFonts w:hint="default" w:eastAsia="宋体"/>
                      <w:snapToGrid w:val="0"/>
                      <w:color w:val="auto"/>
                      <w:kern w:val="0"/>
                      <w:szCs w:val="21"/>
                      <w:lang w:val="en-US" w:eastAsia="zh-CN"/>
                    </w:rPr>
                  </w:pPr>
                  <w:r>
                    <w:rPr>
                      <w:rFonts w:hint="eastAsia"/>
                      <w:snapToGrid w:val="0"/>
                      <w:color w:val="auto"/>
                      <w:kern w:val="0"/>
                      <w:szCs w:val="21"/>
                      <w:lang w:val="en-US" w:eastAsia="zh-CN"/>
                    </w:rPr>
                    <w:t>检验科废水收集桶</w:t>
                  </w:r>
                </w:p>
              </w:tc>
              <w:tc>
                <w:tcPr>
                  <w:tcW w:w="4688" w:type="dxa"/>
                  <w:vAlign w:val="center"/>
                </w:tcPr>
                <w:p w14:paraId="2FB6E0EF">
                  <w:pPr>
                    <w:adjustRightInd w:val="0"/>
                    <w:snapToGrid w:val="0"/>
                    <w:spacing w:before="48" w:beforeLines="20" w:after="48" w:afterLines="20"/>
                    <w:jc w:val="left"/>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设备清洗废水：中和桶内消毒后通过管道排入化粪池；</w:t>
                  </w:r>
                </w:p>
                <w:p w14:paraId="0B70E2E0">
                  <w:pPr>
                    <w:adjustRightInd w:val="0"/>
                    <w:snapToGrid w:val="0"/>
                    <w:spacing w:before="48" w:beforeLines="20" w:after="48" w:afterLines="20"/>
                    <w:jc w:val="left"/>
                    <w:rPr>
                      <w:rFonts w:hint="default"/>
                      <w:snapToGrid w:val="0"/>
                      <w:color w:val="auto"/>
                      <w:szCs w:val="21"/>
                      <w:lang w:val="en-US"/>
                    </w:rPr>
                  </w:pPr>
                  <w:r>
                    <w:rPr>
                      <w:rFonts w:hint="eastAsia" w:cs="Times New Roman"/>
                      <w:snapToGrid w:val="0"/>
                      <w:color w:val="auto"/>
                      <w:szCs w:val="21"/>
                      <w:lang w:val="en-US" w:eastAsia="zh-CN"/>
                    </w:rPr>
                    <w:t>含试剂废水：根据试剂成分将废水排入相应的桶中（</w:t>
                  </w:r>
                  <w:r>
                    <w:rPr>
                      <w:rFonts w:hint="eastAsia" w:ascii="Times New Roman" w:hAnsi="Times New Roman" w:eastAsia="宋体" w:cs="Times New Roman"/>
                      <w:snapToGrid w:val="0"/>
                      <w:color w:val="auto"/>
                      <w:szCs w:val="21"/>
                      <w:lang w:val="en-US" w:eastAsia="zh-CN"/>
                    </w:rPr>
                    <w:t>有机废液桶、无机废液桶、生物废液桶</w:t>
                  </w:r>
                  <w:r>
                    <w:rPr>
                      <w:rFonts w:hint="eastAsia" w:cs="Times New Roman"/>
                      <w:snapToGrid w:val="0"/>
                      <w:color w:val="auto"/>
                      <w:szCs w:val="21"/>
                      <w:lang w:val="en-US" w:eastAsia="zh-CN"/>
                    </w:rPr>
                    <w:t>），定期委托有资质单位处理</w:t>
                  </w:r>
                </w:p>
              </w:tc>
              <w:tc>
                <w:tcPr>
                  <w:tcW w:w="759" w:type="dxa"/>
                  <w:vAlign w:val="center"/>
                </w:tcPr>
                <w:p w14:paraId="285E9887">
                  <w:pPr>
                    <w:adjustRightInd w:val="0"/>
                    <w:snapToGrid w:val="0"/>
                    <w:spacing w:before="48" w:beforeLines="20" w:after="48" w:afterLines="20"/>
                    <w:jc w:val="center"/>
                    <w:rPr>
                      <w:snapToGrid w:val="0"/>
                      <w:color w:val="auto"/>
                      <w:szCs w:val="21"/>
                    </w:rPr>
                  </w:pPr>
                  <w:r>
                    <w:rPr>
                      <w:rFonts w:hint="eastAsia"/>
                      <w:snapToGrid w:val="0"/>
                      <w:color w:val="auto"/>
                      <w:szCs w:val="21"/>
                      <w:lang w:val="en-US" w:eastAsia="zh-CN"/>
                    </w:rPr>
                    <w:t>已建</w:t>
                  </w:r>
                </w:p>
              </w:tc>
            </w:tr>
            <w:tr w14:paraId="36B5EC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733" w:type="dxa"/>
                  <w:vMerge w:val="continue"/>
                  <w:vAlign w:val="center"/>
                </w:tcPr>
                <w:p w14:paraId="4A17E814">
                  <w:pPr>
                    <w:adjustRightInd w:val="0"/>
                    <w:snapToGrid w:val="0"/>
                    <w:spacing w:before="48" w:beforeLines="20" w:after="48" w:afterLines="20"/>
                    <w:jc w:val="center"/>
                    <w:rPr>
                      <w:snapToGrid w:val="0"/>
                      <w:color w:val="auto"/>
                      <w:kern w:val="0"/>
                      <w:szCs w:val="21"/>
                    </w:rPr>
                  </w:pPr>
                </w:p>
              </w:tc>
              <w:tc>
                <w:tcPr>
                  <w:tcW w:w="1017" w:type="dxa"/>
                  <w:vMerge w:val="continue"/>
                  <w:vAlign w:val="center"/>
                </w:tcPr>
                <w:p w14:paraId="4E6A319A">
                  <w:pPr>
                    <w:adjustRightInd w:val="0"/>
                    <w:snapToGrid w:val="0"/>
                    <w:spacing w:before="48" w:beforeLines="20" w:after="48" w:afterLines="20"/>
                    <w:jc w:val="center"/>
                    <w:rPr>
                      <w:snapToGrid w:val="0"/>
                      <w:color w:val="auto"/>
                      <w:kern w:val="0"/>
                      <w:szCs w:val="21"/>
                    </w:rPr>
                  </w:pPr>
                </w:p>
              </w:tc>
              <w:tc>
                <w:tcPr>
                  <w:tcW w:w="1202" w:type="dxa"/>
                  <w:vAlign w:val="center"/>
                </w:tcPr>
                <w:p w14:paraId="6FD3F208">
                  <w:pPr>
                    <w:adjustRightInd w:val="0"/>
                    <w:snapToGrid w:val="0"/>
                    <w:spacing w:before="48" w:beforeLines="20" w:after="48" w:afterLines="20"/>
                    <w:jc w:val="center"/>
                    <w:rPr>
                      <w:snapToGrid w:val="0"/>
                      <w:color w:val="auto"/>
                      <w:kern w:val="0"/>
                      <w:szCs w:val="21"/>
                    </w:rPr>
                  </w:pPr>
                  <w:bookmarkStart w:id="10" w:name="_Hlk142325370"/>
                  <w:r>
                    <w:rPr>
                      <w:rFonts w:hint="eastAsia"/>
                      <w:snapToGrid w:val="0"/>
                      <w:color w:val="auto"/>
                      <w:kern w:val="0"/>
                      <w:szCs w:val="21"/>
                    </w:rPr>
                    <w:t>污水处理站</w:t>
                  </w:r>
                  <w:bookmarkEnd w:id="10"/>
                </w:p>
              </w:tc>
              <w:tc>
                <w:tcPr>
                  <w:tcW w:w="4688" w:type="dxa"/>
                  <w:vAlign w:val="center"/>
                </w:tcPr>
                <w:p w14:paraId="478B9E56">
                  <w:pPr>
                    <w:adjustRightInd w:val="0"/>
                    <w:snapToGrid w:val="0"/>
                    <w:spacing w:before="48" w:beforeLines="20" w:after="48" w:afterLines="20"/>
                    <w:rPr>
                      <w:snapToGrid w:val="0"/>
                      <w:color w:val="auto"/>
                      <w:kern w:val="0"/>
                      <w:szCs w:val="21"/>
                    </w:rPr>
                  </w:pPr>
                  <w:r>
                    <w:rPr>
                      <w:rFonts w:hint="eastAsia"/>
                      <w:snapToGrid w:val="0"/>
                      <w:color w:val="auto"/>
                      <w:szCs w:val="21"/>
                    </w:rPr>
                    <w:t>建设地埋式污水处理站，设计</w:t>
                  </w:r>
                  <w:r>
                    <w:rPr>
                      <w:snapToGrid w:val="0"/>
                      <w:color w:val="auto"/>
                      <w:szCs w:val="21"/>
                    </w:rPr>
                    <w:t>处理规模为10m</w:t>
                  </w:r>
                  <w:r>
                    <w:rPr>
                      <w:snapToGrid w:val="0"/>
                      <w:color w:val="auto"/>
                      <w:szCs w:val="21"/>
                      <w:vertAlign w:val="superscript"/>
                    </w:rPr>
                    <w:t>3</w:t>
                  </w:r>
                  <w:r>
                    <w:rPr>
                      <w:snapToGrid w:val="0"/>
                      <w:color w:val="auto"/>
                      <w:szCs w:val="21"/>
                    </w:rPr>
                    <w:t>/d，处理工艺为</w:t>
                  </w:r>
                  <w:r>
                    <w:rPr>
                      <w:rFonts w:ascii="宋体" w:hAnsi="宋体"/>
                      <w:snapToGrid w:val="0"/>
                      <w:color w:val="auto"/>
                      <w:szCs w:val="21"/>
                    </w:rPr>
                    <w:t>“</w:t>
                  </w:r>
                  <w:r>
                    <w:rPr>
                      <w:rFonts w:hint="eastAsia"/>
                      <w:snapToGrid w:val="0"/>
                      <w:color w:val="auto"/>
                      <w:szCs w:val="21"/>
                    </w:rPr>
                    <w:t>生化+MBR膜+消毒</w:t>
                  </w:r>
                  <w:r>
                    <w:rPr>
                      <w:rFonts w:ascii="宋体" w:hAnsi="宋体"/>
                      <w:snapToGrid w:val="0"/>
                      <w:color w:val="auto"/>
                      <w:szCs w:val="21"/>
                    </w:rPr>
                    <w:t>”</w:t>
                  </w:r>
                  <w:r>
                    <w:rPr>
                      <w:rFonts w:hint="eastAsia" w:ascii="宋体" w:hAnsi="宋体"/>
                      <w:snapToGrid w:val="0"/>
                      <w:color w:val="auto"/>
                      <w:szCs w:val="21"/>
                    </w:rPr>
                    <w:t>。</w:t>
                  </w:r>
                </w:p>
              </w:tc>
              <w:tc>
                <w:tcPr>
                  <w:tcW w:w="759" w:type="dxa"/>
                  <w:vAlign w:val="center"/>
                </w:tcPr>
                <w:p w14:paraId="479F753A">
                  <w:pPr>
                    <w:adjustRightInd w:val="0"/>
                    <w:snapToGrid w:val="0"/>
                    <w:spacing w:before="48" w:beforeLines="20" w:after="48" w:afterLines="20"/>
                    <w:jc w:val="center"/>
                    <w:rPr>
                      <w:rFonts w:hint="default"/>
                      <w:snapToGrid w:val="0"/>
                      <w:color w:val="auto"/>
                      <w:szCs w:val="21"/>
                      <w:lang w:val="en-US"/>
                    </w:rPr>
                  </w:pPr>
                  <w:r>
                    <w:rPr>
                      <w:rFonts w:hint="eastAsia"/>
                      <w:snapToGrid w:val="0"/>
                      <w:color w:val="auto"/>
                      <w:szCs w:val="21"/>
                      <w:lang w:val="en-US" w:eastAsia="zh-CN"/>
                    </w:rPr>
                    <w:t>新建</w:t>
                  </w:r>
                </w:p>
              </w:tc>
            </w:tr>
            <w:tr w14:paraId="30EF71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33" w:type="dxa"/>
                  <w:vMerge w:val="continue"/>
                  <w:vAlign w:val="center"/>
                </w:tcPr>
                <w:p w14:paraId="1C301245">
                  <w:pPr>
                    <w:adjustRightInd w:val="0"/>
                    <w:snapToGrid w:val="0"/>
                    <w:spacing w:before="48" w:beforeLines="20" w:after="48" w:afterLines="20"/>
                    <w:jc w:val="center"/>
                    <w:rPr>
                      <w:snapToGrid w:val="0"/>
                      <w:color w:val="auto"/>
                      <w:kern w:val="0"/>
                      <w:szCs w:val="21"/>
                    </w:rPr>
                  </w:pPr>
                </w:p>
              </w:tc>
              <w:tc>
                <w:tcPr>
                  <w:tcW w:w="1017" w:type="dxa"/>
                  <w:vMerge w:val="restart"/>
                  <w:vAlign w:val="center"/>
                </w:tcPr>
                <w:p w14:paraId="34F5E156">
                  <w:pPr>
                    <w:adjustRightInd w:val="0"/>
                    <w:snapToGrid w:val="0"/>
                    <w:spacing w:before="48" w:beforeLines="20" w:after="48" w:afterLines="20"/>
                    <w:jc w:val="center"/>
                    <w:rPr>
                      <w:snapToGrid w:val="0"/>
                      <w:color w:val="auto"/>
                      <w:kern w:val="0"/>
                      <w:szCs w:val="21"/>
                    </w:rPr>
                  </w:pPr>
                  <w:r>
                    <w:rPr>
                      <w:snapToGrid w:val="0"/>
                      <w:color w:val="auto"/>
                      <w:kern w:val="0"/>
                      <w:szCs w:val="21"/>
                    </w:rPr>
                    <w:t>固废</w:t>
                  </w:r>
                </w:p>
              </w:tc>
              <w:tc>
                <w:tcPr>
                  <w:tcW w:w="1202" w:type="dxa"/>
                  <w:vAlign w:val="center"/>
                </w:tcPr>
                <w:p w14:paraId="64F5DF65">
                  <w:pPr>
                    <w:adjustRightInd w:val="0"/>
                    <w:snapToGrid w:val="0"/>
                    <w:spacing w:before="48" w:beforeLines="20" w:after="48" w:afterLines="20"/>
                    <w:jc w:val="center"/>
                    <w:rPr>
                      <w:snapToGrid w:val="0"/>
                      <w:color w:val="auto"/>
                      <w:kern w:val="0"/>
                      <w:szCs w:val="21"/>
                    </w:rPr>
                  </w:pPr>
                  <w:bookmarkStart w:id="11" w:name="_Hlk142325572"/>
                  <w:r>
                    <w:rPr>
                      <w:rFonts w:hint="eastAsia"/>
                      <w:snapToGrid w:val="0"/>
                      <w:color w:val="auto"/>
                      <w:kern w:val="0"/>
                      <w:szCs w:val="21"/>
                    </w:rPr>
                    <w:t>医疗废物暂存间</w:t>
                  </w:r>
                  <w:bookmarkEnd w:id="11"/>
                </w:p>
              </w:tc>
              <w:tc>
                <w:tcPr>
                  <w:tcW w:w="4688" w:type="dxa"/>
                  <w:vAlign w:val="center"/>
                </w:tcPr>
                <w:p w14:paraId="4BCB3380">
                  <w:pPr>
                    <w:adjustRightInd w:val="0"/>
                    <w:snapToGrid w:val="0"/>
                    <w:spacing w:before="48" w:beforeLines="20" w:after="48" w:afterLines="20"/>
                    <w:rPr>
                      <w:snapToGrid w:val="0"/>
                      <w:color w:val="auto"/>
                      <w:szCs w:val="21"/>
                    </w:rPr>
                  </w:pPr>
                  <w:r>
                    <w:rPr>
                      <w:snapToGrid w:val="0"/>
                      <w:color w:val="auto"/>
                      <w:kern w:val="0"/>
                      <w:szCs w:val="21"/>
                    </w:rPr>
                    <w:t>位于</w:t>
                  </w:r>
                  <w:r>
                    <w:rPr>
                      <w:rFonts w:hint="eastAsia"/>
                      <w:snapToGrid w:val="0"/>
                      <w:color w:val="auto"/>
                      <w:kern w:val="0"/>
                      <w:szCs w:val="21"/>
                      <w:lang w:val="en-US" w:eastAsia="zh-CN"/>
                    </w:rPr>
                    <w:t>院区西北角</w:t>
                  </w:r>
                  <w:r>
                    <w:rPr>
                      <w:snapToGrid w:val="0"/>
                      <w:color w:val="auto"/>
                      <w:kern w:val="0"/>
                      <w:szCs w:val="21"/>
                    </w:rPr>
                    <w:t>，占地面积约</w:t>
                  </w:r>
                  <w:r>
                    <w:rPr>
                      <w:rFonts w:hint="eastAsia"/>
                      <w:snapToGrid w:val="0"/>
                      <w:color w:val="auto"/>
                      <w:kern w:val="0"/>
                      <w:szCs w:val="21"/>
                      <w:lang w:val="en-US" w:eastAsia="zh-CN"/>
                    </w:rPr>
                    <w:t>39.4</w:t>
                  </w:r>
                  <w:r>
                    <w:rPr>
                      <w:snapToGrid w:val="0"/>
                      <w:color w:val="auto"/>
                      <w:kern w:val="0"/>
                      <w:szCs w:val="21"/>
                    </w:rPr>
                    <w:t>m</w:t>
                  </w:r>
                  <w:r>
                    <w:rPr>
                      <w:snapToGrid w:val="0"/>
                      <w:color w:val="auto"/>
                      <w:kern w:val="0"/>
                      <w:szCs w:val="21"/>
                      <w:vertAlign w:val="superscript"/>
                    </w:rPr>
                    <w:t>2</w:t>
                  </w:r>
                  <w:r>
                    <w:rPr>
                      <w:snapToGrid w:val="0"/>
                      <w:color w:val="auto"/>
                      <w:kern w:val="0"/>
                      <w:szCs w:val="21"/>
                    </w:rPr>
                    <w:t>，</w:t>
                  </w:r>
                  <w:r>
                    <w:rPr>
                      <w:snapToGrid w:val="0"/>
                      <w:color w:val="auto"/>
                      <w:szCs w:val="21"/>
                    </w:rPr>
                    <w:t>设医疗废物暂存间，</w:t>
                  </w:r>
                  <w:r>
                    <w:rPr>
                      <w:rFonts w:hint="eastAsia"/>
                      <w:snapToGrid w:val="0"/>
                      <w:color w:val="auto"/>
                      <w:szCs w:val="21"/>
                    </w:rPr>
                    <w:t>危险废物</w:t>
                  </w:r>
                  <w:r>
                    <w:rPr>
                      <w:snapToGrid w:val="0"/>
                      <w:color w:val="auto"/>
                      <w:szCs w:val="21"/>
                    </w:rPr>
                    <w:t>由有医疗废物处置资质的单位外运处置。</w:t>
                  </w:r>
                </w:p>
              </w:tc>
              <w:tc>
                <w:tcPr>
                  <w:tcW w:w="759" w:type="dxa"/>
                  <w:vAlign w:val="center"/>
                </w:tcPr>
                <w:p w14:paraId="01107F87">
                  <w:pPr>
                    <w:adjustRightInd w:val="0"/>
                    <w:snapToGrid w:val="0"/>
                    <w:spacing w:before="48" w:beforeLines="20" w:after="48" w:afterLines="20"/>
                    <w:jc w:val="center"/>
                    <w:rPr>
                      <w:rFonts w:hint="default"/>
                      <w:snapToGrid w:val="0"/>
                      <w:color w:val="auto"/>
                      <w:szCs w:val="21"/>
                      <w:lang w:val="en-US"/>
                    </w:rPr>
                  </w:pPr>
                  <w:r>
                    <w:rPr>
                      <w:rFonts w:hint="eastAsia"/>
                      <w:snapToGrid w:val="0"/>
                      <w:color w:val="auto"/>
                      <w:szCs w:val="21"/>
                      <w:lang w:val="en-US" w:eastAsia="zh-CN"/>
                    </w:rPr>
                    <w:t>新建</w:t>
                  </w:r>
                </w:p>
              </w:tc>
            </w:tr>
            <w:tr w14:paraId="59448C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733" w:type="dxa"/>
                  <w:vMerge w:val="continue"/>
                  <w:vAlign w:val="center"/>
                </w:tcPr>
                <w:p w14:paraId="48451431">
                  <w:pPr>
                    <w:adjustRightInd w:val="0"/>
                    <w:snapToGrid w:val="0"/>
                    <w:spacing w:before="48" w:beforeLines="20" w:after="48" w:afterLines="20"/>
                    <w:jc w:val="center"/>
                    <w:rPr>
                      <w:snapToGrid w:val="0"/>
                      <w:color w:val="auto"/>
                      <w:kern w:val="0"/>
                      <w:szCs w:val="21"/>
                    </w:rPr>
                  </w:pPr>
                </w:p>
              </w:tc>
              <w:tc>
                <w:tcPr>
                  <w:tcW w:w="1017" w:type="dxa"/>
                  <w:vMerge w:val="continue"/>
                  <w:vAlign w:val="center"/>
                </w:tcPr>
                <w:p w14:paraId="6DBB3492">
                  <w:pPr>
                    <w:adjustRightInd w:val="0"/>
                    <w:snapToGrid w:val="0"/>
                    <w:spacing w:before="48" w:beforeLines="20" w:after="48" w:afterLines="20"/>
                    <w:jc w:val="center"/>
                    <w:rPr>
                      <w:snapToGrid w:val="0"/>
                      <w:color w:val="auto"/>
                      <w:kern w:val="0"/>
                      <w:szCs w:val="21"/>
                    </w:rPr>
                  </w:pPr>
                </w:p>
              </w:tc>
              <w:tc>
                <w:tcPr>
                  <w:tcW w:w="1202" w:type="dxa"/>
                  <w:vAlign w:val="center"/>
                </w:tcPr>
                <w:p w14:paraId="4956277B">
                  <w:pPr>
                    <w:adjustRightInd w:val="0"/>
                    <w:snapToGrid w:val="0"/>
                    <w:spacing w:before="48" w:beforeLines="20" w:after="48" w:afterLines="20"/>
                    <w:jc w:val="center"/>
                    <w:rPr>
                      <w:snapToGrid w:val="0"/>
                      <w:color w:val="auto"/>
                      <w:kern w:val="0"/>
                      <w:szCs w:val="21"/>
                    </w:rPr>
                  </w:pPr>
                  <w:r>
                    <w:rPr>
                      <w:rFonts w:hint="eastAsia"/>
                      <w:snapToGrid w:val="0"/>
                      <w:color w:val="auto"/>
                      <w:kern w:val="0"/>
                      <w:szCs w:val="21"/>
                    </w:rPr>
                    <w:t>医疗废物收集桶</w:t>
                  </w:r>
                </w:p>
              </w:tc>
              <w:tc>
                <w:tcPr>
                  <w:tcW w:w="4688" w:type="dxa"/>
                  <w:vAlign w:val="center"/>
                </w:tcPr>
                <w:p w14:paraId="776D8418">
                  <w:pPr>
                    <w:adjustRightInd w:val="0"/>
                    <w:snapToGrid w:val="0"/>
                    <w:spacing w:before="48" w:beforeLines="20" w:after="48" w:afterLines="20"/>
                    <w:jc w:val="center"/>
                    <w:rPr>
                      <w:snapToGrid w:val="0"/>
                      <w:color w:val="auto"/>
                      <w:kern w:val="0"/>
                      <w:szCs w:val="21"/>
                    </w:rPr>
                  </w:pPr>
                  <w:r>
                    <w:rPr>
                      <w:rFonts w:hint="eastAsia"/>
                      <w:snapToGrid w:val="0"/>
                      <w:color w:val="auto"/>
                      <w:kern w:val="0"/>
                      <w:szCs w:val="21"/>
                    </w:rPr>
                    <w:t>每个科室合理设置医疗废物收集桶。</w:t>
                  </w:r>
                </w:p>
              </w:tc>
              <w:tc>
                <w:tcPr>
                  <w:tcW w:w="759" w:type="dxa"/>
                  <w:vAlign w:val="center"/>
                </w:tcPr>
                <w:p w14:paraId="6D2F6D43">
                  <w:pPr>
                    <w:adjustRightInd w:val="0"/>
                    <w:snapToGrid w:val="0"/>
                    <w:spacing w:before="48" w:beforeLines="20" w:after="48" w:afterLines="20"/>
                    <w:jc w:val="center"/>
                    <w:rPr>
                      <w:snapToGrid w:val="0"/>
                      <w:color w:val="auto"/>
                      <w:szCs w:val="21"/>
                    </w:rPr>
                  </w:pPr>
                  <w:r>
                    <w:rPr>
                      <w:rFonts w:hint="eastAsia"/>
                      <w:snapToGrid w:val="0"/>
                      <w:color w:val="auto"/>
                      <w:szCs w:val="21"/>
                      <w:lang w:val="en-US" w:eastAsia="zh-CN"/>
                    </w:rPr>
                    <w:t>已建</w:t>
                  </w:r>
                </w:p>
              </w:tc>
            </w:tr>
            <w:tr w14:paraId="0DF403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33" w:type="dxa"/>
                  <w:vMerge w:val="continue"/>
                  <w:vAlign w:val="center"/>
                </w:tcPr>
                <w:p w14:paraId="1F44B08A">
                  <w:pPr>
                    <w:adjustRightInd w:val="0"/>
                    <w:snapToGrid w:val="0"/>
                    <w:spacing w:before="48" w:beforeLines="20" w:after="48" w:afterLines="20"/>
                    <w:jc w:val="center"/>
                    <w:rPr>
                      <w:snapToGrid w:val="0"/>
                      <w:color w:val="auto"/>
                      <w:kern w:val="0"/>
                      <w:szCs w:val="21"/>
                    </w:rPr>
                  </w:pPr>
                </w:p>
              </w:tc>
              <w:tc>
                <w:tcPr>
                  <w:tcW w:w="1017" w:type="dxa"/>
                  <w:vMerge w:val="continue"/>
                  <w:vAlign w:val="center"/>
                </w:tcPr>
                <w:p w14:paraId="3FE67234">
                  <w:pPr>
                    <w:adjustRightInd w:val="0"/>
                    <w:snapToGrid w:val="0"/>
                    <w:spacing w:before="48" w:beforeLines="20" w:after="48" w:afterLines="20"/>
                    <w:jc w:val="center"/>
                    <w:rPr>
                      <w:snapToGrid w:val="0"/>
                      <w:color w:val="auto"/>
                      <w:kern w:val="0"/>
                      <w:szCs w:val="21"/>
                    </w:rPr>
                  </w:pPr>
                </w:p>
              </w:tc>
              <w:tc>
                <w:tcPr>
                  <w:tcW w:w="1202" w:type="dxa"/>
                  <w:vAlign w:val="center"/>
                </w:tcPr>
                <w:p w14:paraId="46914091">
                  <w:pPr>
                    <w:adjustRightInd w:val="0"/>
                    <w:snapToGrid w:val="0"/>
                    <w:spacing w:before="48" w:beforeLines="20" w:after="48" w:afterLines="20"/>
                    <w:jc w:val="center"/>
                    <w:rPr>
                      <w:snapToGrid w:val="0"/>
                      <w:color w:val="auto"/>
                      <w:kern w:val="0"/>
                      <w:szCs w:val="21"/>
                    </w:rPr>
                  </w:pPr>
                  <w:r>
                    <w:rPr>
                      <w:rFonts w:hint="eastAsia"/>
                      <w:snapToGrid w:val="0"/>
                      <w:color w:val="auto"/>
                      <w:kern w:val="0"/>
                      <w:szCs w:val="21"/>
                    </w:rPr>
                    <w:t>生活垃圾收集桶</w:t>
                  </w:r>
                </w:p>
              </w:tc>
              <w:tc>
                <w:tcPr>
                  <w:tcW w:w="4688" w:type="dxa"/>
                  <w:vAlign w:val="center"/>
                </w:tcPr>
                <w:p w14:paraId="093DB119">
                  <w:pPr>
                    <w:adjustRightInd w:val="0"/>
                    <w:snapToGrid w:val="0"/>
                    <w:spacing w:before="48" w:beforeLines="20" w:after="48" w:afterLines="20"/>
                    <w:jc w:val="center"/>
                    <w:rPr>
                      <w:snapToGrid w:val="0"/>
                      <w:color w:val="auto"/>
                      <w:kern w:val="0"/>
                      <w:szCs w:val="21"/>
                    </w:rPr>
                  </w:pPr>
                  <w:r>
                    <w:rPr>
                      <w:rFonts w:hint="eastAsia"/>
                      <w:snapToGrid w:val="0"/>
                      <w:color w:val="auto"/>
                      <w:kern w:val="0"/>
                      <w:szCs w:val="21"/>
                    </w:rPr>
                    <w:t>若干有盖垃圾桶。</w:t>
                  </w:r>
                </w:p>
              </w:tc>
              <w:tc>
                <w:tcPr>
                  <w:tcW w:w="759" w:type="dxa"/>
                  <w:vAlign w:val="center"/>
                </w:tcPr>
                <w:p w14:paraId="44208284">
                  <w:pPr>
                    <w:adjustRightInd w:val="0"/>
                    <w:snapToGrid w:val="0"/>
                    <w:spacing w:before="48" w:beforeLines="20" w:after="48" w:afterLines="20"/>
                    <w:jc w:val="center"/>
                    <w:rPr>
                      <w:snapToGrid w:val="0"/>
                      <w:color w:val="auto"/>
                      <w:szCs w:val="21"/>
                    </w:rPr>
                  </w:pPr>
                  <w:r>
                    <w:rPr>
                      <w:rFonts w:hint="eastAsia"/>
                      <w:snapToGrid w:val="0"/>
                      <w:color w:val="auto"/>
                      <w:szCs w:val="21"/>
                      <w:lang w:val="en-US" w:eastAsia="zh-CN"/>
                    </w:rPr>
                    <w:t>已建</w:t>
                  </w:r>
                </w:p>
              </w:tc>
            </w:tr>
            <w:tr w14:paraId="268CF4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3" w:type="dxa"/>
                  <w:vMerge w:val="continue"/>
                  <w:vAlign w:val="center"/>
                </w:tcPr>
                <w:p w14:paraId="33F1CF23">
                  <w:pPr>
                    <w:adjustRightInd w:val="0"/>
                    <w:snapToGrid w:val="0"/>
                    <w:spacing w:before="48" w:beforeLines="20" w:after="48" w:afterLines="20"/>
                    <w:jc w:val="center"/>
                    <w:rPr>
                      <w:snapToGrid w:val="0"/>
                      <w:color w:val="auto"/>
                      <w:kern w:val="0"/>
                      <w:szCs w:val="21"/>
                    </w:rPr>
                  </w:pPr>
                </w:p>
              </w:tc>
              <w:tc>
                <w:tcPr>
                  <w:tcW w:w="1017" w:type="dxa"/>
                  <w:vAlign w:val="center"/>
                </w:tcPr>
                <w:p w14:paraId="2BE176E6">
                  <w:pPr>
                    <w:adjustRightInd w:val="0"/>
                    <w:snapToGrid w:val="0"/>
                    <w:spacing w:before="48" w:beforeLines="20" w:after="48" w:afterLines="20"/>
                    <w:jc w:val="center"/>
                    <w:rPr>
                      <w:snapToGrid w:val="0"/>
                      <w:color w:val="auto"/>
                      <w:kern w:val="0"/>
                      <w:szCs w:val="21"/>
                    </w:rPr>
                  </w:pPr>
                  <w:r>
                    <w:rPr>
                      <w:snapToGrid w:val="0"/>
                      <w:color w:val="auto"/>
                      <w:kern w:val="0"/>
                      <w:szCs w:val="21"/>
                    </w:rPr>
                    <w:t>噪声</w:t>
                  </w:r>
                </w:p>
              </w:tc>
              <w:tc>
                <w:tcPr>
                  <w:tcW w:w="1202" w:type="dxa"/>
                  <w:vAlign w:val="center"/>
                </w:tcPr>
                <w:p w14:paraId="0CD6F950">
                  <w:pPr>
                    <w:adjustRightInd w:val="0"/>
                    <w:snapToGrid w:val="0"/>
                    <w:spacing w:before="48" w:beforeLines="20" w:after="48" w:afterLines="20"/>
                    <w:jc w:val="center"/>
                    <w:rPr>
                      <w:snapToGrid w:val="0"/>
                      <w:color w:val="auto"/>
                      <w:kern w:val="0"/>
                      <w:szCs w:val="21"/>
                    </w:rPr>
                  </w:pPr>
                  <w:r>
                    <w:rPr>
                      <w:snapToGrid w:val="0"/>
                      <w:color w:val="auto"/>
                      <w:kern w:val="0"/>
                      <w:szCs w:val="21"/>
                    </w:rPr>
                    <w:t>减振、隔声</w:t>
                  </w:r>
                </w:p>
              </w:tc>
              <w:tc>
                <w:tcPr>
                  <w:tcW w:w="4688" w:type="dxa"/>
                  <w:vAlign w:val="center"/>
                </w:tcPr>
                <w:p w14:paraId="2D2C6E88">
                  <w:pPr>
                    <w:adjustRightInd w:val="0"/>
                    <w:snapToGrid w:val="0"/>
                    <w:spacing w:before="48" w:beforeLines="20" w:after="48" w:afterLines="20"/>
                    <w:jc w:val="center"/>
                    <w:rPr>
                      <w:snapToGrid w:val="0"/>
                      <w:color w:val="auto"/>
                      <w:kern w:val="0"/>
                      <w:szCs w:val="21"/>
                    </w:rPr>
                  </w:pPr>
                  <w:r>
                    <w:rPr>
                      <w:snapToGrid w:val="0"/>
                      <w:color w:val="auto"/>
                      <w:kern w:val="0"/>
                      <w:szCs w:val="21"/>
                    </w:rPr>
                    <w:t>减振、密闭、绿化</w:t>
                  </w:r>
                </w:p>
              </w:tc>
              <w:tc>
                <w:tcPr>
                  <w:tcW w:w="759" w:type="dxa"/>
                  <w:vAlign w:val="center"/>
                </w:tcPr>
                <w:p w14:paraId="7AF13025">
                  <w:pPr>
                    <w:adjustRightInd w:val="0"/>
                    <w:snapToGrid w:val="0"/>
                    <w:spacing w:before="48" w:beforeLines="20" w:after="48" w:afterLines="20"/>
                    <w:jc w:val="center"/>
                    <w:rPr>
                      <w:snapToGrid w:val="0"/>
                      <w:color w:val="auto"/>
                      <w:kern w:val="0"/>
                      <w:szCs w:val="21"/>
                    </w:rPr>
                  </w:pPr>
                  <w:r>
                    <w:rPr>
                      <w:rFonts w:hint="eastAsia"/>
                      <w:snapToGrid w:val="0"/>
                      <w:color w:val="auto"/>
                      <w:kern w:val="0"/>
                      <w:szCs w:val="21"/>
                    </w:rPr>
                    <w:t>/</w:t>
                  </w:r>
                </w:p>
              </w:tc>
            </w:tr>
            <w:tr w14:paraId="21D270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733" w:type="dxa"/>
                  <w:vAlign w:val="center"/>
                </w:tcPr>
                <w:p w14:paraId="114C12AE">
                  <w:pPr>
                    <w:adjustRightInd w:val="0"/>
                    <w:snapToGrid w:val="0"/>
                    <w:spacing w:before="48" w:beforeLines="20" w:after="48" w:afterLines="20"/>
                    <w:jc w:val="center"/>
                    <w:rPr>
                      <w:snapToGrid w:val="0"/>
                      <w:color w:val="auto"/>
                      <w:kern w:val="0"/>
                      <w:szCs w:val="21"/>
                    </w:rPr>
                  </w:pPr>
                  <w:r>
                    <w:rPr>
                      <w:snapToGrid w:val="0"/>
                      <w:color w:val="auto"/>
                      <w:kern w:val="0"/>
                      <w:szCs w:val="21"/>
                    </w:rPr>
                    <w:t>环境风险</w:t>
                  </w:r>
                </w:p>
              </w:tc>
              <w:tc>
                <w:tcPr>
                  <w:tcW w:w="6907" w:type="dxa"/>
                  <w:gridSpan w:val="3"/>
                  <w:vAlign w:val="center"/>
                </w:tcPr>
                <w:p w14:paraId="3AB41727">
                  <w:pPr>
                    <w:widowControl/>
                    <w:adjustRightInd w:val="0"/>
                    <w:snapToGrid w:val="0"/>
                    <w:spacing w:before="48" w:beforeLines="20" w:after="48" w:afterLines="20"/>
                    <w:jc w:val="center"/>
                    <w:rPr>
                      <w:color w:val="auto"/>
                    </w:rPr>
                  </w:pPr>
                  <w:r>
                    <w:rPr>
                      <w:rFonts w:hint="eastAsia"/>
                      <w:snapToGrid w:val="0"/>
                      <w:color w:val="auto"/>
                      <w:kern w:val="18"/>
                      <w:szCs w:val="21"/>
                    </w:rPr>
                    <w:t>配备1个3m</w:t>
                  </w:r>
                  <w:r>
                    <w:rPr>
                      <w:rFonts w:hint="eastAsia"/>
                      <w:snapToGrid w:val="0"/>
                      <w:color w:val="auto"/>
                      <w:kern w:val="18"/>
                      <w:szCs w:val="21"/>
                      <w:vertAlign w:val="superscript"/>
                    </w:rPr>
                    <w:t>3</w:t>
                  </w:r>
                  <w:r>
                    <w:rPr>
                      <w:rFonts w:hint="eastAsia"/>
                      <w:snapToGrid w:val="0"/>
                      <w:color w:val="auto"/>
                      <w:kern w:val="18"/>
                      <w:szCs w:val="21"/>
                    </w:rPr>
                    <w:t>的事故应急池</w:t>
                  </w:r>
                </w:p>
              </w:tc>
              <w:tc>
                <w:tcPr>
                  <w:tcW w:w="759" w:type="dxa"/>
                  <w:vAlign w:val="center"/>
                </w:tcPr>
                <w:p w14:paraId="045B5396">
                  <w:pPr>
                    <w:widowControl/>
                    <w:adjustRightInd w:val="0"/>
                    <w:snapToGrid w:val="0"/>
                    <w:spacing w:before="48" w:beforeLines="20" w:after="48" w:afterLines="20"/>
                    <w:jc w:val="center"/>
                    <w:rPr>
                      <w:snapToGrid w:val="0"/>
                      <w:color w:val="auto"/>
                      <w:kern w:val="18"/>
                      <w:szCs w:val="21"/>
                    </w:rPr>
                  </w:pPr>
                  <w:r>
                    <w:rPr>
                      <w:rFonts w:hint="eastAsia"/>
                      <w:snapToGrid w:val="0"/>
                      <w:color w:val="auto"/>
                      <w:szCs w:val="21"/>
                      <w:lang w:val="en-US" w:eastAsia="zh-CN"/>
                    </w:rPr>
                    <w:t>新建</w:t>
                  </w:r>
                </w:p>
              </w:tc>
            </w:tr>
          </w:tbl>
          <w:p w14:paraId="7D3754FA">
            <w:pPr>
              <w:autoSpaceDE w:val="0"/>
              <w:autoSpaceDN w:val="0"/>
              <w:adjustRightInd w:val="0"/>
              <w:spacing w:line="360" w:lineRule="auto"/>
              <w:ind w:firstLine="482" w:firstLineChars="200"/>
              <w:rPr>
                <w:b/>
                <w:color w:val="auto"/>
                <w:kern w:val="0"/>
                <w:sz w:val="24"/>
              </w:rPr>
            </w:pPr>
            <w:r>
              <w:rPr>
                <w:rFonts w:hint="eastAsia"/>
                <w:b/>
                <w:color w:val="auto"/>
                <w:kern w:val="0"/>
                <w:sz w:val="24"/>
              </w:rPr>
              <w:t>3</w:t>
            </w:r>
            <w:r>
              <w:rPr>
                <w:b/>
                <w:color w:val="auto"/>
                <w:kern w:val="0"/>
                <w:sz w:val="24"/>
              </w:rPr>
              <w:t>、主要</w:t>
            </w:r>
            <w:r>
              <w:rPr>
                <w:rFonts w:hint="eastAsia"/>
                <w:b/>
                <w:color w:val="auto"/>
                <w:kern w:val="0"/>
                <w:sz w:val="24"/>
              </w:rPr>
              <w:t>设备配置</w:t>
            </w:r>
          </w:p>
          <w:p w14:paraId="1C665E1D">
            <w:pPr>
              <w:pStyle w:val="6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Times New Roman" w:hAnsi="Times New Roman" w:eastAsia="宋体" w:cs="宋体"/>
                <w:b/>
                <w:bCs/>
                <w:i w:val="0"/>
                <w:iCs w:val="0"/>
                <w:color w:val="auto"/>
                <w:kern w:val="2"/>
                <w:sz w:val="21"/>
                <w:szCs w:val="21"/>
                <w:u w:val="none"/>
                <w:lang w:val="en-US" w:eastAsia="zh-CN" w:bidi="ar-SA"/>
              </w:rPr>
            </w:pPr>
            <w:bookmarkStart w:id="12" w:name="_Toc10834"/>
            <w:r>
              <w:rPr>
                <w:rFonts w:hint="eastAsia" w:ascii="Times New Roman" w:hAnsi="Times New Roman"/>
                <w:b w:val="0"/>
                <w:bCs w:val="0"/>
                <w:color w:val="auto"/>
                <w:sz w:val="24"/>
                <w:lang w:val="en-US" w:eastAsia="zh-CN"/>
              </w:rPr>
              <w:t>本项目主要仪器设备见下表</w:t>
            </w:r>
            <w:bookmarkEnd w:id="12"/>
            <w:r>
              <w:rPr>
                <w:rFonts w:hint="eastAsia" w:ascii="Times New Roman" w:hAnsi="Times New Roman"/>
                <w:b w:val="0"/>
                <w:bCs w:val="0"/>
                <w:color w:val="auto"/>
                <w:sz w:val="24"/>
                <w:lang w:val="en-US" w:eastAsia="zh-CN"/>
              </w:rPr>
              <w:t>。</w:t>
            </w:r>
          </w:p>
          <w:p w14:paraId="21F9161E">
            <w:pPr>
              <w:snapToGrid w:val="0"/>
              <w:jc w:val="center"/>
              <w:rPr>
                <w:b/>
                <w:color w:val="auto"/>
                <w:szCs w:val="21"/>
              </w:rPr>
            </w:pPr>
            <w:r>
              <w:rPr>
                <w:rFonts w:hint="eastAsia"/>
                <w:b/>
                <w:color w:val="auto"/>
                <w:szCs w:val="21"/>
              </w:rPr>
              <w:t>表2-</w:t>
            </w:r>
            <w:r>
              <w:rPr>
                <w:rFonts w:hint="eastAsia"/>
                <w:b/>
                <w:color w:val="auto"/>
                <w:szCs w:val="21"/>
                <w:lang w:val="en-US" w:eastAsia="zh-CN"/>
              </w:rPr>
              <w:t>2</w:t>
            </w:r>
            <w:r>
              <w:rPr>
                <w:rFonts w:hint="eastAsia"/>
                <w:b/>
                <w:color w:val="auto"/>
                <w:szCs w:val="21"/>
              </w:rPr>
              <w:t xml:space="preserve">  项目主要设备设施一览表</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757"/>
              <w:gridCol w:w="2164"/>
              <w:gridCol w:w="1442"/>
              <w:gridCol w:w="1329"/>
            </w:tblGrid>
            <w:tr w14:paraId="576BF3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19" w:type="pct"/>
                  <w:tcBorders>
                    <w:top w:val="single" w:color="auto" w:sz="12" w:space="0"/>
                  </w:tcBorders>
                  <w:vAlign w:val="center"/>
                </w:tcPr>
                <w:p w14:paraId="3982A49A">
                  <w:pPr>
                    <w:widowControl/>
                    <w:adjustRightInd w:val="0"/>
                    <w:snapToGrid w:val="0"/>
                    <w:jc w:val="center"/>
                    <w:rPr>
                      <w:b/>
                      <w:bCs/>
                      <w:color w:val="auto"/>
                      <w:kern w:val="0"/>
                      <w:szCs w:val="21"/>
                    </w:rPr>
                  </w:pPr>
                  <w:r>
                    <w:rPr>
                      <w:rFonts w:hint="eastAsia"/>
                      <w:b/>
                      <w:bCs/>
                      <w:color w:val="auto"/>
                      <w:kern w:val="0"/>
                      <w:szCs w:val="21"/>
                    </w:rPr>
                    <w:t>序号</w:t>
                  </w:r>
                </w:p>
              </w:tc>
              <w:tc>
                <w:tcPr>
                  <w:tcW w:w="1642" w:type="pct"/>
                  <w:tcBorders>
                    <w:top w:val="single" w:color="auto" w:sz="12" w:space="0"/>
                  </w:tcBorders>
                  <w:vAlign w:val="center"/>
                </w:tcPr>
                <w:p w14:paraId="26DF02BA">
                  <w:pPr>
                    <w:widowControl/>
                    <w:adjustRightInd w:val="0"/>
                    <w:snapToGrid w:val="0"/>
                    <w:jc w:val="center"/>
                    <w:rPr>
                      <w:b/>
                      <w:bCs/>
                      <w:color w:val="auto"/>
                      <w:kern w:val="0"/>
                      <w:szCs w:val="21"/>
                    </w:rPr>
                  </w:pPr>
                  <w:r>
                    <w:rPr>
                      <w:rFonts w:hint="eastAsia"/>
                      <w:b/>
                      <w:bCs/>
                      <w:color w:val="auto"/>
                      <w:kern w:val="0"/>
                      <w:szCs w:val="21"/>
                    </w:rPr>
                    <w:t>设备名称</w:t>
                  </w:r>
                </w:p>
              </w:tc>
              <w:tc>
                <w:tcPr>
                  <w:tcW w:w="1289" w:type="pct"/>
                  <w:tcBorders>
                    <w:top w:val="single" w:color="auto" w:sz="12" w:space="0"/>
                  </w:tcBorders>
                  <w:vAlign w:val="center"/>
                </w:tcPr>
                <w:p w14:paraId="20938883">
                  <w:pPr>
                    <w:widowControl/>
                    <w:adjustRightInd w:val="0"/>
                    <w:snapToGrid w:val="0"/>
                    <w:jc w:val="center"/>
                    <w:rPr>
                      <w:b/>
                      <w:bCs/>
                      <w:color w:val="auto"/>
                      <w:kern w:val="0"/>
                      <w:szCs w:val="21"/>
                    </w:rPr>
                  </w:pPr>
                  <w:r>
                    <w:rPr>
                      <w:rFonts w:hint="eastAsia"/>
                      <w:b/>
                      <w:bCs/>
                      <w:color w:val="auto"/>
                      <w:kern w:val="0"/>
                      <w:szCs w:val="21"/>
                    </w:rPr>
                    <w:t>型号</w:t>
                  </w:r>
                </w:p>
              </w:tc>
              <w:tc>
                <w:tcPr>
                  <w:tcW w:w="859" w:type="pct"/>
                  <w:tcBorders>
                    <w:top w:val="single" w:color="auto" w:sz="12" w:space="0"/>
                  </w:tcBorders>
                  <w:vAlign w:val="center"/>
                </w:tcPr>
                <w:p w14:paraId="169D8977">
                  <w:pPr>
                    <w:widowControl/>
                    <w:adjustRightInd w:val="0"/>
                    <w:snapToGrid w:val="0"/>
                    <w:jc w:val="center"/>
                    <w:rPr>
                      <w:b/>
                      <w:bCs/>
                      <w:color w:val="auto"/>
                      <w:kern w:val="0"/>
                      <w:szCs w:val="21"/>
                    </w:rPr>
                  </w:pPr>
                  <w:r>
                    <w:rPr>
                      <w:rFonts w:hint="eastAsia"/>
                      <w:b/>
                      <w:bCs/>
                      <w:color w:val="auto"/>
                      <w:kern w:val="0"/>
                      <w:szCs w:val="21"/>
                    </w:rPr>
                    <w:t>单位</w:t>
                  </w:r>
                </w:p>
              </w:tc>
              <w:tc>
                <w:tcPr>
                  <w:tcW w:w="788" w:type="pct"/>
                  <w:tcBorders>
                    <w:top w:val="single" w:color="auto" w:sz="12" w:space="0"/>
                  </w:tcBorders>
                  <w:vAlign w:val="center"/>
                </w:tcPr>
                <w:p w14:paraId="2877B98E">
                  <w:pPr>
                    <w:widowControl/>
                    <w:adjustRightInd w:val="0"/>
                    <w:snapToGrid w:val="0"/>
                    <w:jc w:val="center"/>
                    <w:rPr>
                      <w:b/>
                      <w:bCs/>
                      <w:color w:val="auto"/>
                      <w:kern w:val="0"/>
                      <w:szCs w:val="21"/>
                    </w:rPr>
                  </w:pPr>
                  <w:r>
                    <w:rPr>
                      <w:rFonts w:hint="eastAsia"/>
                      <w:b/>
                      <w:bCs/>
                      <w:color w:val="auto"/>
                      <w:kern w:val="0"/>
                      <w:szCs w:val="21"/>
                    </w:rPr>
                    <w:t>数量</w:t>
                  </w:r>
                </w:p>
              </w:tc>
            </w:tr>
            <w:tr w14:paraId="30B0D3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419" w:type="pct"/>
                  <w:vAlign w:val="center"/>
                </w:tcPr>
                <w:p w14:paraId="13280D50">
                  <w:pPr>
                    <w:adjustRightInd w:val="0"/>
                    <w:snapToGrid w:val="0"/>
                    <w:jc w:val="center"/>
                    <w:rPr>
                      <w:rFonts w:cs="宋体"/>
                      <w:color w:val="auto"/>
                      <w:kern w:val="0"/>
                      <w:szCs w:val="21"/>
                    </w:rPr>
                  </w:pPr>
                  <w:r>
                    <w:rPr>
                      <w:color w:val="auto"/>
                      <w:szCs w:val="21"/>
                    </w:rPr>
                    <w:t>1</w:t>
                  </w:r>
                </w:p>
              </w:tc>
              <w:tc>
                <w:tcPr>
                  <w:tcW w:w="1642" w:type="pct"/>
                  <w:vAlign w:val="center"/>
                </w:tcPr>
                <w:p w14:paraId="110FF3F6">
                  <w:pPr>
                    <w:adjustRightInd w:val="0"/>
                    <w:snapToGrid w:val="0"/>
                    <w:jc w:val="center"/>
                    <w:rPr>
                      <w:rFonts w:cs="宋体"/>
                      <w:color w:val="auto"/>
                      <w:kern w:val="0"/>
                      <w:szCs w:val="21"/>
                    </w:rPr>
                  </w:pPr>
                  <w:r>
                    <w:rPr>
                      <w:rFonts w:hint="eastAsia" w:cs="宋体"/>
                      <w:color w:val="auto"/>
                      <w:kern w:val="0"/>
                      <w:szCs w:val="21"/>
                    </w:rPr>
                    <w:t>彩色多普勒</w:t>
                  </w:r>
                </w:p>
              </w:tc>
              <w:tc>
                <w:tcPr>
                  <w:tcW w:w="1289" w:type="pct"/>
                  <w:vAlign w:val="center"/>
                </w:tcPr>
                <w:p w14:paraId="60A2EBE6">
                  <w:pPr>
                    <w:adjustRightInd w:val="0"/>
                    <w:snapToGrid w:val="0"/>
                    <w:jc w:val="center"/>
                    <w:rPr>
                      <w:rFonts w:cs="宋体"/>
                      <w:color w:val="auto"/>
                      <w:kern w:val="0"/>
                      <w:szCs w:val="21"/>
                    </w:rPr>
                  </w:pPr>
                  <w:r>
                    <w:rPr>
                      <w:rFonts w:hint="eastAsia" w:cs="宋体"/>
                      <w:color w:val="auto"/>
                      <w:kern w:val="0"/>
                      <w:szCs w:val="21"/>
                    </w:rPr>
                    <w:t>/</w:t>
                  </w:r>
                </w:p>
              </w:tc>
              <w:tc>
                <w:tcPr>
                  <w:tcW w:w="859" w:type="pct"/>
                  <w:vAlign w:val="center"/>
                </w:tcPr>
                <w:p w14:paraId="74D1BD27">
                  <w:pPr>
                    <w:adjustRightInd w:val="0"/>
                    <w:snapToGrid w:val="0"/>
                    <w:jc w:val="center"/>
                    <w:rPr>
                      <w:color w:val="auto"/>
                      <w:kern w:val="0"/>
                      <w:szCs w:val="21"/>
                    </w:rPr>
                  </w:pPr>
                  <w:r>
                    <w:rPr>
                      <w:rFonts w:hint="eastAsia"/>
                      <w:color w:val="auto"/>
                      <w:szCs w:val="21"/>
                    </w:rPr>
                    <w:t>台</w:t>
                  </w:r>
                </w:p>
              </w:tc>
              <w:tc>
                <w:tcPr>
                  <w:tcW w:w="788" w:type="pct"/>
                  <w:vAlign w:val="center"/>
                </w:tcPr>
                <w:p w14:paraId="001D32D6">
                  <w:pPr>
                    <w:adjustRightInd w:val="0"/>
                    <w:snapToGrid w:val="0"/>
                    <w:jc w:val="center"/>
                    <w:rPr>
                      <w:rFonts w:cs="宋体"/>
                      <w:color w:val="auto"/>
                      <w:kern w:val="0"/>
                      <w:szCs w:val="21"/>
                    </w:rPr>
                  </w:pPr>
                  <w:r>
                    <w:rPr>
                      <w:rFonts w:cs="宋体"/>
                      <w:color w:val="auto"/>
                      <w:kern w:val="0"/>
                      <w:szCs w:val="21"/>
                    </w:rPr>
                    <w:t>1</w:t>
                  </w:r>
                </w:p>
              </w:tc>
            </w:tr>
            <w:tr w14:paraId="7803DF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599089CD">
                  <w:pPr>
                    <w:adjustRightInd w:val="0"/>
                    <w:snapToGrid w:val="0"/>
                    <w:jc w:val="center"/>
                    <w:rPr>
                      <w:rFonts w:cs="宋体"/>
                      <w:color w:val="auto"/>
                      <w:kern w:val="0"/>
                      <w:szCs w:val="21"/>
                    </w:rPr>
                  </w:pPr>
                  <w:r>
                    <w:rPr>
                      <w:color w:val="auto"/>
                      <w:szCs w:val="21"/>
                    </w:rPr>
                    <w:t>2</w:t>
                  </w:r>
                </w:p>
              </w:tc>
              <w:tc>
                <w:tcPr>
                  <w:tcW w:w="1642" w:type="pct"/>
                  <w:vAlign w:val="center"/>
                </w:tcPr>
                <w:p w14:paraId="12A93578">
                  <w:pPr>
                    <w:adjustRightInd w:val="0"/>
                    <w:snapToGrid w:val="0"/>
                    <w:jc w:val="center"/>
                    <w:rPr>
                      <w:rFonts w:cs="宋体"/>
                      <w:color w:val="auto"/>
                      <w:kern w:val="0"/>
                      <w:szCs w:val="21"/>
                    </w:rPr>
                  </w:pPr>
                  <w:r>
                    <w:rPr>
                      <w:rFonts w:hint="eastAsia"/>
                      <w:color w:val="auto"/>
                      <w:szCs w:val="21"/>
                    </w:rPr>
                    <w:t>多导心电图机</w:t>
                  </w:r>
                </w:p>
              </w:tc>
              <w:tc>
                <w:tcPr>
                  <w:tcW w:w="1289" w:type="pct"/>
                  <w:vAlign w:val="center"/>
                </w:tcPr>
                <w:p w14:paraId="79AF409E">
                  <w:pPr>
                    <w:adjustRightInd w:val="0"/>
                    <w:snapToGrid w:val="0"/>
                    <w:jc w:val="center"/>
                    <w:rPr>
                      <w:rFonts w:cs="宋体"/>
                      <w:color w:val="auto"/>
                      <w:kern w:val="0"/>
                      <w:szCs w:val="21"/>
                    </w:rPr>
                  </w:pPr>
                  <w:r>
                    <w:rPr>
                      <w:rFonts w:hint="eastAsia" w:cs="宋体"/>
                      <w:color w:val="auto"/>
                      <w:kern w:val="0"/>
                      <w:szCs w:val="21"/>
                    </w:rPr>
                    <w:t>/</w:t>
                  </w:r>
                </w:p>
              </w:tc>
              <w:tc>
                <w:tcPr>
                  <w:tcW w:w="859" w:type="pct"/>
                  <w:vAlign w:val="center"/>
                </w:tcPr>
                <w:p w14:paraId="56ABCF31">
                  <w:pPr>
                    <w:adjustRightInd w:val="0"/>
                    <w:snapToGrid w:val="0"/>
                    <w:jc w:val="center"/>
                    <w:rPr>
                      <w:color w:val="auto"/>
                      <w:kern w:val="0"/>
                      <w:szCs w:val="21"/>
                    </w:rPr>
                  </w:pPr>
                  <w:r>
                    <w:rPr>
                      <w:rFonts w:hint="eastAsia"/>
                      <w:color w:val="auto"/>
                      <w:szCs w:val="21"/>
                    </w:rPr>
                    <w:t>台</w:t>
                  </w:r>
                </w:p>
              </w:tc>
              <w:tc>
                <w:tcPr>
                  <w:tcW w:w="788" w:type="pct"/>
                  <w:vAlign w:val="center"/>
                </w:tcPr>
                <w:p w14:paraId="07B82D05">
                  <w:pPr>
                    <w:adjustRightInd w:val="0"/>
                    <w:snapToGrid w:val="0"/>
                    <w:jc w:val="center"/>
                    <w:rPr>
                      <w:rFonts w:cs="宋体"/>
                      <w:color w:val="auto"/>
                      <w:kern w:val="0"/>
                      <w:szCs w:val="21"/>
                    </w:rPr>
                  </w:pPr>
                  <w:r>
                    <w:rPr>
                      <w:rFonts w:cs="宋体"/>
                      <w:color w:val="auto"/>
                      <w:kern w:val="0"/>
                      <w:szCs w:val="21"/>
                    </w:rPr>
                    <w:t>1</w:t>
                  </w:r>
                </w:p>
              </w:tc>
            </w:tr>
            <w:tr w14:paraId="228CB4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19" w:type="pct"/>
                  <w:vAlign w:val="center"/>
                </w:tcPr>
                <w:p w14:paraId="3151C819">
                  <w:pPr>
                    <w:adjustRightInd w:val="0"/>
                    <w:snapToGrid w:val="0"/>
                    <w:jc w:val="center"/>
                    <w:rPr>
                      <w:rFonts w:cs="宋体"/>
                      <w:color w:val="auto"/>
                      <w:kern w:val="0"/>
                      <w:szCs w:val="21"/>
                    </w:rPr>
                  </w:pPr>
                  <w:r>
                    <w:rPr>
                      <w:color w:val="auto"/>
                      <w:szCs w:val="21"/>
                    </w:rPr>
                    <w:t>3</w:t>
                  </w:r>
                </w:p>
              </w:tc>
              <w:tc>
                <w:tcPr>
                  <w:tcW w:w="1642" w:type="pct"/>
                  <w:vAlign w:val="center"/>
                </w:tcPr>
                <w:p w14:paraId="34CF7860">
                  <w:pPr>
                    <w:adjustRightInd w:val="0"/>
                    <w:snapToGrid w:val="0"/>
                    <w:jc w:val="center"/>
                    <w:rPr>
                      <w:rFonts w:cs="宋体"/>
                      <w:color w:val="auto"/>
                      <w:kern w:val="0"/>
                      <w:szCs w:val="21"/>
                    </w:rPr>
                  </w:pPr>
                  <w:r>
                    <w:rPr>
                      <w:rFonts w:hint="eastAsia"/>
                      <w:color w:val="auto"/>
                      <w:szCs w:val="21"/>
                    </w:rPr>
                    <w:t>尿液分析仪</w:t>
                  </w:r>
                </w:p>
              </w:tc>
              <w:tc>
                <w:tcPr>
                  <w:tcW w:w="1289" w:type="pct"/>
                  <w:vAlign w:val="center"/>
                </w:tcPr>
                <w:p w14:paraId="445FB630">
                  <w:pPr>
                    <w:adjustRightInd w:val="0"/>
                    <w:snapToGrid w:val="0"/>
                    <w:jc w:val="center"/>
                    <w:rPr>
                      <w:rFonts w:cs="宋体"/>
                      <w:color w:val="auto"/>
                      <w:kern w:val="0"/>
                      <w:szCs w:val="21"/>
                    </w:rPr>
                  </w:pPr>
                  <w:r>
                    <w:rPr>
                      <w:rFonts w:hint="eastAsia" w:cs="宋体"/>
                      <w:color w:val="auto"/>
                      <w:kern w:val="0"/>
                      <w:szCs w:val="21"/>
                    </w:rPr>
                    <w:t>U-120</w:t>
                  </w:r>
                </w:p>
              </w:tc>
              <w:tc>
                <w:tcPr>
                  <w:tcW w:w="859" w:type="pct"/>
                  <w:vAlign w:val="center"/>
                </w:tcPr>
                <w:p w14:paraId="26C8250B">
                  <w:pPr>
                    <w:adjustRightInd w:val="0"/>
                    <w:snapToGrid w:val="0"/>
                    <w:jc w:val="center"/>
                    <w:rPr>
                      <w:color w:val="auto"/>
                      <w:kern w:val="0"/>
                      <w:szCs w:val="21"/>
                    </w:rPr>
                  </w:pPr>
                  <w:r>
                    <w:rPr>
                      <w:rFonts w:hint="eastAsia"/>
                      <w:color w:val="auto"/>
                      <w:szCs w:val="21"/>
                    </w:rPr>
                    <w:t>台</w:t>
                  </w:r>
                </w:p>
              </w:tc>
              <w:tc>
                <w:tcPr>
                  <w:tcW w:w="788" w:type="pct"/>
                  <w:vAlign w:val="center"/>
                </w:tcPr>
                <w:p w14:paraId="7319ACF4">
                  <w:pPr>
                    <w:adjustRightInd w:val="0"/>
                    <w:snapToGrid w:val="0"/>
                    <w:jc w:val="center"/>
                    <w:rPr>
                      <w:rFonts w:cs="宋体"/>
                      <w:color w:val="auto"/>
                      <w:kern w:val="0"/>
                      <w:szCs w:val="21"/>
                    </w:rPr>
                  </w:pPr>
                  <w:r>
                    <w:rPr>
                      <w:rFonts w:cs="宋体"/>
                      <w:color w:val="auto"/>
                      <w:kern w:val="0"/>
                      <w:szCs w:val="21"/>
                    </w:rPr>
                    <w:t>1</w:t>
                  </w:r>
                </w:p>
              </w:tc>
            </w:tr>
            <w:tr w14:paraId="750459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19" w:type="pct"/>
                  <w:vAlign w:val="center"/>
                </w:tcPr>
                <w:p w14:paraId="374C35E8">
                  <w:pPr>
                    <w:adjustRightInd w:val="0"/>
                    <w:snapToGrid w:val="0"/>
                    <w:jc w:val="center"/>
                    <w:rPr>
                      <w:rFonts w:cs="宋体"/>
                      <w:color w:val="auto"/>
                      <w:kern w:val="0"/>
                      <w:szCs w:val="21"/>
                    </w:rPr>
                  </w:pPr>
                  <w:r>
                    <w:rPr>
                      <w:color w:val="auto"/>
                      <w:szCs w:val="21"/>
                    </w:rPr>
                    <w:t>4</w:t>
                  </w:r>
                </w:p>
              </w:tc>
              <w:tc>
                <w:tcPr>
                  <w:tcW w:w="1642" w:type="pct"/>
                  <w:vAlign w:val="center"/>
                </w:tcPr>
                <w:p w14:paraId="233D6AD8">
                  <w:pPr>
                    <w:adjustRightInd w:val="0"/>
                    <w:snapToGrid w:val="0"/>
                    <w:jc w:val="center"/>
                    <w:rPr>
                      <w:rFonts w:cs="宋体"/>
                      <w:color w:val="auto"/>
                      <w:kern w:val="0"/>
                      <w:szCs w:val="21"/>
                    </w:rPr>
                  </w:pPr>
                  <w:r>
                    <w:rPr>
                      <w:rFonts w:hint="eastAsia"/>
                      <w:color w:val="auto"/>
                      <w:szCs w:val="21"/>
                    </w:rPr>
                    <w:t>全自动生化分析仪</w:t>
                  </w:r>
                </w:p>
              </w:tc>
              <w:tc>
                <w:tcPr>
                  <w:tcW w:w="1289" w:type="pct"/>
                  <w:vAlign w:val="center"/>
                </w:tcPr>
                <w:p w14:paraId="67E33EA3">
                  <w:pPr>
                    <w:adjustRightInd w:val="0"/>
                    <w:snapToGrid w:val="0"/>
                    <w:jc w:val="center"/>
                    <w:rPr>
                      <w:rFonts w:cs="宋体"/>
                      <w:color w:val="auto"/>
                      <w:kern w:val="0"/>
                      <w:szCs w:val="21"/>
                    </w:rPr>
                  </w:pPr>
                  <w:r>
                    <w:rPr>
                      <w:rFonts w:hint="eastAsia" w:cs="宋体"/>
                      <w:color w:val="auto"/>
                      <w:kern w:val="0"/>
                      <w:szCs w:val="21"/>
                    </w:rPr>
                    <w:t>迈瑞</w:t>
                  </w:r>
                  <w:r>
                    <w:rPr>
                      <w:rFonts w:cs="宋体"/>
                      <w:color w:val="auto"/>
                      <w:kern w:val="0"/>
                      <w:szCs w:val="21"/>
                    </w:rPr>
                    <w:t>BS-360S</w:t>
                  </w:r>
                </w:p>
              </w:tc>
              <w:tc>
                <w:tcPr>
                  <w:tcW w:w="859" w:type="pct"/>
                  <w:vAlign w:val="center"/>
                </w:tcPr>
                <w:p w14:paraId="01B4C0E1">
                  <w:pPr>
                    <w:adjustRightInd w:val="0"/>
                    <w:snapToGrid w:val="0"/>
                    <w:jc w:val="center"/>
                    <w:rPr>
                      <w:color w:val="auto"/>
                      <w:kern w:val="0"/>
                      <w:szCs w:val="21"/>
                    </w:rPr>
                  </w:pPr>
                  <w:r>
                    <w:rPr>
                      <w:rFonts w:hint="eastAsia"/>
                      <w:color w:val="auto"/>
                      <w:szCs w:val="21"/>
                    </w:rPr>
                    <w:t>台</w:t>
                  </w:r>
                </w:p>
              </w:tc>
              <w:tc>
                <w:tcPr>
                  <w:tcW w:w="788" w:type="pct"/>
                  <w:vAlign w:val="center"/>
                </w:tcPr>
                <w:p w14:paraId="6ED3A6A2">
                  <w:pPr>
                    <w:adjustRightInd w:val="0"/>
                    <w:snapToGrid w:val="0"/>
                    <w:jc w:val="center"/>
                    <w:rPr>
                      <w:rFonts w:cs="宋体"/>
                      <w:color w:val="auto"/>
                      <w:kern w:val="0"/>
                      <w:szCs w:val="21"/>
                    </w:rPr>
                  </w:pPr>
                  <w:r>
                    <w:rPr>
                      <w:rFonts w:cs="宋体"/>
                      <w:color w:val="auto"/>
                      <w:kern w:val="0"/>
                      <w:szCs w:val="21"/>
                    </w:rPr>
                    <w:t>1</w:t>
                  </w:r>
                </w:p>
              </w:tc>
            </w:tr>
            <w:tr w14:paraId="62CF26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419" w:type="pct"/>
                  <w:vAlign w:val="center"/>
                </w:tcPr>
                <w:p w14:paraId="06046CD8">
                  <w:pPr>
                    <w:adjustRightInd w:val="0"/>
                    <w:snapToGrid w:val="0"/>
                    <w:jc w:val="center"/>
                    <w:rPr>
                      <w:rFonts w:cs="宋体"/>
                      <w:color w:val="auto"/>
                      <w:kern w:val="0"/>
                      <w:szCs w:val="21"/>
                    </w:rPr>
                  </w:pPr>
                  <w:r>
                    <w:rPr>
                      <w:color w:val="auto"/>
                      <w:szCs w:val="21"/>
                    </w:rPr>
                    <w:t>5</w:t>
                  </w:r>
                </w:p>
              </w:tc>
              <w:tc>
                <w:tcPr>
                  <w:tcW w:w="1642" w:type="pct"/>
                  <w:vAlign w:val="center"/>
                </w:tcPr>
                <w:p w14:paraId="5EA6C78F">
                  <w:pPr>
                    <w:adjustRightInd w:val="0"/>
                    <w:snapToGrid w:val="0"/>
                    <w:jc w:val="center"/>
                    <w:rPr>
                      <w:rFonts w:cs="宋体"/>
                      <w:color w:val="auto"/>
                      <w:kern w:val="0"/>
                      <w:szCs w:val="21"/>
                    </w:rPr>
                  </w:pPr>
                  <w:r>
                    <w:rPr>
                      <w:rFonts w:hint="eastAsia"/>
                      <w:color w:val="auto"/>
                      <w:szCs w:val="21"/>
                    </w:rPr>
                    <w:t>全自动血细胞分析仪</w:t>
                  </w:r>
                </w:p>
              </w:tc>
              <w:tc>
                <w:tcPr>
                  <w:tcW w:w="1289" w:type="pct"/>
                  <w:vAlign w:val="center"/>
                </w:tcPr>
                <w:p w14:paraId="27F195E4">
                  <w:pPr>
                    <w:adjustRightInd w:val="0"/>
                    <w:snapToGrid w:val="0"/>
                    <w:jc w:val="center"/>
                    <w:rPr>
                      <w:rFonts w:cs="宋体"/>
                      <w:color w:val="auto"/>
                      <w:kern w:val="0"/>
                      <w:szCs w:val="21"/>
                    </w:rPr>
                  </w:pPr>
                  <w:r>
                    <w:rPr>
                      <w:rFonts w:hint="eastAsia" w:cs="宋体"/>
                      <w:color w:val="auto"/>
                      <w:kern w:val="0"/>
                      <w:szCs w:val="21"/>
                    </w:rPr>
                    <w:t>BC-5123</w:t>
                  </w:r>
                </w:p>
              </w:tc>
              <w:tc>
                <w:tcPr>
                  <w:tcW w:w="859" w:type="pct"/>
                  <w:vAlign w:val="center"/>
                </w:tcPr>
                <w:p w14:paraId="4E533524">
                  <w:pPr>
                    <w:adjustRightInd w:val="0"/>
                    <w:snapToGrid w:val="0"/>
                    <w:jc w:val="center"/>
                    <w:rPr>
                      <w:color w:val="auto"/>
                      <w:kern w:val="0"/>
                      <w:szCs w:val="21"/>
                    </w:rPr>
                  </w:pPr>
                  <w:r>
                    <w:rPr>
                      <w:rFonts w:hint="eastAsia"/>
                      <w:color w:val="auto"/>
                      <w:szCs w:val="21"/>
                    </w:rPr>
                    <w:t>台</w:t>
                  </w:r>
                </w:p>
              </w:tc>
              <w:tc>
                <w:tcPr>
                  <w:tcW w:w="788" w:type="pct"/>
                  <w:vAlign w:val="center"/>
                </w:tcPr>
                <w:p w14:paraId="5996BE57">
                  <w:pPr>
                    <w:adjustRightInd w:val="0"/>
                    <w:snapToGrid w:val="0"/>
                    <w:jc w:val="center"/>
                    <w:rPr>
                      <w:rFonts w:cs="宋体"/>
                      <w:color w:val="auto"/>
                      <w:kern w:val="0"/>
                      <w:szCs w:val="21"/>
                    </w:rPr>
                  </w:pPr>
                  <w:r>
                    <w:rPr>
                      <w:rFonts w:cs="宋体"/>
                      <w:color w:val="auto"/>
                      <w:kern w:val="0"/>
                      <w:szCs w:val="21"/>
                    </w:rPr>
                    <w:t>1</w:t>
                  </w:r>
                </w:p>
              </w:tc>
            </w:tr>
            <w:tr w14:paraId="05BC9E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72047CDB">
                  <w:pPr>
                    <w:adjustRightInd w:val="0"/>
                    <w:snapToGrid w:val="0"/>
                    <w:jc w:val="center"/>
                    <w:rPr>
                      <w:rFonts w:cs="宋体"/>
                      <w:color w:val="auto"/>
                      <w:kern w:val="0"/>
                      <w:szCs w:val="21"/>
                    </w:rPr>
                  </w:pPr>
                  <w:r>
                    <w:rPr>
                      <w:color w:val="auto"/>
                      <w:szCs w:val="21"/>
                    </w:rPr>
                    <w:t>8</w:t>
                  </w:r>
                </w:p>
              </w:tc>
              <w:tc>
                <w:tcPr>
                  <w:tcW w:w="1642" w:type="pct"/>
                  <w:vAlign w:val="center"/>
                </w:tcPr>
                <w:p w14:paraId="4EE5EA70">
                  <w:pPr>
                    <w:widowControl/>
                    <w:adjustRightInd w:val="0"/>
                    <w:snapToGrid w:val="0"/>
                    <w:jc w:val="center"/>
                    <w:textAlignment w:val="center"/>
                    <w:rPr>
                      <w:color w:val="auto"/>
                      <w:kern w:val="0"/>
                      <w:szCs w:val="21"/>
                    </w:rPr>
                  </w:pPr>
                  <w:r>
                    <w:rPr>
                      <w:rFonts w:hint="eastAsia" w:cs="宋体"/>
                      <w:color w:val="auto"/>
                      <w:kern w:val="0"/>
                      <w:szCs w:val="21"/>
                    </w:rPr>
                    <w:t>医用离心机</w:t>
                  </w:r>
                </w:p>
              </w:tc>
              <w:tc>
                <w:tcPr>
                  <w:tcW w:w="1289" w:type="pct"/>
                  <w:vAlign w:val="center"/>
                </w:tcPr>
                <w:p w14:paraId="0C7ADE42">
                  <w:pPr>
                    <w:adjustRightInd w:val="0"/>
                    <w:snapToGrid w:val="0"/>
                    <w:jc w:val="center"/>
                    <w:rPr>
                      <w:rFonts w:cs="宋体"/>
                      <w:color w:val="auto"/>
                      <w:kern w:val="0"/>
                      <w:szCs w:val="21"/>
                    </w:rPr>
                  </w:pPr>
                  <w:r>
                    <w:rPr>
                      <w:rFonts w:cs="宋体"/>
                      <w:color w:val="auto"/>
                      <w:kern w:val="0"/>
                      <w:szCs w:val="21"/>
                    </w:rPr>
                    <w:t>80-2</w:t>
                  </w:r>
                </w:p>
              </w:tc>
              <w:tc>
                <w:tcPr>
                  <w:tcW w:w="859" w:type="pct"/>
                  <w:vAlign w:val="center"/>
                </w:tcPr>
                <w:p w14:paraId="54C06C8C">
                  <w:pPr>
                    <w:adjustRightInd w:val="0"/>
                    <w:snapToGrid w:val="0"/>
                    <w:jc w:val="center"/>
                    <w:rPr>
                      <w:color w:val="auto"/>
                      <w:kern w:val="0"/>
                      <w:szCs w:val="21"/>
                    </w:rPr>
                  </w:pPr>
                  <w:r>
                    <w:rPr>
                      <w:rFonts w:hint="eastAsia"/>
                      <w:color w:val="auto"/>
                      <w:szCs w:val="21"/>
                    </w:rPr>
                    <w:t>台</w:t>
                  </w:r>
                </w:p>
              </w:tc>
              <w:tc>
                <w:tcPr>
                  <w:tcW w:w="788" w:type="pct"/>
                  <w:vAlign w:val="center"/>
                </w:tcPr>
                <w:p w14:paraId="79E25D3A">
                  <w:pPr>
                    <w:adjustRightInd w:val="0"/>
                    <w:snapToGrid w:val="0"/>
                    <w:jc w:val="center"/>
                    <w:rPr>
                      <w:rFonts w:cs="宋体"/>
                      <w:color w:val="auto"/>
                      <w:kern w:val="0"/>
                      <w:szCs w:val="21"/>
                    </w:rPr>
                  </w:pPr>
                  <w:r>
                    <w:rPr>
                      <w:rFonts w:cs="宋体"/>
                      <w:color w:val="auto"/>
                      <w:kern w:val="0"/>
                      <w:szCs w:val="21"/>
                    </w:rPr>
                    <w:t>1</w:t>
                  </w:r>
                </w:p>
              </w:tc>
            </w:tr>
            <w:tr w14:paraId="182CBB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27560DE0">
                  <w:pPr>
                    <w:adjustRightInd w:val="0"/>
                    <w:snapToGrid w:val="0"/>
                    <w:jc w:val="center"/>
                    <w:rPr>
                      <w:rFonts w:cs="宋体"/>
                      <w:color w:val="auto"/>
                      <w:kern w:val="0"/>
                      <w:szCs w:val="21"/>
                    </w:rPr>
                  </w:pPr>
                  <w:r>
                    <w:rPr>
                      <w:color w:val="auto"/>
                      <w:szCs w:val="21"/>
                    </w:rPr>
                    <w:t>9</w:t>
                  </w:r>
                </w:p>
              </w:tc>
              <w:tc>
                <w:tcPr>
                  <w:tcW w:w="1642" w:type="pct"/>
                  <w:vAlign w:val="center"/>
                </w:tcPr>
                <w:p w14:paraId="21CFF551">
                  <w:pPr>
                    <w:widowControl/>
                    <w:adjustRightInd w:val="0"/>
                    <w:snapToGrid w:val="0"/>
                    <w:jc w:val="center"/>
                    <w:textAlignment w:val="center"/>
                    <w:rPr>
                      <w:color w:val="auto"/>
                      <w:kern w:val="0"/>
                      <w:szCs w:val="21"/>
                    </w:rPr>
                  </w:pPr>
                  <w:r>
                    <w:rPr>
                      <w:rFonts w:hint="eastAsia" w:cs="宋体"/>
                      <w:color w:val="auto"/>
                      <w:kern w:val="0"/>
                      <w:szCs w:val="21"/>
                    </w:rPr>
                    <w:t>电热恒温水浴箱</w:t>
                  </w:r>
                </w:p>
              </w:tc>
              <w:tc>
                <w:tcPr>
                  <w:tcW w:w="1289" w:type="pct"/>
                  <w:vAlign w:val="center"/>
                </w:tcPr>
                <w:p w14:paraId="227C105E">
                  <w:pPr>
                    <w:adjustRightInd w:val="0"/>
                    <w:snapToGrid w:val="0"/>
                    <w:jc w:val="center"/>
                    <w:rPr>
                      <w:rFonts w:cs="宋体"/>
                      <w:color w:val="auto"/>
                      <w:kern w:val="0"/>
                      <w:szCs w:val="21"/>
                    </w:rPr>
                  </w:pPr>
                  <w:r>
                    <w:rPr>
                      <w:rFonts w:hint="eastAsia" w:cs="宋体"/>
                      <w:color w:val="auto"/>
                      <w:kern w:val="0"/>
                      <w:szCs w:val="21"/>
                    </w:rPr>
                    <w:t>HH-W420</w:t>
                  </w:r>
                </w:p>
              </w:tc>
              <w:tc>
                <w:tcPr>
                  <w:tcW w:w="859" w:type="pct"/>
                  <w:vAlign w:val="center"/>
                </w:tcPr>
                <w:p w14:paraId="5A37AC4E">
                  <w:pPr>
                    <w:adjustRightInd w:val="0"/>
                    <w:snapToGrid w:val="0"/>
                    <w:jc w:val="center"/>
                    <w:rPr>
                      <w:color w:val="auto"/>
                      <w:kern w:val="0"/>
                      <w:szCs w:val="21"/>
                    </w:rPr>
                  </w:pPr>
                  <w:r>
                    <w:rPr>
                      <w:rFonts w:hint="eastAsia"/>
                      <w:color w:val="auto"/>
                      <w:szCs w:val="21"/>
                    </w:rPr>
                    <w:t>台</w:t>
                  </w:r>
                </w:p>
              </w:tc>
              <w:tc>
                <w:tcPr>
                  <w:tcW w:w="788" w:type="pct"/>
                  <w:vAlign w:val="center"/>
                </w:tcPr>
                <w:p w14:paraId="57CF6420">
                  <w:pPr>
                    <w:adjustRightInd w:val="0"/>
                    <w:snapToGrid w:val="0"/>
                    <w:jc w:val="center"/>
                    <w:rPr>
                      <w:rFonts w:cs="宋体"/>
                      <w:color w:val="auto"/>
                      <w:kern w:val="0"/>
                      <w:szCs w:val="21"/>
                    </w:rPr>
                  </w:pPr>
                  <w:r>
                    <w:rPr>
                      <w:rFonts w:cs="宋体"/>
                      <w:color w:val="auto"/>
                      <w:kern w:val="0"/>
                      <w:szCs w:val="21"/>
                    </w:rPr>
                    <w:t>1</w:t>
                  </w:r>
                </w:p>
              </w:tc>
            </w:tr>
            <w:tr w14:paraId="587660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2FB8D31C">
                  <w:pPr>
                    <w:widowControl/>
                    <w:adjustRightInd w:val="0"/>
                    <w:snapToGrid w:val="0"/>
                    <w:jc w:val="center"/>
                    <w:textAlignment w:val="center"/>
                    <w:rPr>
                      <w:color w:val="auto"/>
                      <w:kern w:val="0"/>
                      <w:szCs w:val="21"/>
                    </w:rPr>
                  </w:pPr>
                  <w:r>
                    <w:rPr>
                      <w:rFonts w:hint="eastAsia"/>
                      <w:color w:val="auto"/>
                      <w:kern w:val="0"/>
                      <w:szCs w:val="21"/>
                    </w:rPr>
                    <w:t>10</w:t>
                  </w:r>
                </w:p>
              </w:tc>
              <w:tc>
                <w:tcPr>
                  <w:tcW w:w="1642" w:type="pct"/>
                  <w:vAlign w:val="center"/>
                </w:tcPr>
                <w:p w14:paraId="25860ACC">
                  <w:pPr>
                    <w:widowControl/>
                    <w:adjustRightInd w:val="0"/>
                    <w:snapToGrid w:val="0"/>
                    <w:jc w:val="center"/>
                    <w:textAlignment w:val="center"/>
                    <w:rPr>
                      <w:color w:val="auto"/>
                      <w:kern w:val="0"/>
                      <w:szCs w:val="21"/>
                    </w:rPr>
                  </w:pPr>
                  <w:r>
                    <w:rPr>
                      <w:rFonts w:hint="eastAsia"/>
                      <w:color w:val="auto"/>
                      <w:kern w:val="0"/>
                      <w:szCs w:val="21"/>
                    </w:rPr>
                    <w:t>中医艾灸床</w:t>
                  </w:r>
                </w:p>
              </w:tc>
              <w:tc>
                <w:tcPr>
                  <w:tcW w:w="1289" w:type="pct"/>
                  <w:vAlign w:val="center"/>
                </w:tcPr>
                <w:p w14:paraId="410C83B3">
                  <w:pPr>
                    <w:widowControl/>
                    <w:adjustRightInd w:val="0"/>
                    <w:snapToGrid w:val="0"/>
                    <w:jc w:val="center"/>
                    <w:textAlignment w:val="center"/>
                    <w:rPr>
                      <w:color w:val="auto"/>
                      <w:kern w:val="0"/>
                      <w:szCs w:val="21"/>
                    </w:rPr>
                  </w:pPr>
                  <w:r>
                    <w:rPr>
                      <w:rFonts w:hint="eastAsia"/>
                      <w:color w:val="auto"/>
                      <w:kern w:val="0"/>
                      <w:szCs w:val="21"/>
                    </w:rPr>
                    <w:t>/</w:t>
                  </w:r>
                </w:p>
              </w:tc>
              <w:tc>
                <w:tcPr>
                  <w:tcW w:w="859" w:type="pct"/>
                  <w:vAlign w:val="center"/>
                </w:tcPr>
                <w:p w14:paraId="7AEA6FE7">
                  <w:pPr>
                    <w:widowControl/>
                    <w:adjustRightInd w:val="0"/>
                    <w:snapToGrid w:val="0"/>
                    <w:jc w:val="center"/>
                    <w:textAlignment w:val="center"/>
                    <w:rPr>
                      <w:color w:val="auto"/>
                      <w:kern w:val="0"/>
                      <w:szCs w:val="21"/>
                    </w:rPr>
                  </w:pPr>
                  <w:r>
                    <w:rPr>
                      <w:rFonts w:hint="eastAsia"/>
                      <w:color w:val="auto"/>
                      <w:kern w:val="0"/>
                      <w:szCs w:val="21"/>
                    </w:rPr>
                    <w:t>台</w:t>
                  </w:r>
                </w:p>
              </w:tc>
              <w:tc>
                <w:tcPr>
                  <w:tcW w:w="788" w:type="pct"/>
                  <w:vAlign w:val="center"/>
                </w:tcPr>
                <w:p w14:paraId="41486693">
                  <w:pPr>
                    <w:widowControl/>
                    <w:adjustRightInd w:val="0"/>
                    <w:snapToGrid w:val="0"/>
                    <w:jc w:val="center"/>
                    <w:textAlignment w:val="center"/>
                    <w:rPr>
                      <w:color w:val="auto"/>
                      <w:kern w:val="0"/>
                      <w:szCs w:val="21"/>
                    </w:rPr>
                  </w:pPr>
                  <w:r>
                    <w:rPr>
                      <w:color w:val="auto"/>
                      <w:kern w:val="0"/>
                      <w:szCs w:val="21"/>
                    </w:rPr>
                    <w:t>1</w:t>
                  </w:r>
                </w:p>
              </w:tc>
            </w:tr>
            <w:tr w14:paraId="0636B2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7E573893">
                  <w:pPr>
                    <w:widowControl/>
                    <w:adjustRightInd w:val="0"/>
                    <w:snapToGrid w:val="0"/>
                    <w:jc w:val="center"/>
                    <w:textAlignment w:val="center"/>
                    <w:rPr>
                      <w:color w:val="auto"/>
                      <w:kern w:val="0"/>
                      <w:szCs w:val="21"/>
                    </w:rPr>
                  </w:pPr>
                  <w:r>
                    <w:rPr>
                      <w:rFonts w:hint="eastAsia"/>
                      <w:color w:val="auto"/>
                      <w:kern w:val="0"/>
                      <w:szCs w:val="21"/>
                    </w:rPr>
                    <w:t>11</w:t>
                  </w:r>
                </w:p>
              </w:tc>
              <w:tc>
                <w:tcPr>
                  <w:tcW w:w="1642" w:type="pct"/>
                  <w:vAlign w:val="center"/>
                </w:tcPr>
                <w:p w14:paraId="2C480FEF">
                  <w:pPr>
                    <w:widowControl/>
                    <w:adjustRightInd w:val="0"/>
                    <w:snapToGrid w:val="0"/>
                    <w:jc w:val="center"/>
                    <w:textAlignment w:val="center"/>
                    <w:rPr>
                      <w:color w:val="auto"/>
                      <w:kern w:val="0"/>
                      <w:szCs w:val="21"/>
                    </w:rPr>
                  </w:pPr>
                  <w:r>
                    <w:rPr>
                      <w:rFonts w:hint="eastAsia"/>
                      <w:color w:val="auto"/>
                      <w:kern w:val="0"/>
                      <w:szCs w:val="21"/>
                    </w:rPr>
                    <w:t>中医电针治疗仪</w:t>
                  </w:r>
                </w:p>
              </w:tc>
              <w:tc>
                <w:tcPr>
                  <w:tcW w:w="1289" w:type="pct"/>
                  <w:vAlign w:val="center"/>
                </w:tcPr>
                <w:p w14:paraId="34A47CE9">
                  <w:pPr>
                    <w:widowControl/>
                    <w:adjustRightInd w:val="0"/>
                    <w:snapToGrid w:val="0"/>
                    <w:jc w:val="center"/>
                    <w:textAlignment w:val="center"/>
                    <w:rPr>
                      <w:color w:val="auto"/>
                      <w:kern w:val="0"/>
                      <w:szCs w:val="21"/>
                    </w:rPr>
                  </w:pPr>
                  <w:r>
                    <w:rPr>
                      <w:rFonts w:hint="eastAsia"/>
                      <w:color w:val="auto"/>
                      <w:kern w:val="0"/>
                      <w:szCs w:val="21"/>
                    </w:rPr>
                    <w:t>SDZ-II</w:t>
                  </w:r>
                </w:p>
              </w:tc>
              <w:tc>
                <w:tcPr>
                  <w:tcW w:w="859" w:type="pct"/>
                  <w:vAlign w:val="center"/>
                </w:tcPr>
                <w:p w14:paraId="1EC471F9">
                  <w:pPr>
                    <w:widowControl/>
                    <w:adjustRightInd w:val="0"/>
                    <w:snapToGrid w:val="0"/>
                    <w:jc w:val="center"/>
                    <w:textAlignment w:val="center"/>
                    <w:rPr>
                      <w:color w:val="auto"/>
                      <w:kern w:val="0"/>
                      <w:szCs w:val="21"/>
                    </w:rPr>
                  </w:pPr>
                  <w:r>
                    <w:rPr>
                      <w:rFonts w:hint="eastAsia"/>
                      <w:color w:val="auto"/>
                      <w:kern w:val="0"/>
                      <w:szCs w:val="21"/>
                    </w:rPr>
                    <w:t>台</w:t>
                  </w:r>
                </w:p>
              </w:tc>
              <w:tc>
                <w:tcPr>
                  <w:tcW w:w="788" w:type="pct"/>
                  <w:vAlign w:val="center"/>
                </w:tcPr>
                <w:p w14:paraId="23DB0361">
                  <w:pPr>
                    <w:widowControl/>
                    <w:adjustRightInd w:val="0"/>
                    <w:snapToGrid w:val="0"/>
                    <w:jc w:val="center"/>
                    <w:textAlignment w:val="center"/>
                    <w:rPr>
                      <w:color w:val="auto"/>
                      <w:kern w:val="0"/>
                      <w:szCs w:val="21"/>
                    </w:rPr>
                  </w:pPr>
                  <w:r>
                    <w:rPr>
                      <w:rFonts w:hint="eastAsia"/>
                      <w:color w:val="auto"/>
                      <w:kern w:val="0"/>
                      <w:szCs w:val="21"/>
                    </w:rPr>
                    <w:t>3</w:t>
                  </w:r>
                </w:p>
              </w:tc>
            </w:tr>
            <w:tr w14:paraId="4BB8FE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4C0BB402">
                  <w:pPr>
                    <w:widowControl/>
                    <w:adjustRightInd w:val="0"/>
                    <w:snapToGrid w:val="0"/>
                    <w:jc w:val="center"/>
                    <w:textAlignment w:val="center"/>
                    <w:rPr>
                      <w:color w:val="auto"/>
                      <w:kern w:val="0"/>
                      <w:szCs w:val="21"/>
                    </w:rPr>
                  </w:pPr>
                  <w:r>
                    <w:rPr>
                      <w:rFonts w:hint="eastAsia"/>
                      <w:color w:val="auto"/>
                      <w:kern w:val="0"/>
                      <w:szCs w:val="21"/>
                    </w:rPr>
                    <w:t>12</w:t>
                  </w:r>
                </w:p>
              </w:tc>
              <w:tc>
                <w:tcPr>
                  <w:tcW w:w="1642" w:type="pct"/>
                  <w:vAlign w:val="center"/>
                </w:tcPr>
                <w:p w14:paraId="78F35047">
                  <w:pPr>
                    <w:widowControl/>
                    <w:adjustRightInd w:val="0"/>
                    <w:snapToGrid w:val="0"/>
                    <w:jc w:val="center"/>
                    <w:textAlignment w:val="center"/>
                    <w:rPr>
                      <w:color w:val="auto"/>
                      <w:kern w:val="0"/>
                      <w:szCs w:val="21"/>
                    </w:rPr>
                  </w:pPr>
                  <w:r>
                    <w:rPr>
                      <w:rFonts w:hint="eastAsia"/>
                      <w:color w:val="auto"/>
                      <w:kern w:val="0"/>
                      <w:szCs w:val="21"/>
                    </w:rPr>
                    <w:t>X射线数字成像系统</w:t>
                  </w:r>
                </w:p>
              </w:tc>
              <w:tc>
                <w:tcPr>
                  <w:tcW w:w="1289" w:type="pct"/>
                  <w:vAlign w:val="center"/>
                </w:tcPr>
                <w:p w14:paraId="26197BE4">
                  <w:pPr>
                    <w:widowControl/>
                    <w:adjustRightInd w:val="0"/>
                    <w:snapToGrid w:val="0"/>
                    <w:jc w:val="center"/>
                    <w:textAlignment w:val="center"/>
                    <w:rPr>
                      <w:color w:val="auto"/>
                      <w:kern w:val="0"/>
                      <w:szCs w:val="21"/>
                    </w:rPr>
                  </w:pPr>
                  <w:r>
                    <w:rPr>
                      <w:rFonts w:hint="eastAsia"/>
                      <w:color w:val="auto"/>
                      <w:kern w:val="0"/>
                      <w:szCs w:val="21"/>
                    </w:rPr>
                    <w:t>Dvyciew</w:t>
                  </w:r>
                </w:p>
              </w:tc>
              <w:tc>
                <w:tcPr>
                  <w:tcW w:w="859" w:type="pct"/>
                  <w:vAlign w:val="center"/>
                </w:tcPr>
                <w:p w14:paraId="062FEFC9">
                  <w:pPr>
                    <w:widowControl/>
                    <w:adjustRightInd w:val="0"/>
                    <w:snapToGrid w:val="0"/>
                    <w:jc w:val="center"/>
                    <w:textAlignment w:val="center"/>
                    <w:rPr>
                      <w:color w:val="auto"/>
                      <w:kern w:val="0"/>
                      <w:szCs w:val="21"/>
                    </w:rPr>
                  </w:pPr>
                  <w:r>
                    <w:rPr>
                      <w:rFonts w:hint="eastAsia"/>
                      <w:color w:val="auto"/>
                      <w:kern w:val="0"/>
                      <w:szCs w:val="21"/>
                    </w:rPr>
                    <w:t>台</w:t>
                  </w:r>
                </w:p>
              </w:tc>
              <w:tc>
                <w:tcPr>
                  <w:tcW w:w="788" w:type="pct"/>
                  <w:vAlign w:val="center"/>
                </w:tcPr>
                <w:p w14:paraId="7ECA9E22">
                  <w:pPr>
                    <w:widowControl/>
                    <w:adjustRightInd w:val="0"/>
                    <w:snapToGrid w:val="0"/>
                    <w:jc w:val="center"/>
                    <w:textAlignment w:val="center"/>
                    <w:rPr>
                      <w:color w:val="auto"/>
                      <w:kern w:val="0"/>
                      <w:szCs w:val="21"/>
                    </w:rPr>
                  </w:pPr>
                  <w:r>
                    <w:rPr>
                      <w:color w:val="auto"/>
                      <w:kern w:val="0"/>
                      <w:szCs w:val="21"/>
                    </w:rPr>
                    <w:t>1</w:t>
                  </w:r>
                </w:p>
              </w:tc>
            </w:tr>
            <w:tr w14:paraId="0BA24C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2928CF8E">
                  <w:pPr>
                    <w:widowControl/>
                    <w:adjustRightInd w:val="0"/>
                    <w:snapToGrid w:val="0"/>
                    <w:jc w:val="center"/>
                    <w:textAlignment w:val="center"/>
                    <w:rPr>
                      <w:color w:val="auto"/>
                      <w:kern w:val="0"/>
                      <w:szCs w:val="21"/>
                    </w:rPr>
                  </w:pPr>
                  <w:r>
                    <w:rPr>
                      <w:rFonts w:hint="eastAsia"/>
                      <w:color w:val="auto"/>
                      <w:kern w:val="0"/>
                      <w:szCs w:val="21"/>
                    </w:rPr>
                    <w:t>13</w:t>
                  </w:r>
                </w:p>
              </w:tc>
              <w:tc>
                <w:tcPr>
                  <w:tcW w:w="1642" w:type="pct"/>
                  <w:vAlign w:val="center"/>
                </w:tcPr>
                <w:p w14:paraId="636E11B0">
                  <w:pPr>
                    <w:widowControl/>
                    <w:adjustRightInd w:val="0"/>
                    <w:snapToGrid w:val="0"/>
                    <w:jc w:val="center"/>
                    <w:textAlignment w:val="center"/>
                    <w:rPr>
                      <w:color w:val="auto"/>
                      <w:kern w:val="0"/>
                      <w:szCs w:val="21"/>
                    </w:rPr>
                  </w:pPr>
                  <w:r>
                    <w:rPr>
                      <w:rFonts w:hint="eastAsia" w:cs="宋体"/>
                      <w:color w:val="auto"/>
                      <w:kern w:val="0"/>
                      <w:szCs w:val="21"/>
                    </w:rPr>
                    <w:t>心电图机</w:t>
                  </w:r>
                </w:p>
              </w:tc>
              <w:tc>
                <w:tcPr>
                  <w:tcW w:w="1289" w:type="pct"/>
                  <w:vAlign w:val="center"/>
                </w:tcPr>
                <w:p w14:paraId="29A2D9C1">
                  <w:pPr>
                    <w:widowControl/>
                    <w:adjustRightInd w:val="0"/>
                    <w:snapToGrid w:val="0"/>
                    <w:jc w:val="center"/>
                    <w:textAlignment w:val="center"/>
                    <w:rPr>
                      <w:color w:val="auto"/>
                      <w:kern w:val="0"/>
                      <w:szCs w:val="21"/>
                    </w:rPr>
                  </w:pPr>
                  <w:r>
                    <w:rPr>
                      <w:rFonts w:hint="eastAsia"/>
                      <w:color w:val="auto"/>
                      <w:kern w:val="0"/>
                      <w:szCs w:val="21"/>
                    </w:rPr>
                    <w:t>/</w:t>
                  </w:r>
                </w:p>
              </w:tc>
              <w:tc>
                <w:tcPr>
                  <w:tcW w:w="859" w:type="pct"/>
                  <w:vAlign w:val="center"/>
                </w:tcPr>
                <w:p w14:paraId="7273A27D">
                  <w:pPr>
                    <w:widowControl/>
                    <w:adjustRightInd w:val="0"/>
                    <w:snapToGrid w:val="0"/>
                    <w:jc w:val="center"/>
                    <w:textAlignment w:val="center"/>
                    <w:rPr>
                      <w:color w:val="auto"/>
                      <w:kern w:val="0"/>
                      <w:szCs w:val="21"/>
                    </w:rPr>
                  </w:pPr>
                  <w:r>
                    <w:rPr>
                      <w:rFonts w:hint="eastAsia"/>
                      <w:color w:val="auto"/>
                      <w:kern w:val="0"/>
                      <w:szCs w:val="21"/>
                    </w:rPr>
                    <w:t>台</w:t>
                  </w:r>
                </w:p>
              </w:tc>
              <w:tc>
                <w:tcPr>
                  <w:tcW w:w="788" w:type="pct"/>
                  <w:vAlign w:val="center"/>
                </w:tcPr>
                <w:p w14:paraId="5DEBD2D1">
                  <w:pPr>
                    <w:widowControl/>
                    <w:adjustRightInd w:val="0"/>
                    <w:snapToGrid w:val="0"/>
                    <w:jc w:val="center"/>
                    <w:textAlignment w:val="center"/>
                    <w:rPr>
                      <w:color w:val="auto"/>
                      <w:kern w:val="0"/>
                      <w:szCs w:val="21"/>
                    </w:rPr>
                  </w:pPr>
                  <w:r>
                    <w:rPr>
                      <w:color w:val="auto"/>
                      <w:kern w:val="0"/>
                      <w:szCs w:val="21"/>
                    </w:rPr>
                    <w:t>1</w:t>
                  </w:r>
                </w:p>
              </w:tc>
            </w:tr>
            <w:tr w14:paraId="309217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59E949E1">
                  <w:pPr>
                    <w:widowControl/>
                    <w:adjustRightInd w:val="0"/>
                    <w:snapToGrid w:val="0"/>
                    <w:jc w:val="center"/>
                    <w:textAlignment w:val="center"/>
                    <w:rPr>
                      <w:color w:val="auto"/>
                      <w:kern w:val="0"/>
                      <w:szCs w:val="21"/>
                    </w:rPr>
                  </w:pPr>
                  <w:r>
                    <w:rPr>
                      <w:rFonts w:hint="eastAsia"/>
                      <w:color w:val="auto"/>
                      <w:kern w:val="0"/>
                      <w:szCs w:val="21"/>
                    </w:rPr>
                    <w:t>14</w:t>
                  </w:r>
                </w:p>
              </w:tc>
              <w:tc>
                <w:tcPr>
                  <w:tcW w:w="1642" w:type="pct"/>
                  <w:vAlign w:val="center"/>
                </w:tcPr>
                <w:p w14:paraId="45E8FF1D">
                  <w:pPr>
                    <w:widowControl/>
                    <w:adjustRightInd w:val="0"/>
                    <w:snapToGrid w:val="0"/>
                    <w:jc w:val="center"/>
                    <w:textAlignment w:val="center"/>
                    <w:rPr>
                      <w:color w:val="auto"/>
                      <w:kern w:val="0"/>
                      <w:szCs w:val="21"/>
                    </w:rPr>
                  </w:pPr>
                  <w:r>
                    <w:rPr>
                      <w:rFonts w:hint="eastAsia" w:cs="宋体"/>
                      <w:color w:val="auto"/>
                      <w:kern w:val="0"/>
                      <w:szCs w:val="21"/>
                    </w:rPr>
                    <w:t>彩色</w:t>
                  </w:r>
                  <w:r>
                    <w:rPr>
                      <w:rFonts w:cs="宋体"/>
                      <w:color w:val="auto"/>
                      <w:kern w:val="0"/>
                      <w:szCs w:val="21"/>
                    </w:rPr>
                    <w:t>B</w:t>
                  </w:r>
                  <w:r>
                    <w:rPr>
                      <w:rFonts w:hint="eastAsia" w:cs="宋体"/>
                      <w:color w:val="auto"/>
                      <w:kern w:val="0"/>
                      <w:szCs w:val="21"/>
                    </w:rPr>
                    <w:t>超机</w:t>
                  </w:r>
                </w:p>
              </w:tc>
              <w:tc>
                <w:tcPr>
                  <w:tcW w:w="1289" w:type="pct"/>
                  <w:vAlign w:val="center"/>
                </w:tcPr>
                <w:p w14:paraId="3A7C163F">
                  <w:pPr>
                    <w:widowControl/>
                    <w:adjustRightInd w:val="0"/>
                    <w:snapToGrid w:val="0"/>
                    <w:jc w:val="center"/>
                    <w:textAlignment w:val="center"/>
                    <w:rPr>
                      <w:color w:val="auto"/>
                      <w:kern w:val="0"/>
                      <w:szCs w:val="21"/>
                    </w:rPr>
                  </w:pPr>
                  <w:r>
                    <w:rPr>
                      <w:rFonts w:hint="eastAsia"/>
                      <w:color w:val="auto"/>
                      <w:kern w:val="0"/>
                      <w:szCs w:val="21"/>
                    </w:rPr>
                    <w:t>/</w:t>
                  </w:r>
                </w:p>
              </w:tc>
              <w:tc>
                <w:tcPr>
                  <w:tcW w:w="859" w:type="pct"/>
                  <w:vAlign w:val="center"/>
                </w:tcPr>
                <w:p w14:paraId="18BA15A1">
                  <w:pPr>
                    <w:widowControl/>
                    <w:adjustRightInd w:val="0"/>
                    <w:snapToGrid w:val="0"/>
                    <w:jc w:val="center"/>
                    <w:textAlignment w:val="center"/>
                    <w:rPr>
                      <w:color w:val="auto"/>
                      <w:kern w:val="0"/>
                      <w:szCs w:val="21"/>
                    </w:rPr>
                  </w:pPr>
                  <w:r>
                    <w:rPr>
                      <w:rFonts w:hint="eastAsia"/>
                      <w:color w:val="auto"/>
                      <w:kern w:val="0"/>
                      <w:szCs w:val="21"/>
                    </w:rPr>
                    <w:t>台</w:t>
                  </w:r>
                </w:p>
              </w:tc>
              <w:tc>
                <w:tcPr>
                  <w:tcW w:w="788" w:type="pct"/>
                  <w:vAlign w:val="center"/>
                </w:tcPr>
                <w:p w14:paraId="2793EAA4">
                  <w:pPr>
                    <w:widowControl/>
                    <w:adjustRightInd w:val="0"/>
                    <w:snapToGrid w:val="0"/>
                    <w:jc w:val="center"/>
                    <w:textAlignment w:val="center"/>
                    <w:rPr>
                      <w:color w:val="auto"/>
                      <w:kern w:val="0"/>
                      <w:szCs w:val="21"/>
                    </w:rPr>
                  </w:pPr>
                  <w:r>
                    <w:rPr>
                      <w:color w:val="auto"/>
                      <w:kern w:val="0"/>
                      <w:szCs w:val="21"/>
                    </w:rPr>
                    <w:t>1</w:t>
                  </w:r>
                </w:p>
              </w:tc>
            </w:tr>
            <w:tr w14:paraId="372669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09D2F78B">
                  <w:pPr>
                    <w:widowControl/>
                    <w:adjustRightInd w:val="0"/>
                    <w:snapToGrid w:val="0"/>
                    <w:jc w:val="center"/>
                    <w:textAlignment w:val="center"/>
                    <w:rPr>
                      <w:color w:val="auto"/>
                      <w:kern w:val="0"/>
                      <w:szCs w:val="21"/>
                    </w:rPr>
                  </w:pPr>
                  <w:r>
                    <w:rPr>
                      <w:rFonts w:hint="eastAsia"/>
                      <w:color w:val="auto"/>
                      <w:kern w:val="0"/>
                      <w:szCs w:val="21"/>
                    </w:rPr>
                    <w:t>15</w:t>
                  </w:r>
                </w:p>
              </w:tc>
              <w:tc>
                <w:tcPr>
                  <w:tcW w:w="1642" w:type="pct"/>
                  <w:vAlign w:val="center"/>
                </w:tcPr>
                <w:p w14:paraId="144EA85C">
                  <w:pPr>
                    <w:topLinePunct/>
                    <w:adjustRightInd w:val="0"/>
                    <w:snapToGrid w:val="0"/>
                    <w:jc w:val="center"/>
                    <w:rPr>
                      <w:rFonts w:cs="宋体"/>
                      <w:color w:val="auto"/>
                      <w:kern w:val="0"/>
                      <w:szCs w:val="21"/>
                    </w:rPr>
                  </w:pPr>
                  <w:r>
                    <w:rPr>
                      <w:rFonts w:hint="eastAsia" w:cs="宋体"/>
                      <w:color w:val="auto"/>
                      <w:kern w:val="0"/>
                      <w:szCs w:val="21"/>
                    </w:rPr>
                    <w:t>体重秤</w:t>
                  </w:r>
                </w:p>
              </w:tc>
              <w:tc>
                <w:tcPr>
                  <w:tcW w:w="1289" w:type="pct"/>
                  <w:vAlign w:val="center"/>
                </w:tcPr>
                <w:p w14:paraId="58EDF3A2">
                  <w:pPr>
                    <w:widowControl/>
                    <w:adjustRightInd w:val="0"/>
                    <w:snapToGrid w:val="0"/>
                    <w:jc w:val="center"/>
                    <w:textAlignment w:val="center"/>
                    <w:rPr>
                      <w:color w:val="auto"/>
                      <w:kern w:val="0"/>
                      <w:szCs w:val="21"/>
                    </w:rPr>
                  </w:pPr>
                  <w:r>
                    <w:rPr>
                      <w:rFonts w:hint="eastAsia"/>
                      <w:color w:val="auto"/>
                      <w:kern w:val="0"/>
                      <w:szCs w:val="21"/>
                    </w:rPr>
                    <w:t>/</w:t>
                  </w:r>
                </w:p>
              </w:tc>
              <w:tc>
                <w:tcPr>
                  <w:tcW w:w="859" w:type="pct"/>
                  <w:vAlign w:val="center"/>
                </w:tcPr>
                <w:p w14:paraId="6280965F">
                  <w:pPr>
                    <w:widowControl/>
                    <w:adjustRightInd w:val="0"/>
                    <w:snapToGrid w:val="0"/>
                    <w:jc w:val="center"/>
                    <w:textAlignment w:val="center"/>
                    <w:rPr>
                      <w:color w:val="auto"/>
                      <w:kern w:val="0"/>
                      <w:szCs w:val="21"/>
                    </w:rPr>
                  </w:pPr>
                  <w:r>
                    <w:rPr>
                      <w:rFonts w:hint="eastAsia"/>
                      <w:color w:val="auto"/>
                      <w:kern w:val="0"/>
                      <w:szCs w:val="21"/>
                    </w:rPr>
                    <w:t>台</w:t>
                  </w:r>
                </w:p>
              </w:tc>
              <w:tc>
                <w:tcPr>
                  <w:tcW w:w="788" w:type="pct"/>
                  <w:vAlign w:val="center"/>
                </w:tcPr>
                <w:p w14:paraId="738EE06E">
                  <w:pPr>
                    <w:widowControl/>
                    <w:adjustRightInd w:val="0"/>
                    <w:snapToGrid w:val="0"/>
                    <w:jc w:val="center"/>
                    <w:textAlignment w:val="center"/>
                    <w:rPr>
                      <w:color w:val="auto"/>
                      <w:kern w:val="0"/>
                      <w:szCs w:val="21"/>
                    </w:rPr>
                  </w:pPr>
                  <w:r>
                    <w:rPr>
                      <w:color w:val="auto"/>
                      <w:kern w:val="0"/>
                      <w:szCs w:val="21"/>
                    </w:rPr>
                    <w:t>2</w:t>
                  </w:r>
                </w:p>
              </w:tc>
            </w:tr>
            <w:tr w14:paraId="3FDFAC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4AD5D2CF">
                  <w:pPr>
                    <w:widowControl/>
                    <w:adjustRightInd w:val="0"/>
                    <w:snapToGrid w:val="0"/>
                    <w:jc w:val="center"/>
                    <w:textAlignment w:val="center"/>
                    <w:rPr>
                      <w:color w:val="auto"/>
                      <w:kern w:val="0"/>
                      <w:szCs w:val="21"/>
                    </w:rPr>
                  </w:pPr>
                  <w:r>
                    <w:rPr>
                      <w:rFonts w:hint="eastAsia"/>
                      <w:color w:val="auto"/>
                      <w:kern w:val="0"/>
                      <w:szCs w:val="21"/>
                    </w:rPr>
                    <w:t>16</w:t>
                  </w:r>
                </w:p>
              </w:tc>
              <w:tc>
                <w:tcPr>
                  <w:tcW w:w="1642" w:type="pct"/>
                  <w:vAlign w:val="center"/>
                </w:tcPr>
                <w:p w14:paraId="505DD037">
                  <w:pPr>
                    <w:topLinePunct/>
                    <w:adjustRightInd w:val="0"/>
                    <w:snapToGrid w:val="0"/>
                    <w:jc w:val="center"/>
                    <w:rPr>
                      <w:rFonts w:cs="宋体"/>
                      <w:color w:val="auto"/>
                      <w:kern w:val="0"/>
                      <w:szCs w:val="21"/>
                    </w:rPr>
                  </w:pPr>
                  <w:r>
                    <w:rPr>
                      <w:rFonts w:hint="eastAsia" w:cs="宋体"/>
                      <w:color w:val="auto"/>
                      <w:kern w:val="0"/>
                      <w:szCs w:val="21"/>
                    </w:rPr>
                    <w:t>制氧机</w:t>
                  </w:r>
                </w:p>
              </w:tc>
              <w:tc>
                <w:tcPr>
                  <w:tcW w:w="1289" w:type="pct"/>
                  <w:vAlign w:val="center"/>
                </w:tcPr>
                <w:p w14:paraId="45FDD475">
                  <w:pPr>
                    <w:widowControl/>
                    <w:adjustRightInd w:val="0"/>
                    <w:snapToGrid w:val="0"/>
                    <w:jc w:val="center"/>
                    <w:textAlignment w:val="center"/>
                    <w:rPr>
                      <w:color w:val="auto"/>
                      <w:kern w:val="0"/>
                      <w:szCs w:val="21"/>
                    </w:rPr>
                  </w:pPr>
                  <w:r>
                    <w:rPr>
                      <w:rFonts w:hint="eastAsia"/>
                      <w:color w:val="auto"/>
                      <w:kern w:val="0"/>
                      <w:szCs w:val="21"/>
                    </w:rPr>
                    <w:t>/</w:t>
                  </w:r>
                </w:p>
              </w:tc>
              <w:tc>
                <w:tcPr>
                  <w:tcW w:w="859" w:type="pct"/>
                  <w:vAlign w:val="center"/>
                </w:tcPr>
                <w:p w14:paraId="6AFBF40F">
                  <w:pPr>
                    <w:topLinePunct/>
                    <w:adjustRightInd w:val="0"/>
                    <w:snapToGrid w:val="0"/>
                    <w:jc w:val="center"/>
                    <w:rPr>
                      <w:color w:val="auto"/>
                      <w:kern w:val="0"/>
                      <w:szCs w:val="21"/>
                    </w:rPr>
                  </w:pPr>
                  <w:r>
                    <w:rPr>
                      <w:rFonts w:hint="eastAsia"/>
                      <w:color w:val="auto"/>
                      <w:kern w:val="0"/>
                      <w:szCs w:val="21"/>
                    </w:rPr>
                    <w:t>套</w:t>
                  </w:r>
                </w:p>
              </w:tc>
              <w:tc>
                <w:tcPr>
                  <w:tcW w:w="788" w:type="pct"/>
                  <w:vAlign w:val="center"/>
                </w:tcPr>
                <w:p w14:paraId="4B722A0C">
                  <w:pPr>
                    <w:widowControl/>
                    <w:adjustRightInd w:val="0"/>
                    <w:snapToGrid w:val="0"/>
                    <w:jc w:val="center"/>
                    <w:textAlignment w:val="center"/>
                    <w:rPr>
                      <w:color w:val="auto"/>
                      <w:kern w:val="0"/>
                      <w:szCs w:val="21"/>
                    </w:rPr>
                  </w:pPr>
                  <w:r>
                    <w:rPr>
                      <w:rFonts w:hint="eastAsia"/>
                      <w:color w:val="auto"/>
                      <w:kern w:val="0"/>
                      <w:szCs w:val="21"/>
                    </w:rPr>
                    <w:t>1</w:t>
                  </w:r>
                </w:p>
              </w:tc>
            </w:tr>
            <w:tr w14:paraId="57572E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60CA994B">
                  <w:pPr>
                    <w:widowControl/>
                    <w:adjustRightInd w:val="0"/>
                    <w:snapToGrid w:val="0"/>
                    <w:jc w:val="center"/>
                    <w:textAlignment w:val="center"/>
                    <w:rPr>
                      <w:color w:val="auto"/>
                      <w:kern w:val="0"/>
                      <w:szCs w:val="21"/>
                    </w:rPr>
                  </w:pPr>
                  <w:r>
                    <w:rPr>
                      <w:rFonts w:hint="eastAsia"/>
                      <w:color w:val="auto"/>
                      <w:kern w:val="0"/>
                      <w:szCs w:val="21"/>
                    </w:rPr>
                    <w:t>17</w:t>
                  </w:r>
                </w:p>
              </w:tc>
              <w:tc>
                <w:tcPr>
                  <w:tcW w:w="1642" w:type="pct"/>
                  <w:vAlign w:val="center"/>
                </w:tcPr>
                <w:p w14:paraId="72537AC7">
                  <w:pPr>
                    <w:topLinePunct/>
                    <w:adjustRightInd w:val="0"/>
                    <w:snapToGrid w:val="0"/>
                    <w:jc w:val="center"/>
                    <w:rPr>
                      <w:rFonts w:cs="宋体"/>
                      <w:color w:val="auto"/>
                      <w:kern w:val="0"/>
                      <w:szCs w:val="21"/>
                    </w:rPr>
                  </w:pPr>
                  <w:r>
                    <w:rPr>
                      <w:rFonts w:hint="eastAsia" w:cs="宋体"/>
                      <w:color w:val="auto"/>
                      <w:kern w:val="0"/>
                      <w:szCs w:val="21"/>
                    </w:rPr>
                    <w:t>血糖仪</w:t>
                  </w:r>
                </w:p>
              </w:tc>
              <w:tc>
                <w:tcPr>
                  <w:tcW w:w="1289" w:type="pct"/>
                  <w:vAlign w:val="center"/>
                </w:tcPr>
                <w:p w14:paraId="2693540C">
                  <w:pPr>
                    <w:widowControl/>
                    <w:adjustRightInd w:val="0"/>
                    <w:snapToGrid w:val="0"/>
                    <w:jc w:val="center"/>
                    <w:textAlignment w:val="center"/>
                    <w:rPr>
                      <w:color w:val="auto"/>
                      <w:kern w:val="0"/>
                      <w:szCs w:val="21"/>
                    </w:rPr>
                  </w:pPr>
                  <w:r>
                    <w:rPr>
                      <w:rFonts w:hint="eastAsia"/>
                      <w:color w:val="auto"/>
                      <w:kern w:val="0"/>
                      <w:szCs w:val="21"/>
                    </w:rPr>
                    <w:t>/</w:t>
                  </w:r>
                </w:p>
              </w:tc>
              <w:tc>
                <w:tcPr>
                  <w:tcW w:w="859" w:type="pct"/>
                  <w:vAlign w:val="center"/>
                </w:tcPr>
                <w:p w14:paraId="70A658F3">
                  <w:pPr>
                    <w:topLinePunct/>
                    <w:adjustRightInd w:val="0"/>
                    <w:snapToGrid w:val="0"/>
                    <w:jc w:val="center"/>
                    <w:rPr>
                      <w:color w:val="auto"/>
                      <w:kern w:val="0"/>
                      <w:szCs w:val="21"/>
                    </w:rPr>
                  </w:pPr>
                  <w:r>
                    <w:rPr>
                      <w:rFonts w:hint="eastAsia"/>
                      <w:color w:val="auto"/>
                      <w:kern w:val="0"/>
                      <w:szCs w:val="21"/>
                    </w:rPr>
                    <w:t>台</w:t>
                  </w:r>
                </w:p>
              </w:tc>
              <w:tc>
                <w:tcPr>
                  <w:tcW w:w="788" w:type="pct"/>
                  <w:vAlign w:val="center"/>
                </w:tcPr>
                <w:p w14:paraId="7F4EE164">
                  <w:pPr>
                    <w:widowControl/>
                    <w:adjustRightInd w:val="0"/>
                    <w:snapToGrid w:val="0"/>
                    <w:jc w:val="center"/>
                    <w:textAlignment w:val="center"/>
                    <w:rPr>
                      <w:color w:val="auto"/>
                      <w:kern w:val="0"/>
                      <w:szCs w:val="21"/>
                    </w:rPr>
                  </w:pPr>
                  <w:r>
                    <w:rPr>
                      <w:rFonts w:hint="eastAsia"/>
                      <w:color w:val="auto"/>
                      <w:kern w:val="0"/>
                      <w:szCs w:val="21"/>
                    </w:rPr>
                    <w:t>1</w:t>
                  </w:r>
                  <w:r>
                    <w:rPr>
                      <w:color w:val="auto"/>
                      <w:kern w:val="0"/>
                      <w:szCs w:val="21"/>
                    </w:rPr>
                    <w:t>0</w:t>
                  </w:r>
                </w:p>
              </w:tc>
            </w:tr>
            <w:tr w14:paraId="33081F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572A5F1D">
                  <w:pPr>
                    <w:widowControl/>
                    <w:adjustRightInd w:val="0"/>
                    <w:snapToGrid w:val="0"/>
                    <w:jc w:val="center"/>
                    <w:textAlignment w:val="center"/>
                    <w:rPr>
                      <w:color w:val="auto"/>
                      <w:kern w:val="0"/>
                      <w:szCs w:val="21"/>
                    </w:rPr>
                  </w:pPr>
                  <w:r>
                    <w:rPr>
                      <w:rFonts w:hint="eastAsia"/>
                      <w:color w:val="auto"/>
                      <w:kern w:val="0"/>
                      <w:szCs w:val="21"/>
                    </w:rPr>
                    <w:t>18</w:t>
                  </w:r>
                </w:p>
              </w:tc>
              <w:tc>
                <w:tcPr>
                  <w:tcW w:w="1642" w:type="pct"/>
                  <w:vAlign w:val="center"/>
                </w:tcPr>
                <w:p w14:paraId="79EFCC41">
                  <w:pPr>
                    <w:topLinePunct/>
                    <w:adjustRightInd w:val="0"/>
                    <w:snapToGrid w:val="0"/>
                    <w:jc w:val="center"/>
                    <w:rPr>
                      <w:rFonts w:cs="宋体"/>
                      <w:color w:val="auto"/>
                      <w:kern w:val="0"/>
                      <w:szCs w:val="21"/>
                    </w:rPr>
                  </w:pPr>
                  <w:r>
                    <w:rPr>
                      <w:rFonts w:hint="eastAsia" w:cs="宋体"/>
                      <w:color w:val="auto"/>
                      <w:kern w:val="0"/>
                      <w:szCs w:val="21"/>
                    </w:rPr>
                    <w:t>纯水机</w:t>
                  </w:r>
                </w:p>
              </w:tc>
              <w:tc>
                <w:tcPr>
                  <w:tcW w:w="1289" w:type="pct"/>
                  <w:vAlign w:val="center"/>
                </w:tcPr>
                <w:p w14:paraId="2187DE9B">
                  <w:pPr>
                    <w:widowControl/>
                    <w:adjustRightInd w:val="0"/>
                    <w:snapToGrid w:val="0"/>
                    <w:jc w:val="center"/>
                    <w:textAlignment w:val="center"/>
                    <w:rPr>
                      <w:color w:val="auto"/>
                      <w:kern w:val="0"/>
                      <w:szCs w:val="21"/>
                    </w:rPr>
                  </w:pPr>
                  <w:r>
                    <w:rPr>
                      <w:rFonts w:hint="eastAsia"/>
                      <w:color w:val="auto"/>
                      <w:kern w:val="0"/>
                      <w:szCs w:val="21"/>
                    </w:rPr>
                    <w:t>创超纯水机</w:t>
                  </w:r>
                </w:p>
              </w:tc>
              <w:tc>
                <w:tcPr>
                  <w:tcW w:w="859" w:type="pct"/>
                  <w:vAlign w:val="center"/>
                </w:tcPr>
                <w:p w14:paraId="075F6927">
                  <w:pPr>
                    <w:topLinePunct/>
                    <w:adjustRightInd w:val="0"/>
                    <w:snapToGrid w:val="0"/>
                    <w:jc w:val="center"/>
                    <w:rPr>
                      <w:color w:val="auto"/>
                      <w:kern w:val="0"/>
                      <w:szCs w:val="21"/>
                    </w:rPr>
                  </w:pPr>
                  <w:r>
                    <w:rPr>
                      <w:rFonts w:hint="eastAsia"/>
                      <w:color w:val="auto"/>
                      <w:kern w:val="0"/>
                      <w:szCs w:val="21"/>
                    </w:rPr>
                    <w:t>套</w:t>
                  </w:r>
                </w:p>
              </w:tc>
              <w:tc>
                <w:tcPr>
                  <w:tcW w:w="788" w:type="pct"/>
                  <w:vAlign w:val="center"/>
                </w:tcPr>
                <w:p w14:paraId="6166531F">
                  <w:pPr>
                    <w:widowControl/>
                    <w:adjustRightInd w:val="0"/>
                    <w:snapToGrid w:val="0"/>
                    <w:jc w:val="center"/>
                    <w:textAlignment w:val="center"/>
                    <w:rPr>
                      <w:color w:val="auto"/>
                      <w:kern w:val="0"/>
                      <w:szCs w:val="21"/>
                    </w:rPr>
                  </w:pPr>
                  <w:r>
                    <w:rPr>
                      <w:color w:val="auto"/>
                      <w:kern w:val="0"/>
                      <w:szCs w:val="21"/>
                    </w:rPr>
                    <w:t>2</w:t>
                  </w:r>
                </w:p>
              </w:tc>
            </w:tr>
            <w:tr w14:paraId="0B810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4B00968E">
                  <w:pPr>
                    <w:widowControl/>
                    <w:adjustRightInd w:val="0"/>
                    <w:snapToGrid w:val="0"/>
                    <w:jc w:val="center"/>
                    <w:textAlignment w:val="center"/>
                    <w:rPr>
                      <w:color w:val="auto"/>
                      <w:kern w:val="0"/>
                      <w:szCs w:val="21"/>
                    </w:rPr>
                  </w:pPr>
                  <w:r>
                    <w:rPr>
                      <w:rFonts w:hint="eastAsia"/>
                      <w:color w:val="auto"/>
                      <w:kern w:val="0"/>
                      <w:szCs w:val="21"/>
                    </w:rPr>
                    <w:t>19</w:t>
                  </w:r>
                </w:p>
              </w:tc>
              <w:tc>
                <w:tcPr>
                  <w:tcW w:w="1642" w:type="pct"/>
                  <w:vAlign w:val="center"/>
                </w:tcPr>
                <w:p w14:paraId="7934F4FD">
                  <w:pPr>
                    <w:topLinePunct/>
                    <w:adjustRightInd w:val="0"/>
                    <w:snapToGrid w:val="0"/>
                    <w:jc w:val="center"/>
                    <w:rPr>
                      <w:rFonts w:cs="宋体"/>
                      <w:color w:val="auto"/>
                      <w:kern w:val="0"/>
                      <w:szCs w:val="21"/>
                    </w:rPr>
                  </w:pPr>
                  <w:r>
                    <w:rPr>
                      <w:rFonts w:hint="eastAsia" w:cs="宋体"/>
                      <w:color w:val="auto"/>
                      <w:kern w:val="0"/>
                      <w:szCs w:val="21"/>
                    </w:rPr>
                    <w:t>电子血压计</w:t>
                  </w:r>
                </w:p>
              </w:tc>
              <w:tc>
                <w:tcPr>
                  <w:tcW w:w="1289" w:type="pct"/>
                  <w:vAlign w:val="center"/>
                </w:tcPr>
                <w:p w14:paraId="1B8E683A">
                  <w:pPr>
                    <w:widowControl/>
                    <w:adjustRightInd w:val="0"/>
                    <w:snapToGrid w:val="0"/>
                    <w:jc w:val="center"/>
                    <w:textAlignment w:val="center"/>
                    <w:rPr>
                      <w:color w:val="auto"/>
                      <w:kern w:val="0"/>
                      <w:szCs w:val="21"/>
                    </w:rPr>
                  </w:pPr>
                  <w:r>
                    <w:rPr>
                      <w:rFonts w:hint="eastAsia"/>
                      <w:color w:val="auto"/>
                      <w:kern w:val="0"/>
                      <w:szCs w:val="21"/>
                    </w:rPr>
                    <w:t>/</w:t>
                  </w:r>
                </w:p>
              </w:tc>
              <w:tc>
                <w:tcPr>
                  <w:tcW w:w="859" w:type="pct"/>
                  <w:vAlign w:val="center"/>
                </w:tcPr>
                <w:p w14:paraId="4121B115">
                  <w:pPr>
                    <w:topLinePunct/>
                    <w:adjustRightInd w:val="0"/>
                    <w:snapToGrid w:val="0"/>
                    <w:jc w:val="center"/>
                    <w:rPr>
                      <w:color w:val="auto"/>
                      <w:kern w:val="0"/>
                      <w:szCs w:val="21"/>
                    </w:rPr>
                  </w:pPr>
                  <w:r>
                    <w:rPr>
                      <w:rFonts w:hint="eastAsia"/>
                      <w:color w:val="auto"/>
                      <w:kern w:val="0"/>
                      <w:szCs w:val="21"/>
                    </w:rPr>
                    <w:t>台</w:t>
                  </w:r>
                </w:p>
              </w:tc>
              <w:tc>
                <w:tcPr>
                  <w:tcW w:w="788" w:type="pct"/>
                  <w:vAlign w:val="center"/>
                </w:tcPr>
                <w:p w14:paraId="2325FE78">
                  <w:pPr>
                    <w:widowControl/>
                    <w:adjustRightInd w:val="0"/>
                    <w:snapToGrid w:val="0"/>
                    <w:jc w:val="center"/>
                    <w:textAlignment w:val="center"/>
                    <w:rPr>
                      <w:color w:val="auto"/>
                      <w:kern w:val="0"/>
                      <w:szCs w:val="21"/>
                    </w:rPr>
                  </w:pPr>
                  <w:r>
                    <w:rPr>
                      <w:rFonts w:hint="eastAsia"/>
                      <w:color w:val="auto"/>
                      <w:kern w:val="0"/>
                      <w:szCs w:val="21"/>
                    </w:rPr>
                    <w:t>4</w:t>
                  </w:r>
                </w:p>
              </w:tc>
            </w:tr>
            <w:tr w14:paraId="44A59E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19" w:type="pct"/>
                  <w:vAlign w:val="center"/>
                </w:tcPr>
                <w:p w14:paraId="40037AA3">
                  <w:pPr>
                    <w:widowControl/>
                    <w:adjustRightInd w:val="0"/>
                    <w:snapToGrid w:val="0"/>
                    <w:jc w:val="center"/>
                    <w:textAlignment w:val="center"/>
                    <w:rPr>
                      <w:color w:val="auto"/>
                      <w:kern w:val="0"/>
                      <w:szCs w:val="21"/>
                    </w:rPr>
                  </w:pPr>
                  <w:r>
                    <w:rPr>
                      <w:rFonts w:hint="eastAsia"/>
                      <w:color w:val="auto"/>
                      <w:kern w:val="0"/>
                      <w:szCs w:val="21"/>
                    </w:rPr>
                    <w:t>20</w:t>
                  </w:r>
                </w:p>
              </w:tc>
              <w:tc>
                <w:tcPr>
                  <w:tcW w:w="1642" w:type="pct"/>
                  <w:vAlign w:val="center"/>
                </w:tcPr>
                <w:p w14:paraId="29B98090">
                  <w:pPr>
                    <w:topLinePunct/>
                    <w:adjustRightInd w:val="0"/>
                    <w:snapToGrid w:val="0"/>
                    <w:jc w:val="center"/>
                    <w:rPr>
                      <w:rFonts w:cs="宋体"/>
                      <w:color w:val="auto"/>
                      <w:kern w:val="0"/>
                      <w:szCs w:val="21"/>
                    </w:rPr>
                  </w:pPr>
                  <w:r>
                    <w:rPr>
                      <w:rFonts w:hint="eastAsia" w:cs="宋体"/>
                      <w:color w:val="auto"/>
                      <w:kern w:val="0"/>
                      <w:szCs w:val="21"/>
                    </w:rPr>
                    <w:t>康本龙温热中低频治疗仪</w:t>
                  </w:r>
                </w:p>
              </w:tc>
              <w:tc>
                <w:tcPr>
                  <w:tcW w:w="1289" w:type="pct"/>
                  <w:vAlign w:val="center"/>
                </w:tcPr>
                <w:p w14:paraId="243704B4">
                  <w:pPr>
                    <w:widowControl/>
                    <w:adjustRightInd w:val="0"/>
                    <w:snapToGrid w:val="0"/>
                    <w:jc w:val="center"/>
                    <w:textAlignment w:val="center"/>
                    <w:rPr>
                      <w:color w:val="auto"/>
                      <w:kern w:val="0"/>
                      <w:szCs w:val="21"/>
                    </w:rPr>
                  </w:pPr>
                  <w:r>
                    <w:rPr>
                      <w:rFonts w:hint="eastAsia"/>
                      <w:color w:val="auto"/>
                      <w:kern w:val="0"/>
                      <w:szCs w:val="21"/>
                    </w:rPr>
                    <w:t>HL-Y6A型</w:t>
                  </w:r>
                </w:p>
              </w:tc>
              <w:tc>
                <w:tcPr>
                  <w:tcW w:w="859" w:type="pct"/>
                  <w:vAlign w:val="center"/>
                </w:tcPr>
                <w:p w14:paraId="62DBF6A7">
                  <w:pPr>
                    <w:topLinePunct/>
                    <w:adjustRightInd w:val="0"/>
                    <w:snapToGrid w:val="0"/>
                    <w:jc w:val="center"/>
                    <w:rPr>
                      <w:color w:val="auto"/>
                      <w:kern w:val="0"/>
                      <w:szCs w:val="21"/>
                    </w:rPr>
                  </w:pPr>
                  <w:r>
                    <w:rPr>
                      <w:rFonts w:hint="eastAsia"/>
                      <w:color w:val="auto"/>
                      <w:kern w:val="0"/>
                      <w:szCs w:val="21"/>
                    </w:rPr>
                    <w:t>台</w:t>
                  </w:r>
                </w:p>
              </w:tc>
              <w:tc>
                <w:tcPr>
                  <w:tcW w:w="788" w:type="pct"/>
                  <w:vAlign w:val="center"/>
                </w:tcPr>
                <w:p w14:paraId="74CC2004">
                  <w:pPr>
                    <w:widowControl/>
                    <w:adjustRightInd w:val="0"/>
                    <w:snapToGrid w:val="0"/>
                    <w:jc w:val="center"/>
                    <w:textAlignment w:val="center"/>
                    <w:rPr>
                      <w:color w:val="auto"/>
                      <w:kern w:val="0"/>
                      <w:szCs w:val="21"/>
                    </w:rPr>
                  </w:pPr>
                  <w:r>
                    <w:rPr>
                      <w:rFonts w:hint="eastAsia"/>
                      <w:color w:val="auto"/>
                      <w:kern w:val="0"/>
                      <w:szCs w:val="21"/>
                    </w:rPr>
                    <w:t>2</w:t>
                  </w:r>
                </w:p>
              </w:tc>
            </w:tr>
            <w:tr w14:paraId="1D3FB1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476822FA">
                  <w:pPr>
                    <w:widowControl/>
                    <w:adjustRightInd w:val="0"/>
                    <w:snapToGrid w:val="0"/>
                    <w:jc w:val="center"/>
                    <w:textAlignment w:val="center"/>
                    <w:rPr>
                      <w:color w:val="auto"/>
                      <w:kern w:val="0"/>
                      <w:szCs w:val="21"/>
                    </w:rPr>
                  </w:pPr>
                  <w:r>
                    <w:rPr>
                      <w:rFonts w:hint="eastAsia"/>
                      <w:color w:val="auto"/>
                      <w:kern w:val="0"/>
                      <w:szCs w:val="21"/>
                    </w:rPr>
                    <w:t>21</w:t>
                  </w:r>
                </w:p>
              </w:tc>
              <w:tc>
                <w:tcPr>
                  <w:tcW w:w="1642" w:type="pct"/>
                  <w:vAlign w:val="center"/>
                </w:tcPr>
                <w:p w14:paraId="12112E8A">
                  <w:pPr>
                    <w:topLinePunct/>
                    <w:adjustRightInd w:val="0"/>
                    <w:snapToGrid w:val="0"/>
                    <w:jc w:val="center"/>
                    <w:rPr>
                      <w:rFonts w:cs="宋体"/>
                      <w:color w:val="auto"/>
                      <w:kern w:val="0"/>
                      <w:szCs w:val="21"/>
                    </w:rPr>
                  </w:pPr>
                  <w:r>
                    <w:rPr>
                      <w:rFonts w:hint="eastAsia" w:cs="宋体"/>
                      <w:color w:val="auto"/>
                      <w:kern w:val="0"/>
                      <w:szCs w:val="21"/>
                    </w:rPr>
                    <w:t>特定电磁波谱治疗器</w:t>
                  </w:r>
                </w:p>
              </w:tc>
              <w:tc>
                <w:tcPr>
                  <w:tcW w:w="1289" w:type="pct"/>
                  <w:vAlign w:val="center"/>
                </w:tcPr>
                <w:p w14:paraId="2EB56A6F">
                  <w:pPr>
                    <w:widowControl/>
                    <w:adjustRightInd w:val="0"/>
                    <w:snapToGrid w:val="0"/>
                    <w:jc w:val="center"/>
                    <w:textAlignment w:val="center"/>
                    <w:rPr>
                      <w:color w:val="auto"/>
                      <w:kern w:val="0"/>
                      <w:szCs w:val="21"/>
                    </w:rPr>
                  </w:pPr>
                  <w:r>
                    <w:rPr>
                      <w:rFonts w:hint="eastAsia"/>
                      <w:color w:val="auto"/>
                      <w:kern w:val="0"/>
                      <w:szCs w:val="21"/>
                    </w:rPr>
                    <w:t>TDP-L2</w:t>
                  </w:r>
                </w:p>
              </w:tc>
              <w:tc>
                <w:tcPr>
                  <w:tcW w:w="859" w:type="pct"/>
                  <w:vAlign w:val="center"/>
                </w:tcPr>
                <w:p w14:paraId="0568AE1B">
                  <w:pPr>
                    <w:topLinePunct/>
                    <w:adjustRightInd w:val="0"/>
                    <w:snapToGrid w:val="0"/>
                    <w:jc w:val="center"/>
                    <w:rPr>
                      <w:color w:val="auto"/>
                      <w:kern w:val="0"/>
                      <w:szCs w:val="21"/>
                    </w:rPr>
                  </w:pPr>
                  <w:r>
                    <w:rPr>
                      <w:rFonts w:hint="eastAsia"/>
                      <w:color w:val="auto"/>
                      <w:kern w:val="0"/>
                      <w:szCs w:val="21"/>
                    </w:rPr>
                    <w:t>台</w:t>
                  </w:r>
                </w:p>
              </w:tc>
              <w:tc>
                <w:tcPr>
                  <w:tcW w:w="788" w:type="pct"/>
                  <w:vAlign w:val="center"/>
                </w:tcPr>
                <w:p w14:paraId="452B0DE1">
                  <w:pPr>
                    <w:widowControl/>
                    <w:adjustRightInd w:val="0"/>
                    <w:snapToGrid w:val="0"/>
                    <w:jc w:val="center"/>
                    <w:textAlignment w:val="center"/>
                    <w:rPr>
                      <w:color w:val="auto"/>
                      <w:kern w:val="0"/>
                      <w:szCs w:val="21"/>
                    </w:rPr>
                  </w:pPr>
                  <w:r>
                    <w:rPr>
                      <w:rFonts w:hint="eastAsia"/>
                      <w:color w:val="auto"/>
                      <w:kern w:val="0"/>
                      <w:szCs w:val="21"/>
                    </w:rPr>
                    <w:t>2</w:t>
                  </w:r>
                </w:p>
              </w:tc>
            </w:tr>
            <w:tr w14:paraId="44852C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3BBDC1AF">
                  <w:pPr>
                    <w:widowControl/>
                    <w:adjustRightInd w:val="0"/>
                    <w:snapToGrid w:val="0"/>
                    <w:jc w:val="center"/>
                    <w:textAlignment w:val="center"/>
                    <w:rPr>
                      <w:color w:val="auto"/>
                      <w:kern w:val="0"/>
                      <w:szCs w:val="21"/>
                    </w:rPr>
                  </w:pPr>
                  <w:r>
                    <w:rPr>
                      <w:rFonts w:hint="eastAsia"/>
                      <w:color w:val="auto"/>
                      <w:kern w:val="0"/>
                      <w:szCs w:val="21"/>
                    </w:rPr>
                    <w:t>22</w:t>
                  </w:r>
                </w:p>
              </w:tc>
              <w:tc>
                <w:tcPr>
                  <w:tcW w:w="1642" w:type="pct"/>
                  <w:vAlign w:val="center"/>
                </w:tcPr>
                <w:p w14:paraId="61A38B8B">
                  <w:pPr>
                    <w:topLinePunct/>
                    <w:adjustRightInd w:val="0"/>
                    <w:snapToGrid w:val="0"/>
                    <w:jc w:val="center"/>
                    <w:rPr>
                      <w:rFonts w:cs="宋体"/>
                      <w:color w:val="auto"/>
                      <w:kern w:val="0"/>
                      <w:szCs w:val="21"/>
                    </w:rPr>
                  </w:pPr>
                  <w:r>
                    <w:rPr>
                      <w:rFonts w:hint="eastAsia" w:cs="宋体"/>
                      <w:color w:val="auto"/>
                      <w:kern w:val="0"/>
                      <w:szCs w:val="21"/>
                    </w:rPr>
                    <w:t>生理参数检测仪</w:t>
                  </w:r>
                </w:p>
              </w:tc>
              <w:tc>
                <w:tcPr>
                  <w:tcW w:w="1289" w:type="pct"/>
                  <w:vAlign w:val="center"/>
                </w:tcPr>
                <w:p w14:paraId="645C615D">
                  <w:pPr>
                    <w:widowControl/>
                    <w:adjustRightInd w:val="0"/>
                    <w:snapToGrid w:val="0"/>
                    <w:jc w:val="center"/>
                    <w:textAlignment w:val="center"/>
                    <w:rPr>
                      <w:color w:val="auto"/>
                      <w:kern w:val="0"/>
                      <w:szCs w:val="21"/>
                    </w:rPr>
                  </w:pPr>
                  <w:r>
                    <w:rPr>
                      <w:rFonts w:hint="eastAsia"/>
                      <w:color w:val="auto"/>
                      <w:kern w:val="0"/>
                      <w:szCs w:val="21"/>
                    </w:rPr>
                    <w:t>19</w:t>
                  </w:r>
                </w:p>
              </w:tc>
              <w:tc>
                <w:tcPr>
                  <w:tcW w:w="859" w:type="pct"/>
                  <w:vAlign w:val="center"/>
                </w:tcPr>
                <w:p w14:paraId="7FD51AE0">
                  <w:pPr>
                    <w:topLinePunct/>
                    <w:adjustRightInd w:val="0"/>
                    <w:snapToGrid w:val="0"/>
                    <w:jc w:val="center"/>
                    <w:rPr>
                      <w:color w:val="auto"/>
                      <w:kern w:val="0"/>
                      <w:szCs w:val="21"/>
                    </w:rPr>
                  </w:pPr>
                  <w:r>
                    <w:rPr>
                      <w:rFonts w:hint="eastAsia"/>
                      <w:color w:val="auto"/>
                      <w:kern w:val="0"/>
                      <w:szCs w:val="21"/>
                    </w:rPr>
                    <w:t>台</w:t>
                  </w:r>
                </w:p>
              </w:tc>
              <w:tc>
                <w:tcPr>
                  <w:tcW w:w="788" w:type="pct"/>
                  <w:vAlign w:val="center"/>
                </w:tcPr>
                <w:p w14:paraId="20903D78">
                  <w:pPr>
                    <w:widowControl/>
                    <w:adjustRightInd w:val="0"/>
                    <w:snapToGrid w:val="0"/>
                    <w:jc w:val="center"/>
                    <w:textAlignment w:val="center"/>
                    <w:rPr>
                      <w:color w:val="auto"/>
                      <w:kern w:val="0"/>
                      <w:szCs w:val="21"/>
                    </w:rPr>
                  </w:pPr>
                  <w:r>
                    <w:rPr>
                      <w:rFonts w:hint="eastAsia"/>
                      <w:color w:val="auto"/>
                      <w:kern w:val="0"/>
                      <w:szCs w:val="21"/>
                    </w:rPr>
                    <w:t>1</w:t>
                  </w:r>
                </w:p>
              </w:tc>
            </w:tr>
            <w:tr w14:paraId="5A638C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2FC8D4F4">
                  <w:pPr>
                    <w:widowControl/>
                    <w:adjustRightInd w:val="0"/>
                    <w:snapToGrid w:val="0"/>
                    <w:jc w:val="center"/>
                    <w:textAlignment w:val="center"/>
                    <w:rPr>
                      <w:color w:val="auto"/>
                      <w:kern w:val="0"/>
                      <w:szCs w:val="21"/>
                    </w:rPr>
                  </w:pPr>
                  <w:r>
                    <w:rPr>
                      <w:rFonts w:hint="eastAsia"/>
                      <w:color w:val="auto"/>
                      <w:kern w:val="0"/>
                      <w:szCs w:val="21"/>
                    </w:rPr>
                    <w:t>23</w:t>
                  </w:r>
                </w:p>
              </w:tc>
              <w:tc>
                <w:tcPr>
                  <w:tcW w:w="1642" w:type="pct"/>
                  <w:vAlign w:val="center"/>
                </w:tcPr>
                <w:p w14:paraId="66A40FB6">
                  <w:pPr>
                    <w:topLinePunct/>
                    <w:adjustRightInd w:val="0"/>
                    <w:snapToGrid w:val="0"/>
                    <w:jc w:val="center"/>
                    <w:rPr>
                      <w:rFonts w:cs="宋体"/>
                      <w:color w:val="auto"/>
                      <w:kern w:val="0"/>
                      <w:szCs w:val="21"/>
                    </w:rPr>
                  </w:pPr>
                  <w:r>
                    <w:rPr>
                      <w:rFonts w:hint="eastAsia" w:cs="宋体"/>
                      <w:color w:val="auto"/>
                      <w:kern w:val="0"/>
                      <w:szCs w:val="21"/>
                    </w:rPr>
                    <w:t>免疫电量分析仪</w:t>
                  </w:r>
                </w:p>
              </w:tc>
              <w:tc>
                <w:tcPr>
                  <w:tcW w:w="1289" w:type="pct"/>
                  <w:vAlign w:val="center"/>
                </w:tcPr>
                <w:p w14:paraId="45069BB8">
                  <w:pPr>
                    <w:widowControl/>
                    <w:adjustRightInd w:val="0"/>
                    <w:snapToGrid w:val="0"/>
                    <w:jc w:val="center"/>
                    <w:textAlignment w:val="center"/>
                    <w:rPr>
                      <w:color w:val="auto"/>
                      <w:kern w:val="0"/>
                      <w:szCs w:val="21"/>
                    </w:rPr>
                  </w:pPr>
                  <w:r>
                    <w:rPr>
                      <w:rFonts w:hint="eastAsia"/>
                      <w:color w:val="auto"/>
                      <w:kern w:val="0"/>
                      <w:szCs w:val="21"/>
                    </w:rPr>
                    <w:t>FIA8600</w:t>
                  </w:r>
                </w:p>
              </w:tc>
              <w:tc>
                <w:tcPr>
                  <w:tcW w:w="859" w:type="pct"/>
                  <w:vAlign w:val="center"/>
                </w:tcPr>
                <w:p w14:paraId="3316CD60">
                  <w:pPr>
                    <w:topLinePunct/>
                    <w:adjustRightInd w:val="0"/>
                    <w:snapToGrid w:val="0"/>
                    <w:jc w:val="center"/>
                    <w:rPr>
                      <w:color w:val="auto"/>
                      <w:kern w:val="0"/>
                      <w:szCs w:val="21"/>
                    </w:rPr>
                  </w:pPr>
                  <w:r>
                    <w:rPr>
                      <w:rFonts w:hint="eastAsia"/>
                      <w:color w:val="auto"/>
                      <w:kern w:val="0"/>
                      <w:szCs w:val="21"/>
                    </w:rPr>
                    <w:t>台</w:t>
                  </w:r>
                </w:p>
              </w:tc>
              <w:tc>
                <w:tcPr>
                  <w:tcW w:w="788" w:type="pct"/>
                  <w:vAlign w:val="center"/>
                </w:tcPr>
                <w:p w14:paraId="5C3AEF1D">
                  <w:pPr>
                    <w:widowControl/>
                    <w:adjustRightInd w:val="0"/>
                    <w:snapToGrid w:val="0"/>
                    <w:jc w:val="center"/>
                    <w:textAlignment w:val="center"/>
                    <w:rPr>
                      <w:color w:val="auto"/>
                      <w:kern w:val="0"/>
                      <w:szCs w:val="21"/>
                    </w:rPr>
                  </w:pPr>
                  <w:r>
                    <w:rPr>
                      <w:rFonts w:hint="eastAsia"/>
                      <w:color w:val="auto"/>
                      <w:kern w:val="0"/>
                      <w:szCs w:val="21"/>
                    </w:rPr>
                    <w:t>1</w:t>
                  </w:r>
                </w:p>
              </w:tc>
            </w:tr>
            <w:tr w14:paraId="393C0F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0EC01809">
                  <w:pPr>
                    <w:widowControl/>
                    <w:adjustRightInd w:val="0"/>
                    <w:snapToGrid w:val="0"/>
                    <w:jc w:val="center"/>
                    <w:textAlignment w:val="center"/>
                    <w:rPr>
                      <w:color w:val="auto"/>
                      <w:kern w:val="0"/>
                      <w:szCs w:val="21"/>
                    </w:rPr>
                  </w:pPr>
                  <w:r>
                    <w:rPr>
                      <w:rFonts w:hint="eastAsia"/>
                      <w:color w:val="auto"/>
                      <w:kern w:val="0"/>
                      <w:szCs w:val="21"/>
                    </w:rPr>
                    <w:t>24</w:t>
                  </w:r>
                </w:p>
              </w:tc>
              <w:tc>
                <w:tcPr>
                  <w:tcW w:w="1642" w:type="pct"/>
                  <w:vAlign w:val="center"/>
                </w:tcPr>
                <w:p w14:paraId="437AF15A">
                  <w:pPr>
                    <w:topLinePunct/>
                    <w:adjustRightInd w:val="0"/>
                    <w:snapToGrid w:val="0"/>
                    <w:jc w:val="center"/>
                    <w:rPr>
                      <w:rFonts w:cs="宋体"/>
                      <w:color w:val="auto"/>
                      <w:kern w:val="0"/>
                      <w:szCs w:val="21"/>
                    </w:rPr>
                  </w:pPr>
                  <w:r>
                    <w:rPr>
                      <w:rFonts w:hint="eastAsia" w:cs="宋体"/>
                      <w:color w:val="auto"/>
                      <w:kern w:val="0"/>
                      <w:szCs w:val="21"/>
                    </w:rPr>
                    <w:t>紫外线杀菌灯车</w:t>
                  </w:r>
                </w:p>
              </w:tc>
              <w:tc>
                <w:tcPr>
                  <w:tcW w:w="1289" w:type="pct"/>
                  <w:vAlign w:val="center"/>
                </w:tcPr>
                <w:p w14:paraId="2CA5A38C">
                  <w:pPr>
                    <w:widowControl/>
                    <w:adjustRightInd w:val="0"/>
                    <w:snapToGrid w:val="0"/>
                    <w:jc w:val="center"/>
                    <w:textAlignment w:val="center"/>
                    <w:rPr>
                      <w:color w:val="auto"/>
                      <w:kern w:val="0"/>
                      <w:szCs w:val="21"/>
                    </w:rPr>
                  </w:pPr>
                  <w:r>
                    <w:rPr>
                      <w:rFonts w:hint="eastAsia"/>
                      <w:color w:val="auto"/>
                      <w:kern w:val="0"/>
                      <w:szCs w:val="21"/>
                    </w:rPr>
                    <w:t>SX-01A</w:t>
                  </w:r>
                </w:p>
              </w:tc>
              <w:tc>
                <w:tcPr>
                  <w:tcW w:w="859" w:type="pct"/>
                  <w:vAlign w:val="center"/>
                </w:tcPr>
                <w:p w14:paraId="66EEF2DB">
                  <w:pPr>
                    <w:topLinePunct/>
                    <w:adjustRightInd w:val="0"/>
                    <w:snapToGrid w:val="0"/>
                    <w:jc w:val="center"/>
                    <w:rPr>
                      <w:color w:val="auto"/>
                      <w:kern w:val="0"/>
                      <w:szCs w:val="21"/>
                    </w:rPr>
                  </w:pPr>
                  <w:r>
                    <w:rPr>
                      <w:rFonts w:hint="eastAsia"/>
                      <w:color w:val="auto"/>
                      <w:kern w:val="0"/>
                      <w:szCs w:val="21"/>
                    </w:rPr>
                    <w:t>台</w:t>
                  </w:r>
                </w:p>
              </w:tc>
              <w:tc>
                <w:tcPr>
                  <w:tcW w:w="788" w:type="pct"/>
                  <w:vAlign w:val="center"/>
                </w:tcPr>
                <w:p w14:paraId="4EA94B0E">
                  <w:pPr>
                    <w:widowControl/>
                    <w:adjustRightInd w:val="0"/>
                    <w:snapToGrid w:val="0"/>
                    <w:jc w:val="center"/>
                    <w:textAlignment w:val="center"/>
                    <w:rPr>
                      <w:color w:val="auto"/>
                      <w:kern w:val="0"/>
                      <w:szCs w:val="21"/>
                    </w:rPr>
                  </w:pPr>
                  <w:r>
                    <w:rPr>
                      <w:rFonts w:hint="eastAsia"/>
                      <w:color w:val="auto"/>
                      <w:kern w:val="0"/>
                      <w:szCs w:val="21"/>
                    </w:rPr>
                    <w:t>5</w:t>
                  </w:r>
                </w:p>
              </w:tc>
            </w:tr>
            <w:tr w14:paraId="6176EA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60FFD3D8">
                  <w:pPr>
                    <w:widowControl/>
                    <w:adjustRightInd w:val="0"/>
                    <w:snapToGrid w:val="0"/>
                    <w:jc w:val="center"/>
                    <w:textAlignment w:val="center"/>
                    <w:rPr>
                      <w:color w:val="auto"/>
                      <w:kern w:val="0"/>
                      <w:szCs w:val="21"/>
                    </w:rPr>
                  </w:pPr>
                  <w:r>
                    <w:rPr>
                      <w:rFonts w:hint="eastAsia"/>
                      <w:color w:val="auto"/>
                      <w:kern w:val="0"/>
                      <w:szCs w:val="21"/>
                    </w:rPr>
                    <w:t>25</w:t>
                  </w:r>
                </w:p>
              </w:tc>
              <w:tc>
                <w:tcPr>
                  <w:tcW w:w="1642" w:type="pct"/>
                  <w:vAlign w:val="center"/>
                </w:tcPr>
                <w:p w14:paraId="0A5F9874">
                  <w:pPr>
                    <w:topLinePunct/>
                    <w:adjustRightInd w:val="0"/>
                    <w:snapToGrid w:val="0"/>
                    <w:jc w:val="center"/>
                    <w:rPr>
                      <w:rFonts w:cs="宋体"/>
                      <w:color w:val="auto"/>
                      <w:kern w:val="0"/>
                      <w:szCs w:val="21"/>
                    </w:rPr>
                  </w:pPr>
                  <w:r>
                    <w:rPr>
                      <w:rFonts w:hint="eastAsia" w:cs="宋体"/>
                      <w:color w:val="auto"/>
                      <w:kern w:val="0"/>
                      <w:szCs w:val="21"/>
                    </w:rPr>
                    <w:t>热敏灸治疗仪</w:t>
                  </w:r>
                </w:p>
              </w:tc>
              <w:tc>
                <w:tcPr>
                  <w:tcW w:w="1289" w:type="pct"/>
                  <w:vAlign w:val="center"/>
                </w:tcPr>
                <w:p w14:paraId="0EDD47FC">
                  <w:pPr>
                    <w:widowControl/>
                    <w:adjustRightInd w:val="0"/>
                    <w:snapToGrid w:val="0"/>
                    <w:jc w:val="center"/>
                    <w:textAlignment w:val="center"/>
                    <w:rPr>
                      <w:color w:val="auto"/>
                      <w:kern w:val="0"/>
                      <w:szCs w:val="21"/>
                    </w:rPr>
                  </w:pPr>
                  <w:r>
                    <w:rPr>
                      <w:rFonts w:hint="eastAsia"/>
                      <w:color w:val="auto"/>
                      <w:kern w:val="0"/>
                      <w:szCs w:val="21"/>
                    </w:rPr>
                    <w:t>JLY-020</w:t>
                  </w:r>
                </w:p>
              </w:tc>
              <w:tc>
                <w:tcPr>
                  <w:tcW w:w="859" w:type="pct"/>
                  <w:vAlign w:val="center"/>
                </w:tcPr>
                <w:p w14:paraId="2090CF45">
                  <w:pPr>
                    <w:topLinePunct/>
                    <w:adjustRightInd w:val="0"/>
                    <w:snapToGrid w:val="0"/>
                    <w:jc w:val="center"/>
                    <w:rPr>
                      <w:color w:val="auto"/>
                      <w:kern w:val="0"/>
                      <w:szCs w:val="21"/>
                    </w:rPr>
                  </w:pPr>
                  <w:r>
                    <w:rPr>
                      <w:rFonts w:hint="eastAsia"/>
                      <w:color w:val="auto"/>
                      <w:kern w:val="0"/>
                      <w:szCs w:val="21"/>
                    </w:rPr>
                    <w:t>台</w:t>
                  </w:r>
                </w:p>
              </w:tc>
              <w:tc>
                <w:tcPr>
                  <w:tcW w:w="788" w:type="pct"/>
                  <w:vAlign w:val="center"/>
                </w:tcPr>
                <w:p w14:paraId="205CA18B">
                  <w:pPr>
                    <w:widowControl/>
                    <w:adjustRightInd w:val="0"/>
                    <w:snapToGrid w:val="0"/>
                    <w:jc w:val="center"/>
                    <w:textAlignment w:val="center"/>
                    <w:rPr>
                      <w:color w:val="auto"/>
                      <w:kern w:val="0"/>
                      <w:szCs w:val="21"/>
                    </w:rPr>
                  </w:pPr>
                  <w:r>
                    <w:rPr>
                      <w:rFonts w:hint="eastAsia"/>
                      <w:color w:val="auto"/>
                      <w:kern w:val="0"/>
                      <w:szCs w:val="21"/>
                    </w:rPr>
                    <w:t>1</w:t>
                  </w:r>
                </w:p>
              </w:tc>
            </w:tr>
            <w:tr w14:paraId="3CDBFB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6FC276A5">
                  <w:pPr>
                    <w:widowControl/>
                    <w:adjustRightInd w:val="0"/>
                    <w:snapToGrid w:val="0"/>
                    <w:jc w:val="center"/>
                    <w:textAlignment w:val="center"/>
                    <w:rPr>
                      <w:color w:val="auto"/>
                      <w:kern w:val="0"/>
                      <w:szCs w:val="21"/>
                    </w:rPr>
                  </w:pPr>
                  <w:r>
                    <w:rPr>
                      <w:rFonts w:hint="eastAsia"/>
                      <w:color w:val="auto"/>
                      <w:kern w:val="0"/>
                      <w:szCs w:val="21"/>
                    </w:rPr>
                    <w:t>26</w:t>
                  </w:r>
                </w:p>
              </w:tc>
              <w:tc>
                <w:tcPr>
                  <w:tcW w:w="1642" w:type="pct"/>
                  <w:vAlign w:val="center"/>
                </w:tcPr>
                <w:p w14:paraId="62762ECF">
                  <w:pPr>
                    <w:topLinePunct/>
                    <w:adjustRightInd w:val="0"/>
                    <w:snapToGrid w:val="0"/>
                    <w:jc w:val="center"/>
                    <w:rPr>
                      <w:rFonts w:cs="宋体"/>
                      <w:color w:val="auto"/>
                      <w:kern w:val="0"/>
                      <w:szCs w:val="21"/>
                    </w:rPr>
                  </w:pPr>
                  <w:r>
                    <w:rPr>
                      <w:rFonts w:hint="eastAsia" w:cs="宋体"/>
                      <w:color w:val="auto"/>
                      <w:kern w:val="0"/>
                      <w:szCs w:val="21"/>
                    </w:rPr>
                    <w:t>煎药壶</w:t>
                  </w:r>
                </w:p>
              </w:tc>
              <w:tc>
                <w:tcPr>
                  <w:tcW w:w="1289" w:type="pct"/>
                  <w:vAlign w:val="center"/>
                </w:tcPr>
                <w:p w14:paraId="2F5C6B7B">
                  <w:pPr>
                    <w:widowControl/>
                    <w:adjustRightInd w:val="0"/>
                    <w:snapToGrid w:val="0"/>
                    <w:jc w:val="center"/>
                    <w:textAlignment w:val="center"/>
                    <w:rPr>
                      <w:rFonts w:hint="default" w:eastAsia="宋体"/>
                      <w:color w:val="auto"/>
                      <w:kern w:val="0"/>
                      <w:szCs w:val="21"/>
                      <w:lang w:val="en-US" w:eastAsia="zh-CN"/>
                    </w:rPr>
                  </w:pPr>
                  <w:r>
                    <w:rPr>
                      <w:rFonts w:hint="eastAsia"/>
                      <w:color w:val="auto"/>
                      <w:kern w:val="0"/>
                      <w:szCs w:val="21"/>
                      <w:lang w:val="en-US" w:eastAsia="zh-CN"/>
                    </w:rPr>
                    <w:t>6L</w:t>
                  </w:r>
                </w:p>
              </w:tc>
              <w:tc>
                <w:tcPr>
                  <w:tcW w:w="859" w:type="pct"/>
                  <w:vAlign w:val="center"/>
                </w:tcPr>
                <w:p w14:paraId="74272864">
                  <w:pPr>
                    <w:topLinePunct/>
                    <w:adjustRightInd w:val="0"/>
                    <w:snapToGrid w:val="0"/>
                    <w:jc w:val="center"/>
                    <w:rPr>
                      <w:color w:val="auto"/>
                      <w:kern w:val="0"/>
                      <w:szCs w:val="21"/>
                    </w:rPr>
                  </w:pPr>
                  <w:r>
                    <w:rPr>
                      <w:rFonts w:hint="eastAsia"/>
                      <w:color w:val="auto"/>
                      <w:kern w:val="0"/>
                      <w:szCs w:val="21"/>
                    </w:rPr>
                    <w:t>个</w:t>
                  </w:r>
                </w:p>
              </w:tc>
              <w:tc>
                <w:tcPr>
                  <w:tcW w:w="788" w:type="pct"/>
                  <w:vAlign w:val="center"/>
                </w:tcPr>
                <w:p w14:paraId="550F6B91">
                  <w:pPr>
                    <w:widowControl/>
                    <w:adjustRightInd w:val="0"/>
                    <w:snapToGrid w:val="0"/>
                    <w:jc w:val="center"/>
                    <w:textAlignment w:val="center"/>
                    <w:rPr>
                      <w:color w:val="auto"/>
                      <w:kern w:val="0"/>
                      <w:szCs w:val="21"/>
                    </w:rPr>
                  </w:pPr>
                  <w:r>
                    <w:rPr>
                      <w:rFonts w:hint="eastAsia"/>
                      <w:color w:val="auto"/>
                      <w:kern w:val="0"/>
                      <w:szCs w:val="21"/>
                    </w:rPr>
                    <w:t>1</w:t>
                  </w:r>
                </w:p>
              </w:tc>
            </w:tr>
            <w:tr w14:paraId="2F8C63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7A507706">
                  <w:pPr>
                    <w:widowControl/>
                    <w:adjustRightInd w:val="0"/>
                    <w:snapToGrid w:val="0"/>
                    <w:jc w:val="center"/>
                    <w:textAlignment w:val="center"/>
                    <w:rPr>
                      <w:rFonts w:hint="default" w:eastAsia="宋体"/>
                      <w:color w:val="auto"/>
                      <w:kern w:val="0"/>
                      <w:szCs w:val="21"/>
                      <w:lang w:val="en-US" w:eastAsia="zh-CN"/>
                    </w:rPr>
                  </w:pPr>
                  <w:r>
                    <w:rPr>
                      <w:rFonts w:hint="eastAsia"/>
                      <w:color w:val="auto"/>
                      <w:kern w:val="0"/>
                      <w:szCs w:val="21"/>
                      <w:lang w:val="en-US" w:eastAsia="zh-CN"/>
                    </w:rPr>
                    <w:t>27</w:t>
                  </w:r>
                </w:p>
              </w:tc>
              <w:tc>
                <w:tcPr>
                  <w:tcW w:w="1642" w:type="pct"/>
                  <w:vAlign w:val="center"/>
                </w:tcPr>
                <w:p w14:paraId="7D9115B0">
                  <w:pPr>
                    <w:topLinePunct/>
                    <w:adjustRightInd w:val="0"/>
                    <w:snapToGrid w:val="0"/>
                    <w:jc w:val="center"/>
                    <w:rPr>
                      <w:rFonts w:hint="default" w:eastAsia="宋体" w:cs="宋体"/>
                      <w:color w:val="auto"/>
                      <w:kern w:val="0"/>
                      <w:szCs w:val="21"/>
                      <w:lang w:val="en-US" w:eastAsia="zh-CN"/>
                    </w:rPr>
                  </w:pPr>
                  <w:r>
                    <w:rPr>
                      <w:rFonts w:hint="eastAsia" w:cs="宋体"/>
                      <w:color w:val="auto"/>
                      <w:kern w:val="0"/>
                      <w:szCs w:val="21"/>
                      <w:lang w:val="en-US" w:eastAsia="zh-CN"/>
                    </w:rPr>
                    <w:t>煎药机</w:t>
                  </w:r>
                </w:p>
              </w:tc>
              <w:tc>
                <w:tcPr>
                  <w:tcW w:w="1289" w:type="pct"/>
                  <w:vAlign w:val="center"/>
                </w:tcPr>
                <w:p w14:paraId="1C04A516">
                  <w:pPr>
                    <w:widowControl/>
                    <w:adjustRightInd w:val="0"/>
                    <w:snapToGrid w:val="0"/>
                    <w:jc w:val="center"/>
                    <w:textAlignment w:val="center"/>
                    <w:rPr>
                      <w:rFonts w:hint="default" w:eastAsia="宋体"/>
                      <w:color w:val="auto"/>
                      <w:kern w:val="0"/>
                      <w:szCs w:val="21"/>
                      <w:lang w:val="en-US" w:eastAsia="zh-CN"/>
                    </w:rPr>
                  </w:pPr>
                  <w:r>
                    <w:rPr>
                      <w:rFonts w:hint="eastAsia"/>
                      <w:color w:val="auto"/>
                      <w:kern w:val="0"/>
                      <w:szCs w:val="21"/>
                      <w:lang w:val="en-US" w:eastAsia="zh-CN"/>
                    </w:rPr>
                    <w:t>20L</w:t>
                  </w:r>
                </w:p>
              </w:tc>
              <w:tc>
                <w:tcPr>
                  <w:tcW w:w="859" w:type="pct"/>
                  <w:vAlign w:val="center"/>
                </w:tcPr>
                <w:p w14:paraId="3E338E35">
                  <w:pPr>
                    <w:topLinePunct/>
                    <w:adjustRightInd w:val="0"/>
                    <w:snapToGrid w:val="0"/>
                    <w:jc w:val="center"/>
                    <w:rPr>
                      <w:rFonts w:hint="eastAsia"/>
                      <w:color w:val="auto"/>
                      <w:kern w:val="0"/>
                      <w:szCs w:val="21"/>
                    </w:rPr>
                  </w:pPr>
                  <w:r>
                    <w:rPr>
                      <w:rFonts w:hint="eastAsia"/>
                      <w:color w:val="auto"/>
                      <w:kern w:val="0"/>
                      <w:szCs w:val="21"/>
                    </w:rPr>
                    <w:t>个</w:t>
                  </w:r>
                </w:p>
              </w:tc>
              <w:tc>
                <w:tcPr>
                  <w:tcW w:w="788" w:type="pct"/>
                  <w:vAlign w:val="center"/>
                </w:tcPr>
                <w:p w14:paraId="7B7A2E3A">
                  <w:pPr>
                    <w:widowControl/>
                    <w:adjustRightInd w:val="0"/>
                    <w:snapToGrid w:val="0"/>
                    <w:jc w:val="center"/>
                    <w:textAlignment w:val="center"/>
                    <w:rPr>
                      <w:rFonts w:hint="eastAsia" w:eastAsia="宋体"/>
                      <w:color w:val="auto"/>
                      <w:kern w:val="0"/>
                      <w:szCs w:val="21"/>
                      <w:lang w:val="en-US" w:eastAsia="zh-CN"/>
                    </w:rPr>
                  </w:pPr>
                  <w:r>
                    <w:rPr>
                      <w:rFonts w:hint="eastAsia"/>
                      <w:color w:val="auto"/>
                      <w:kern w:val="0"/>
                      <w:szCs w:val="21"/>
                      <w:lang w:val="en-US" w:eastAsia="zh-CN"/>
                    </w:rPr>
                    <w:t>1</w:t>
                  </w:r>
                </w:p>
              </w:tc>
            </w:tr>
            <w:tr w14:paraId="000FF9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000" w:type="pct"/>
                  <w:gridSpan w:val="5"/>
                  <w:vAlign w:val="center"/>
                </w:tcPr>
                <w:p w14:paraId="0924BB2E">
                  <w:pPr>
                    <w:widowControl/>
                    <w:adjustRightInd w:val="0"/>
                    <w:snapToGrid w:val="0"/>
                    <w:jc w:val="center"/>
                    <w:textAlignment w:val="center"/>
                    <w:rPr>
                      <w:rFonts w:hint="default" w:eastAsia="宋体"/>
                      <w:color w:val="auto"/>
                      <w:kern w:val="0"/>
                      <w:szCs w:val="21"/>
                      <w:lang w:val="en-US" w:eastAsia="zh-CN"/>
                    </w:rPr>
                  </w:pPr>
                  <w:r>
                    <w:rPr>
                      <w:rFonts w:hint="eastAsia"/>
                      <w:color w:val="auto"/>
                      <w:kern w:val="0"/>
                      <w:szCs w:val="21"/>
                      <w:lang w:val="en-US" w:eastAsia="zh-CN"/>
                    </w:rPr>
                    <w:t>环保设备设施</w:t>
                  </w:r>
                </w:p>
              </w:tc>
            </w:tr>
            <w:tr w14:paraId="0129CE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19" w:type="pct"/>
                  <w:vAlign w:val="center"/>
                </w:tcPr>
                <w:p w14:paraId="29993BD3">
                  <w:pPr>
                    <w:widowControl/>
                    <w:adjustRightInd w:val="0"/>
                    <w:snapToGrid w:val="0"/>
                    <w:jc w:val="center"/>
                    <w:textAlignment w:val="center"/>
                    <w:rPr>
                      <w:rFonts w:hint="default"/>
                      <w:color w:val="auto"/>
                      <w:kern w:val="0"/>
                      <w:szCs w:val="21"/>
                      <w:lang w:val="en-US" w:eastAsia="zh-CN"/>
                    </w:rPr>
                  </w:pPr>
                  <w:r>
                    <w:rPr>
                      <w:rFonts w:hint="eastAsia"/>
                      <w:color w:val="auto"/>
                      <w:kern w:val="0"/>
                      <w:szCs w:val="21"/>
                      <w:lang w:val="en-US" w:eastAsia="zh-CN"/>
                    </w:rPr>
                    <w:t>1</w:t>
                  </w:r>
                </w:p>
              </w:tc>
              <w:tc>
                <w:tcPr>
                  <w:tcW w:w="1642" w:type="pct"/>
                  <w:vAlign w:val="center"/>
                </w:tcPr>
                <w:p w14:paraId="14529A81">
                  <w:pPr>
                    <w:topLinePunct/>
                    <w:adjustRightInd w:val="0"/>
                    <w:snapToGrid w:val="0"/>
                    <w:jc w:val="center"/>
                    <w:rPr>
                      <w:rFonts w:hint="eastAsia" w:eastAsia="宋体" w:cs="宋体"/>
                      <w:color w:val="auto"/>
                      <w:kern w:val="0"/>
                      <w:szCs w:val="21"/>
                      <w:lang w:val="en-US" w:eastAsia="zh-CN"/>
                    </w:rPr>
                  </w:pPr>
                  <w:r>
                    <w:rPr>
                      <w:rFonts w:hint="eastAsia" w:cs="宋体"/>
                      <w:color w:val="auto"/>
                      <w:kern w:val="0"/>
                      <w:szCs w:val="21"/>
                      <w:lang w:val="en-US" w:eastAsia="zh-CN"/>
                    </w:rPr>
                    <w:t>化粪池</w:t>
                  </w:r>
                </w:p>
              </w:tc>
              <w:tc>
                <w:tcPr>
                  <w:tcW w:w="1289" w:type="pct"/>
                  <w:shd w:val="clear" w:color="auto" w:fill="auto"/>
                  <w:vAlign w:val="center"/>
                </w:tcPr>
                <w:p w14:paraId="2F1854E4">
                  <w:pPr>
                    <w:keepNext w:val="0"/>
                    <w:keepLines w:val="0"/>
                    <w:pageBreakBefore w:val="0"/>
                    <w:kinsoku/>
                    <w:wordWrap/>
                    <w:topLinePunct w:val="0"/>
                    <w:bidi w:val="0"/>
                    <w:snapToGrid/>
                    <w:jc w:val="center"/>
                    <w:rPr>
                      <w:rFonts w:hint="eastAsia" w:ascii="Times New Roman" w:hAnsi="Times New Roman" w:eastAsia="宋体" w:cs="Times New Roman"/>
                      <w:color w:val="auto"/>
                      <w:kern w:val="2"/>
                      <w:sz w:val="21"/>
                      <w:szCs w:val="24"/>
                      <w:highlight w:val="none"/>
                      <w:lang w:val="en-US" w:eastAsia="zh-CN" w:bidi="ar-SA"/>
                    </w:rPr>
                  </w:pPr>
                  <w:r>
                    <w:rPr>
                      <w:rFonts w:hint="eastAsia" w:eastAsia="宋体"/>
                      <w:color w:val="auto"/>
                      <w:sz w:val="21"/>
                      <w:highlight w:val="none"/>
                      <w:lang w:val="en-US" w:eastAsia="zh-CN"/>
                    </w:rPr>
                    <w:t>/</w:t>
                  </w:r>
                </w:p>
              </w:tc>
              <w:tc>
                <w:tcPr>
                  <w:tcW w:w="859" w:type="pct"/>
                  <w:vAlign w:val="center"/>
                </w:tcPr>
                <w:p w14:paraId="55C8D065">
                  <w:pPr>
                    <w:topLinePunct/>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个</w:t>
                  </w:r>
                </w:p>
              </w:tc>
              <w:tc>
                <w:tcPr>
                  <w:tcW w:w="788" w:type="pct"/>
                  <w:vAlign w:val="center"/>
                </w:tcPr>
                <w:p w14:paraId="27B58024">
                  <w:pPr>
                    <w:widowControl/>
                    <w:adjustRightInd w:val="0"/>
                    <w:snapToGrid w:val="0"/>
                    <w:jc w:val="center"/>
                    <w:textAlignment w:val="center"/>
                    <w:rPr>
                      <w:rFonts w:hint="eastAsia" w:eastAsia="宋体"/>
                      <w:color w:val="auto"/>
                      <w:kern w:val="0"/>
                      <w:szCs w:val="21"/>
                      <w:lang w:val="en-US" w:eastAsia="zh-CN"/>
                    </w:rPr>
                  </w:pPr>
                  <w:r>
                    <w:rPr>
                      <w:rFonts w:hint="eastAsia"/>
                      <w:color w:val="auto"/>
                      <w:kern w:val="0"/>
                      <w:szCs w:val="21"/>
                      <w:lang w:val="en-US" w:eastAsia="zh-CN"/>
                    </w:rPr>
                    <w:t>2</w:t>
                  </w:r>
                </w:p>
              </w:tc>
            </w:tr>
            <w:tr w14:paraId="46A12E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419" w:type="pct"/>
                  <w:vAlign w:val="center"/>
                </w:tcPr>
                <w:p w14:paraId="0AE2765C">
                  <w:pPr>
                    <w:widowControl/>
                    <w:adjustRightInd w:val="0"/>
                    <w:snapToGrid w:val="0"/>
                    <w:jc w:val="center"/>
                    <w:textAlignment w:val="center"/>
                    <w:rPr>
                      <w:rFonts w:hint="default"/>
                      <w:color w:val="auto"/>
                      <w:kern w:val="0"/>
                      <w:szCs w:val="21"/>
                      <w:lang w:val="en-US" w:eastAsia="zh-CN"/>
                    </w:rPr>
                  </w:pPr>
                  <w:r>
                    <w:rPr>
                      <w:rFonts w:hint="eastAsia"/>
                      <w:color w:val="auto"/>
                      <w:kern w:val="0"/>
                      <w:szCs w:val="21"/>
                      <w:lang w:val="en-US" w:eastAsia="zh-CN"/>
                    </w:rPr>
                    <w:t>2</w:t>
                  </w:r>
                </w:p>
              </w:tc>
              <w:tc>
                <w:tcPr>
                  <w:tcW w:w="1642" w:type="pct"/>
                  <w:vAlign w:val="center"/>
                </w:tcPr>
                <w:p w14:paraId="42A13352">
                  <w:pPr>
                    <w:topLinePunct/>
                    <w:adjustRightInd w:val="0"/>
                    <w:snapToGrid w:val="0"/>
                    <w:jc w:val="center"/>
                    <w:rPr>
                      <w:rFonts w:hint="eastAsia" w:cs="宋体"/>
                      <w:color w:val="auto"/>
                      <w:kern w:val="0"/>
                      <w:szCs w:val="21"/>
                      <w:lang w:val="en-US" w:eastAsia="zh-CN"/>
                    </w:rPr>
                  </w:pPr>
                  <w:r>
                    <w:rPr>
                      <w:rFonts w:hint="eastAsia" w:ascii="Times New Roman" w:hAnsi="Times New Roman" w:eastAsia="宋体"/>
                      <w:color w:val="auto"/>
                      <w:sz w:val="21"/>
                      <w:highlight w:val="none"/>
                      <w:lang w:val="en-US" w:eastAsia="zh-CN"/>
                    </w:rPr>
                    <w:t>一体化污水处理设备（</w:t>
                  </w:r>
                  <w:r>
                    <w:rPr>
                      <w:rFonts w:hint="eastAsia" w:ascii="Times New Roman" w:hAnsi="Times New Roman" w:eastAsia="宋体"/>
                      <w:color w:val="auto"/>
                      <w:sz w:val="21"/>
                      <w:highlight w:val="none"/>
                    </w:rPr>
                    <w:t>生化池+MBR膜池+</w:t>
                  </w:r>
                  <w:r>
                    <w:rPr>
                      <w:rFonts w:hint="eastAsia"/>
                      <w:color w:val="auto"/>
                      <w:sz w:val="21"/>
                      <w:highlight w:val="none"/>
                      <w:lang w:val="en-US" w:eastAsia="zh-CN"/>
                    </w:rPr>
                    <w:t>次氯酸钠消毒</w:t>
                  </w:r>
                  <w:r>
                    <w:rPr>
                      <w:rFonts w:hint="eastAsia" w:ascii="Times New Roman" w:hAnsi="Times New Roman" w:eastAsia="宋体"/>
                      <w:color w:val="auto"/>
                      <w:sz w:val="21"/>
                      <w:highlight w:val="none"/>
                      <w:lang w:val="en-US" w:eastAsia="zh-CN"/>
                    </w:rPr>
                    <w:t>）</w:t>
                  </w:r>
                </w:p>
              </w:tc>
              <w:tc>
                <w:tcPr>
                  <w:tcW w:w="1289" w:type="pct"/>
                  <w:shd w:val="clear" w:color="auto" w:fill="auto"/>
                  <w:vAlign w:val="center"/>
                </w:tcPr>
                <w:p w14:paraId="6C73B7A8">
                  <w:pPr>
                    <w:keepNext w:val="0"/>
                    <w:keepLines w:val="0"/>
                    <w:pageBreakBefore w:val="0"/>
                    <w:kinsoku/>
                    <w:wordWrap/>
                    <w:topLinePunct w:val="0"/>
                    <w:bidi w:val="0"/>
                    <w:snapToGrid/>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sz w:val="21"/>
                      <w:highlight w:val="none"/>
                      <w:lang w:val="en-US" w:eastAsia="zh-CN"/>
                    </w:rPr>
                    <w:t>处理能力10m</w:t>
                  </w:r>
                  <w:r>
                    <w:rPr>
                      <w:rFonts w:hint="eastAsia"/>
                      <w:color w:val="auto"/>
                      <w:sz w:val="21"/>
                      <w:highlight w:val="none"/>
                      <w:vertAlign w:val="superscript"/>
                      <w:lang w:val="en-US" w:eastAsia="zh-CN"/>
                    </w:rPr>
                    <w:t>3</w:t>
                  </w:r>
                  <w:r>
                    <w:rPr>
                      <w:rFonts w:hint="eastAsia"/>
                      <w:color w:val="auto"/>
                      <w:sz w:val="21"/>
                      <w:highlight w:val="none"/>
                      <w:lang w:val="en-US" w:eastAsia="zh-CN"/>
                    </w:rPr>
                    <w:t>/d</w:t>
                  </w:r>
                </w:p>
              </w:tc>
              <w:tc>
                <w:tcPr>
                  <w:tcW w:w="859" w:type="pct"/>
                  <w:vAlign w:val="center"/>
                </w:tcPr>
                <w:p w14:paraId="444FA224">
                  <w:pPr>
                    <w:topLinePunct/>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套</w:t>
                  </w:r>
                </w:p>
              </w:tc>
              <w:tc>
                <w:tcPr>
                  <w:tcW w:w="788" w:type="pct"/>
                  <w:vAlign w:val="center"/>
                </w:tcPr>
                <w:p w14:paraId="1420CD95">
                  <w:pPr>
                    <w:widowControl/>
                    <w:adjustRightInd w:val="0"/>
                    <w:snapToGrid w:val="0"/>
                    <w:jc w:val="center"/>
                    <w:textAlignment w:val="center"/>
                    <w:rPr>
                      <w:rFonts w:hint="default" w:eastAsia="宋体"/>
                      <w:color w:val="auto"/>
                      <w:kern w:val="0"/>
                      <w:szCs w:val="21"/>
                      <w:lang w:val="en-US" w:eastAsia="zh-CN"/>
                    </w:rPr>
                  </w:pPr>
                  <w:r>
                    <w:rPr>
                      <w:rFonts w:hint="eastAsia"/>
                      <w:color w:val="auto"/>
                      <w:kern w:val="0"/>
                      <w:szCs w:val="21"/>
                      <w:lang w:val="en-US" w:eastAsia="zh-CN"/>
                    </w:rPr>
                    <w:t>1</w:t>
                  </w:r>
                </w:p>
              </w:tc>
            </w:tr>
            <w:tr w14:paraId="06A07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3C6CE5C6">
                  <w:pPr>
                    <w:widowControl/>
                    <w:adjustRightInd w:val="0"/>
                    <w:snapToGrid w:val="0"/>
                    <w:jc w:val="center"/>
                    <w:textAlignment w:val="center"/>
                    <w:rPr>
                      <w:rFonts w:hint="default"/>
                      <w:color w:val="auto"/>
                      <w:kern w:val="0"/>
                      <w:szCs w:val="21"/>
                      <w:lang w:val="en-US" w:eastAsia="zh-CN"/>
                    </w:rPr>
                  </w:pPr>
                  <w:r>
                    <w:rPr>
                      <w:rFonts w:hint="eastAsia"/>
                      <w:color w:val="auto"/>
                      <w:kern w:val="0"/>
                      <w:szCs w:val="21"/>
                      <w:lang w:val="en-US" w:eastAsia="zh-CN"/>
                    </w:rPr>
                    <w:t>3</w:t>
                  </w:r>
                </w:p>
              </w:tc>
              <w:tc>
                <w:tcPr>
                  <w:tcW w:w="1642" w:type="pct"/>
                  <w:vAlign w:val="center"/>
                </w:tcPr>
                <w:p w14:paraId="69CE6B68">
                  <w:pPr>
                    <w:topLinePunct/>
                    <w:adjustRightInd w:val="0"/>
                    <w:snapToGrid w:val="0"/>
                    <w:jc w:val="center"/>
                    <w:rPr>
                      <w:rFonts w:hint="default"/>
                      <w:color w:val="auto"/>
                      <w:sz w:val="21"/>
                      <w:highlight w:val="none"/>
                      <w:lang w:val="en-US" w:eastAsia="zh-CN"/>
                    </w:rPr>
                  </w:pPr>
                  <w:r>
                    <w:rPr>
                      <w:rFonts w:hint="eastAsia"/>
                      <w:color w:val="auto"/>
                      <w:sz w:val="21"/>
                      <w:highlight w:val="none"/>
                      <w:lang w:val="en-US" w:eastAsia="zh-CN"/>
                    </w:rPr>
                    <w:t>隔油池</w:t>
                  </w:r>
                </w:p>
              </w:tc>
              <w:tc>
                <w:tcPr>
                  <w:tcW w:w="1289" w:type="pct"/>
                  <w:shd w:val="clear" w:color="auto" w:fill="auto"/>
                  <w:vAlign w:val="center"/>
                </w:tcPr>
                <w:p w14:paraId="1D064E59">
                  <w:pPr>
                    <w:keepNext w:val="0"/>
                    <w:keepLines w:val="0"/>
                    <w:pageBreakBefore w:val="0"/>
                    <w:kinsoku/>
                    <w:wordWrap/>
                    <w:topLinePunct w:val="0"/>
                    <w:bidi w:val="0"/>
                    <w:snapToGrid/>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sz w:val="21"/>
                      <w:highlight w:val="none"/>
                      <w:lang w:val="en-US" w:eastAsia="zh-CN"/>
                    </w:rPr>
                    <w:t>2</w:t>
                  </w:r>
                  <w:r>
                    <w:rPr>
                      <w:rFonts w:hint="eastAsia" w:eastAsia="宋体"/>
                      <w:color w:val="auto"/>
                      <w:sz w:val="21"/>
                      <w:highlight w:val="none"/>
                      <w:lang w:val="en-US" w:eastAsia="zh-CN"/>
                    </w:rPr>
                    <w:t>m</w:t>
                  </w:r>
                  <w:r>
                    <w:rPr>
                      <w:rFonts w:hint="eastAsia" w:eastAsia="宋体"/>
                      <w:color w:val="auto"/>
                      <w:sz w:val="21"/>
                      <w:highlight w:val="none"/>
                      <w:vertAlign w:val="superscript"/>
                      <w:lang w:val="en-US" w:eastAsia="zh-CN"/>
                    </w:rPr>
                    <w:t>3</w:t>
                  </w:r>
                </w:p>
              </w:tc>
              <w:tc>
                <w:tcPr>
                  <w:tcW w:w="859" w:type="pct"/>
                  <w:vAlign w:val="center"/>
                </w:tcPr>
                <w:p w14:paraId="0D5879DB">
                  <w:pPr>
                    <w:topLinePunct/>
                    <w:adjustRightInd w:val="0"/>
                    <w:snapToGrid w:val="0"/>
                    <w:jc w:val="center"/>
                    <w:rPr>
                      <w:rFonts w:hint="eastAsia" w:eastAsia="宋体"/>
                      <w:color w:val="auto"/>
                      <w:kern w:val="0"/>
                      <w:szCs w:val="21"/>
                      <w:lang w:eastAsia="zh-CN"/>
                    </w:rPr>
                  </w:pPr>
                  <w:r>
                    <w:rPr>
                      <w:rFonts w:hint="eastAsia"/>
                      <w:color w:val="auto"/>
                      <w:kern w:val="0"/>
                      <w:szCs w:val="21"/>
                      <w:lang w:eastAsia="zh-CN"/>
                    </w:rPr>
                    <w:t>个</w:t>
                  </w:r>
                </w:p>
              </w:tc>
              <w:tc>
                <w:tcPr>
                  <w:tcW w:w="788" w:type="pct"/>
                  <w:vAlign w:val="center"/>
                </w:tcPr>
                <w:p w14:paraId="35E91E04">
                  <w:pPr>
                    <w:widowControl/>
                    <w:adjustRightInd w:val="0"/>
                    <w:snapToGrid w:val="0"/>
                    <w:jc w:val="center"/>
                    <w:textAlignment w:val="center"/>
                    <w:rPr>
                      <w:rFonts w:hint="eastAsia" w:eastAsia="宋体"/>
                      <w:color w:val="auto"/>
                      <w:kern w:val="0"/>
                      <w:szCs w:val="21"/>
                      <w:lang w:val="en-US" w:eastAsia="zh-CN"/>
                    </w:rPr>
                  </w:pPr>
                  <w:r>
                    <w:rPr>
                      <w:rFonts w:hint="eastAsia"/>
                      <w:color w:val="auto"/>
                      <w:kern w:val="0"/>
                      <w:szCs w:val="21"/>
                      <w:lang w:val="en-US" w:eastAsia="zh-CN"/>
                    </w:rPr>
                    <w:t>1</w:t>
                  </w:r>
                </w:p>
              </w:tc>
            </w:tr>
            <w:tr w14:paraId="150BF9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14:paraId="7177A026">
                  <w:pPr>
                    <w:widowControl/>
                    <w:adjustRightInd w:val="0"/>
                    <w:snapToGrid w:val="0"/>
                    <w:jc w:val="center"/>
                    <w:textAlignment w:val="center"/>
                    <w:rPr>
                      <w:rFonts w:hint="default"/>
                      <w:color w:val="auto"/>
                      <w:kern w:val="0"/>
                      <w:szCs w:val="21"/>
                      <w:lang w:val="en-US" w:eastAsia="zh-CN"/>
                    </w:rPr>
                  </w:pPr>
                  <w:r>
                    <w:rPr>
                      <w:rFonts w:hint="eastAsia"/>
                      <w:color w:val="auto"/>
                      <w:kern w:val="0"/>
                      <w:szCs w:val="21"/>
                      <w:lang w:val="en-US" w:eastAsia="zh-CN"/>
                    </w:rPr>
                    <w:t>4</w:t>
                  </w:r>
                </w:p>
              </w:tc>
              <w:tc>
                <w:tcPr>
                  <w:tcW w:w="1642" w:type="pct"/>
                  <w:vAlign w:val="center"/>
                </w:tcPr>
                <w:p w14:paraId="68A267E4">
                  <w:pPr>
                    <w:topLinePunct/>
                    <w:adjustRightInd w:val="0"/>
                    <w:snapToGrid w:val="0"/>
                    <w:jc w:val="center"/>
                    <w:rPr>
                      <w:rFonts w:hint="default"/>
                      <w:color w:val="auto"/>
                      <w:sz w:val="21"/>
                      <w:highlight w:val="none"/>
                      <w:lang w:val="en-US" w:eastAsia="zh-CN"/>
                    </w:rPr>
                  </w:pPr>
                  <w:r>
                    <w:rPr>
                      <w:rFonts w:hint="eastAsia"/>
                      <w:color w:val="auto"/>
                      <w:sz w:val="21"/>
                      <w:highlight w:val="none"/>
                      <w:lang w:val="en-US" w:eastAsia="zh-CN"/>
                    </w:rPr>
                    <w:t>事故应急池</w:t>
                  </w:r>
                </w:p>
              </w:tc>
              <w:tc>
                <w:tcPr>
                  <w:tcW w:w="1289" w:type="pct"/>
                  <w:shd w:val="clear" w:color="auto" w:fill="auto"/>
                  <w:vAlign w:val="center"/>
                </w:tcPr>
                <w:p w14:paraId="7678530C">
                  <w:pPr>
                    <w:keepNext w:val="0"/>
                    <w:keepLines w:val="0"/>
                    <w:pageBreakBefore w:val="0"/>
                    <w:kinsoku/>
                    <w:wordWrap/>
                    <w:topLinePunct w:val="0"/>
                    <w:bidi w:val="0"/>
                    <w:snapToGrid/>
                    <w:jc w:val="center"/>
                    <w:rPr>
                      <w:rFonts w:hint="default" w:ascii="Times New Roman" w:hAnsi="Times New Roman" w:eastAsia="宋体" w:cs="Times New Roman"/>
                      <w:color w:val="auto"/>
                      <w:kern w:val="2"/>
                      <w:sz w:val="21"/>
                      <w:szCs w:val="24"/>
                      <w:highlight w:val="none"/>
                      <w:lang w:val="en-US" w:eastAsia="zh-CN" w:bidi="ar-SA"/>
                    </w:rPr>
                  </w:pPr>
                  <w:r>
                    <w:rPr>
                      <w:rFonts w:hint="eastAsia" w:eastAsia="宋体"/>
                      <w:color w:val="auto"/>
                      <w:sz w:val="21"/>
                      <w:highlight w:val="none"/>
                      <w:lang w:val="en-US" w:eastAsia="zh-CN"/>
                    </w:rPr>
                    <w:t>3m</w:t>
                  </w:r>
                  <w:r>
                    <w:rPr>
                      <w:rFonts w:hint="eastAsia" w:eastAsia="宋体"/>
                      <w:color w:val="auto"/>
                      <w:sz w:val="21"/>
                      <w:highlight w:val="none"/>
                      <w:vertAlign w:val="superscript"/>
                      <w:lang w:val="en-US" w:eastAsia="zh-CN"/>
                    </w:rPr>
                    <w:t>3</w:t>
                  </w:r>
                </w:p>
              </w:tc>
              <w:tc>
                <w:tcPr>
                  <w:tcW w:w="859" w:type="pct"/>
                  <w:vAlign w:val="center"/>
                </w:tcPr>
                <w:p w14:paraId="1BE445BF">
                  <w:pPr>
                    <w:topLinePunct/>
                    <w:adjustRightInd w:val="0"/>
                    <w:snapToGrid w:val="0"/>
                    <w:jc w:val="center"/>
                    <w:rPr>
                      <w:rFonts w:hint="eastAsia"/>
                      <w:color w:val="auto"/>
                      <w:kern w:val="0"/>
                      <w:szCs w:val="21"/>
                    </w:rPr>
                  </w:pPr>
                  <w:r>
                    <w:rPr>
                      <w:rFonts w:hint="eastAsia"/>
                      <w:color w:val="auto"/>
                      <w:kern w:val="0"/>
                      <w:szCs w:val="21"/>
                      <w:lang w:eastAsia="zh-CN"/>
                    </w:rPr>
                    <w:t>个</w:t>
                  </w:r>
                </w:p>
              </w:tc>
              <w:tc>
                <w:tcPr>
                  <w:tcW w:w="788" w:type="pct"/>
                  <w:vAlign w:val="center"/>
                </w:tcPr>
                <w:p w14:paraId="69512879">
                  <w:pPr>
                    <w:widowControl/>
                    <w:adjustRightInd w:val="0"/>
                    <w:snapToGrid w:val="0"/>
                    <w:jc w:val="center"/>
                    <w:textAlignment w:val="center"/>
                    <w:rPr>
                      <w:rFonts w:hint="eastAsia" w:eastAsia="宋体"/>
                      <w:color w:val="auto"/>
                      <w:kern w:val="0"/>
                      <w:szCs w:val="21"/>
                      <w:lang w:val="en-US" w:eastAsia="zh-CN"/>
                    </w:rPr>
                  </w:pPr>
                  <w:r>
                    <w:rPr>
                      <w:rFonts w:hint="eastAsia"/>
                      <w:color w:val="auto"/>
                      <w:kern w:val="0"/>
                      <w:szCs w:val="21"/>
                      <w:lang w:val="en-US" w:eastAsia="zh-CN"/>
                    </w:rPr>
                    <w:t>1</w:t>
                  </w:r>
                </w:p>
              </w:tc>
            </w:tr>
            <w:tr w14:paraId="48F8FC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19" w:type="pct"/>
                  <w:shd w:val="clear" w:color="auto" w:fill="auto"/>
                  <w:vAlign w:val="center"/>
                </w:tcPr>
                <w:p w14:paraId="64505E0C">
                  <w:pPr>
                    <w:widowControl/>
                    <w:adjustRightInd w:val="0"/>
                    <w:snapToGrid w:val="0"/>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5</w:t>
                  </w:r>
                </w:p>
              </w:tc>
              <w:tc>
                <w:tcPr>
                  <w:tcW w:w="1642" w:type="pct"/>
                  <w:shd w:val="clear" w:color="auto" w:fill="auto"/>
                  <w:vAlign w:val="center"/>
                </w:tcPr>
                <w:p w14:paraId="040EEFB3">
                  <w:pPr>
                    <w:topLinePunct/>
                    <w:adjustRightInd w:val="0"/>
                    <w:snapToGrid w:val="0"/>
                    <w:jc w:val="center"/>
                    <w:rPr>
                      <w:rFonts w:hint="eastAsia" w:ascii="Times New Roman" w:hAnsi="Times New Roman" w:eastAsia="宋体" w:cs="宋体"/>
                      <w:color w:val="auto"/>
                      <w:kern w:val="0"/>
                      <w:sz w:val="21"/>
                      <w:szCs w:val="21"/>
                      <w:lang w:val="en-US" w:eastAsia="zh-CN" w:bidi="ar-SA"/>
                    </w:rPr>
                  </w:pPr>
                  <w:r>
                    <w:rPr>
                      <w:rFonts w:hint="eastAsia"/>
                      <w:color w:val="auto"/>
                      <w:sz w:val="21"/>
                      <w:highlight w:val="none"/>
                      <w:lang w:val="en-US" w:eastAsia="zh-CN"/>
                    </w:rPr>
                    <w:t>医疗废物暂存间</w:t>
                  </w:r>
                </w:p>
              </w:tc>
              <w:tc>
                <w:tcPr>
                  <w:tcW w:w="1289" w:type="pct"/>
                  <w:shd w:val="clear" w:color="auto" w:fill="auto"/>
                  <w:vAlign w:val="center"/>
                </w:tcPr>
                <w:p w14:paraId="41170923">
                  <w:pPr>
                    <w:widowControl/>
                    <w:adjustRightInd w:val="0"/>
                    <w:snapToGrid w:val="0"/>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12m</w:t>
                  </w:r>
                  <w:r>
                    <w:rPr>
                      <w:rFonts w:hint="eastAsia"/>
                      <w:color w:val="auto"/>
                      <w:kern w:val="0"/>
                      <w:szCs w:val="21"/>
                      <w:vertAlign w:val="superscript"/>
                      <w:lang w:val="en-US" w:eastAsia="zh-CN"/>
                    </w:rPr>
                    <w:t>2</w:t>
                  </w:r>
                </w:p>
              </w:tc>
              <w:tc>
                <w:tcPr>
                  <w:tcW w:w="859" w:type="pct"/>
                  <w:shd w:val="clear" w:color="auto" w:fill="auto"/>
                  <w:vAlign w:val="center"/>
                </w:tcPr>
                <w:p w14:paraId="5B5C0231">
                  <w:pPr>
                    <w:topLinePunct/>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间</w:t>
                  </w:r>
                </w:p>
              </w:tc>
              <w:tc>
                <w:tcPr>
                  <w:tcW w:w="788" w:type="pct"/>
                  <w:shd w:val="clear" w:color="auto" w:fill="auto"/>
                  <w:vAlign w:val="center"/>
                </w:tcPr>
                <w:p w14:paraId="4328211C">
                  <w:pPr>
                    <w:widowControl/>
                    <w:adjustRightInd w:val="0"/>
                    <w:snapToGrid w:val="0"/>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1</w:t>
                  </w:r>
                </w:p>
              </w:tc>
            </w:tr>
            <w:tr w14:paraId="7F3E00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shd w:val="clear" w:color="auto" w:fill="auto"/>
                  <w:vAlign w:val="center"/>
                </w:tcPr>
                <w:p w14:paraId="0F1DCD79">
                  <w:pPr>
                    <w:widowControl/>
                    <w:adjustRightInd w:val="0"/>
                    <w:snapToGrid w:val="0"/>
                    <w:jc w:val="center"/>
                    <w:textAlignment w:val="center"/>
                    <w:rPr>
                      <w:rFonts w:hint="default"/>
                      <w:color w:val="auto"/>
                      <w:kern w:val="0"/>
                      <w:szCs w:val="21"/>
                      <w:lang w:val="en-US" w:eastAsia="zh-CN"/>
                    </w:rPr>
                  </w:pPr>
                  <w:r>
                    <w:rPr>
                      <w:rFonts w:hint="eastAsia"/>
                      <w:color w:val="auto"/>
                      <w:kern w:val="0"/>
                      <w:szCs w:val="21"/>
                      <w:lang w:val="en-US" w:eastAsia="zh-CN"/>
                    </w:rPr>
                    <w:t>6</w:t>
                  </w:r>
                </w:p>
              </w:tc>
              <w:tc>
                <w:tcPr>
                  <w:tcW w:w="1642" w:type="pct"/>
                  <w:shd w:val="clear" w:color="auto" w:fill="auto"/>
                  <w:vAlign w:val="center"/>
                </w:tcPr>
                <w:p w14:paraId="15F9257B">
                  <w:pPr>
                    <w:topLinePunct/>
                    <w:adjustRightInd w:val="0"/>
                    <w:snapToGrid w:val="0"/>
                    <w:jc w:val="center"/>
                    <w:rPr>
                      <w:rFonts w:hint="default"/>
                      <w:color w:val="auto"/>
                      <w:sz w:val="21"/>
                      <w:highlight w:val="none"/>
                      <w:lang w:val="en-US" w:eastAsia="zh-CN"/>
                    </w:rPr>
                  </w:pPr>
                  <w:r>
                    <w:rPr>
                      <w:rFonts w:hint="eastAsia"/>
                      <w:color w:val="auto"/>
                      <w:sz w:val="21"/>
                      <w:highlight w:val="none"/>
                      <w:lang w:val="en-US" w:eastAsia="zh-CN"/>
                    </w:rPr>
                    <w:t>油烟净化器</w:t>
                  </w:r>
                </w:p>
              </w:tc>
              <w:tc>
                <w:tcPr>
                  <w:tcW w:w="1289" w:type="pct"/>
                  <w:shd w:val="clear" w:color="auto" w:fill="auto"/>
                  <w:vAlign w:val="center"/>
                </w:tcPr>
                <w:p w14:paraId="3FE45017">
                  <w:pPr>
                    <w:keepNext w:val="0"/>
                    <w:keepLines w:val="0"/>
                    <w:pageBreakBefore w:val="0"/>
                    <w:kinsoku/>
                    <w:wordWrap/>
                    <w:topLinePunct w:val="0"/>
                    <w:bidi w:val="0"/>
                    <w:snapToGrid/>
                    <w:jc w:val="center"/>
                    <w:rPr>
                      <w:rFonts w:hint="eastAsia" w:ascii="Times New Roman" w:hAnsi="Times New Roman" w:eastAsia="宋体" w:cs="Times New Roman"/>
                      <w:color w:val="auto"/>
                      <w:kern w:val="2"/>
                      <w:sz w:val="21"/>
                      <w:szCs w:val="24"/>
                      <w:highlight w:val="none"/>
                      <w:lang w:val="en-US" w:eastAsia="zh-CN" w:bidi="ar-SA"/>
                    </w:rPr>
                  </w:pPr>
                  <w:r>
                    <w:rPr>
                      <w:rFonts w:hint="eastAsia" w:eastAsia="宋体"/>
                      <w:color w:val="auto"/>
                      <w:sz w:val="21"/>
                      <w:highlight w:val="none"/>
                      <w:lang w:val="en-US" w:eastAsia="zh-CN"/>
                    </w:rPr>
                    <w:t>/</w:t>
                  </w:r>
                </w:p>
              </w:tc>
              <w:tc>
                <w:tcPr>
                  <w:tcW w:w="859" w:type="pct"/>
                  <w:shd w:val="clear" w:color="auto" w:fill="auto"/>
                  <w:vAlign w:val="center"/>
                </w:tcPr>
                <w:p w14:paraId="44706E04">
                  <w:pPr>
                    <w:topLinePunct/>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套</w:t>
                  </w:r>
                </w:p>
              </w:tc>
              <w:tc>
                <w:tcPr>
                  <w:tcW w:w="1327" w:type="dxa"/>
                  <w:shd w:val="clear" w:color="auto" w:fill="auto"/>
                  <w:vAlign w:val="center"/>
                </w:tcPr>
                <w:p w14:paraId="211A334A">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w:t>
                  </w:r>
                </w:p>
              </w:tc>
            </w:tr>
          </w:tbl>
          <w:p w14:paraId="37B7E557">
            <w:pPr>
              <w:adjustRightInd w:val="0"/>
              <w:snapToGrid w:val="0"/>
              <w:spacing w:line="360" w:lineRule="auto"/>
              <w:ind w:firstLine="482" w:firstLineChars="200"/>
              <w:rPr>
                <w:b/>
                <w:color w:val="auto"/>
                <w:kern w:val="0"/>
                <w:sz w:val="24"/>
              </w:rPr>
            </w:pPr>
            <w:r>
              <w:rPr>
                <w:rFonts w:hint="eastAsia"/>
                <w:b/>
                <w:color w:val="auto"/>
                <w:kern w:val="0"/>
                <w:sz w:val="24"/>
              </w:rPr>
              <w:t>4、主要原辅材料</w:t>
            </w:r>
          </w:p>
          <w:p w14:paraId="0FBDA8FA">
            <w:pPr>
              <w:spacing w:line="360" w:lineRule="auto"/>
              <w:ind w:firstLine="480" w:firstLineChars="200"/>
              <w:rPr>
                <w:color w:val="auto"/>
                <w:sz w:val="24"/>
              </w:rPr>
            </w:pPr>
            <w:r>
              <w:rPr>
                <w:color w:val="auto"/>
                <w:sz w:val="24"/>
              </w:rPr>
              <w:t>本项目主要医用试剂及其用量见下表。</w:t>
            </w:r>
          </w:p>
          <w:p w14:paraId="0D32C9D2">
            <w:pPr>
              <w:spacing w:line="360" w:lineRule="auto"/>
              <w:ind w:firstLine="480" w:firstLineChars="200"/>
              <w:rPr>
                <w:color w:val="auto"/>
                <w:sz w:val="24"/>
              </w:rPr>
            </w:pPr>
            <w:r>
              <w:rPr>
                <w:color w:val="auto"/>
                <w:sz w:val="24"/>
              </w:rPr>
              <w:t>（1）本项目</w:t>
            </w:r>
            <w:r>
              <w:rPr>
                <w:rFonts w:hint="eastAsia"/>
                <w:color w:val="auto"/>
                <w:sz w:val="24"/>
              </w:rPr>
              <w:t>检验科-</w:t>
            </w:r>
            <w:r>
              <w:rPr>
                <w:color w:val="auto"/>
                <w:sz w:val="24"/>
              </w:rPr>
              <w:t>化验室全部采用标准配置的试剂盒进行医学检验，试剂盒内的试剂年用量均较小。</w:t>
            </w:r>
            <w:r>
              <w:rPr>
                <w:rFonts w:hint="eastAsia"/>
                <w:color w:val="auto"/>
                <w:sz w:val="24"/>
              </w:rPr>
              <w:t>检验科-</w:t>
            </w:r>
            <w:r>
              <w:rPr>
                <w:color w:val="auto"/>
                <w:sz w:val="24"/>
              </w:rPr>
              <w:t>化验室产生的</w:t>
            </w:r>
            <w:r>
              <w:rPr>
                <w:rFonts w:hint="eastAsia"/>
                <w:color w:val="auto"/>
                <w:sz w:val="24"/>
                <w:lang w:val="en-US" w:eastAsia="zh-CN"/>
              </w:rPr>
              <w:t>含药剂废水</w:t>
            </w:r>
            <w:r>
              <w:rPr>
                <w:color w:val="auto"/>
                <w:sz w:val="24"/>
              </w:rPr>
              <w:t>单独收集后作为</w:t>
            </w:r>
            <w:r>
              <w:rPr>
                <w:rFonts w:hint="eastAsia"/>
                <w:color w:val="auto"/>
                <w:sz w:val="24"/>
                <w:lang w:val="en-US" w:eastAsia="zh-CN"/>
              </w:rPr>
              <w:t>医疗</w:t>
            </w:r>
            <w:r>
              <w:rPr>
                <w:color w:val="auto"/>
                <w:sz w:val="24"/>
              </w:rPr>
              <w:t>废物处理，不进入医院废水系统。</w:t>
            </w:r>
          </w:p>
          <w:p w14:paraId="483A58DD">
            <w:pPr>
              <w:spacing w:line="360" w:lineRule="auto"/>
              <w:ind w:firstLine="480" w:firstLineChars="200"/>
              <w:rPr>
                <w:color w:val="auto"/>
                <w:sz w:val="24"/>
              </w:rPr>
            </w:pPr>
            <w:r>
              <w:rPr>
                <w:color w:val="auto"/>
                <w:sz w:val="24"/>
              </w:rPr>
              <w:t>（2）项目照片采用打印机打印，不涉及显影定影剂的使用，无洗片废水的产生。</w:t>
            </w:r>
          </w:p>
          <w:p w14:paraId="185AAD61">
            <w:pPr>
              <w:pStyle w:val="27"/>
              <w:ind w:firstLine="480"/>
              <w:rPr>
                <w:color w:val="auto"/>
              </w:rPr>
            </w:pPr>
            <w:r>
              <w:rPr>
                <w:color w:val="auto"/>
              </w:rPr>
              <w:t>（3）本项目使用的主要药品均为常规用药，项目所使用的药品均有一定的毒性，病人要严格按照医生的要求服用。</w:t>
            </w:r>
            <w:bookmarkStart w:id="13" w:name="_Toc868"/>
            <w:bookmarkStart w:id="14" w:name="_Toc6273"/>
          </w:p>
          <w:p w14:paraId="53C51B92">
            <w:pPr>
              <w:pStyle w:val="27"/>
              <w:ind w:firstLine="480"/>
              <w:rPr>
                <w:color w:val="auto"/>
              </w:rPr>
            </w:pPr>
            <w:r>
              <w:rPr>
                <w:color w:val="auto"/>
              </w:rPr>
              <w:t>（4）消毒剂</w:t>
            </w:r>
            <w:bookmarkEnd w:id="13"/>
            <w:bookmarkEnd w:id="14"/>
            <w:r>
              <w:rPr>
                <w:color w:val="auto"/>
              </w:rPr>
              <w:t>：本项目使用的消毒剂主要为医用酒精、含氯消毒剂、碘伏、碘酒</w:t>
            </w:r>
            <w:r>
              <w:rPr>
                <w:rFonts w:hint="eastAsia"/>
                <w:color w:val="auto"/>
              </w:rPr>
              <w:t>、盐酸</w:t>
            </w:r>
            <w:r>
              <w:rPr>
                <w:color w:val="auto"/>
              </w:rPr>
              <w:t>等，用来浸泡医疗器械、楼内清洁等</w:t>
            </w:r>
            <w:r>
              <w:rPr>
                <w:rFonts w:hint="eastAsia"/>
                <w:color w:val="auto"/>
              </w:rPr>
              <w:t>，</w:t>
            </w:r>
            <w:r>
              <w:rPr>
                <w:color w:val="auto"/>
              </w:rPr>
              <w:t>涉及的主要化学品有生理盐水、医用酒精、碘酒、碘伏、</w:t>
            </w:r>
            <w:r>
              <w:rPr>
                <w:rFonts w:hint="eastAsia"/>
                <w:color w:val="auto"/>
              </w:rPr>
              <w:t>盐酸</w:t>
            </w:r>
            <w:r>
              <w:rPr>
                <w:color w:val="auto"/>
              </w:rPr>
              <w:t>，</w:t>
            </w:r>
            <w:r>
              <w:rPr>
                <w:rFonts w:hint="eastAsia"/>
                <w:color w:val="auto"/>
              </w:rPr>
              <w:t>检验科废水中和处理使用氢氧化钠，</w:t>
            </w:r>
            <w:r>
              <w:rPr>
                <w:color w:val="auto"/>
              </w:rPr>
              <w:t>其理化、毒理特性见下表所示。</w:t>
            </w:r>
          </w:p>
          <w:p w14:paraId="5D33EABF">
            <w:pPr>
              <w:snapToGrid w:val="0"/>
              <w:jc w:val="center"/>
              <w:rPr>
                <w:b/>
                <w:color w:val="auto"/>
                <w:szCs w:val="21"/>
                <w:lang w:val="zh-CN"/>
              </w:rPr>
            </w:pPr>
            <w:r>
              <w:rPr>
                <w:rFonts w:hint="eastAsia"/>
                <w:b/>
                <w:color w:val="auto"/>
                <w:szCs w:val="21"/>
                <w:lang w:val="zh-CN"/>
              </w:rPr>
              <w:t>表</w:t>
            </w:r>
            <w:r>
              <w:rPr>
                <w:rFonts w:hint="eastAsia"/>
                <w:b/>
                <w:color w:val="auto"/>
                <w:szCs w:val="21"/>
              </w:rPr>
              <w:t>2-</w:t>
            </w:r>
            <w:r>
              <w:rPr>
                <w:rFonts w:hint="eastAsia"/>
                <w:b/>
                <w:color w:val="auto"/>
                <w:szCs w:val="21"/>
                <w:lang w:val="en-US" w:eastAsia="zh-CN"/>
              </w:rPr>
              <w:t>3</w:t>
            </w:r>
            <w:r>
              <w:rPr>
                <w:rFonts w:hint="eastAsia"/>
                <w:b/>
                <w:color w:val="auto"/>
                <w:szCs w:val="21"/>
                <w:lang w:val="zh-CN"/>
              </w:rPr>
              <w:t xml:space="preserve">   </w:t>
            </w:r>
            <w:r>
              <w:rPr>
                <w:rFonts w:hint="eastAsia"/>
                <w:b/>
                <w:color w:val="auto"/>
                <w:szCs w:val="21"/>
              </w:rPr>
              <w:t>医院</w:t>
            </w:r>
            <w:r>
              <w:rPr>
                <w:rFonts w:hint="eastAsia"/>
                <w:b/>
                <w:color w:val="auto"/>
                <w:szCs w:val="21"/>
                <w:lang w:val="zh-CN"/>
              </w:rPr>
              <w:t>主要试剂及其理化性质</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841"/>
              <w:gridCol w:w="2278"/>
              <w:gridCol w:w="1926"/>
              <w:gridCol w:w="1645"/>
            </w:tblGrid>
            <w:tr w14:paraId="79948C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20" w:type="pct"/>
                  <w:vAlign w:val="center"/>
                </w:tcPr>
                <w:p w14:paraId="2B82681E">
                  <w:pPr>
                    <w:pStyle w:val="28"/>
                    <w:spacing w:before="24" w:after="24" w:line="240" w:lineRule="auto"/>
                    <w:rPr>
                      <w:rFonts w:ascii="Times New Roman"/>
                      <w:b/>
                      <w:bCs/>
                      <w:color w:val="auto"/>
                      <w:szCs w:val="21"/>
                    </w:rPr>
                  </w:pPr>
                  <w:r>
                    <w:rPr>
                      <w:rFonts w:ascii="Times New Roman"/>
                      <w:b/>
                      <w:bCs/>
                      <w:color w:val="auto"/>
                      <w:szCs w:val="21"/>
                    </w:rPr>
                    <w:t>序号</w:t>
                  </w:r>
                </w:p>
              </w:tc>
              <w:tc>
                <w:tcPr>
                  <w:tcW w:w="1096" w:type="pct"/>
                  <w:vAlign w:val="center"/>
                </w:tcPr>
                <w:p w14:paraId="7F94D9F0">
                  <w:pPr>
                    <w:pStyle w:val="28"/>
                    <w:spacing w:before="24" w:after="24" w:line="240" w:lineRule="auto"/>
                    <w:rPr>
                      <w:rFonts w:ascii="Times New Roman"/>
                      <w:b/>
                      <w:bCs/>
                      <w:color w:val="auto"/>
                      <w:szCs w:val="21"/>
                    </w:rPr>
                  </w:pPr>
                  <w:r>
                    <w:rPr>
                      <w:rFonts w:ascii="Times New Roman"/>
                      <w:b/>
                      <w:bCs/>
                      <w:color w:val="auto"/>
                      <w:szCs w:val="21"/>
                    </w:rPr>
                    <w:t>试剂名称</w:t>
                  </w:r>
                </w:p>
              </w:tc>
              <w:tc>
                <w:tcPr>
                  <w:tcW w:w="1356" w:type="pct"/>
                  <w:vAlign w:val="center"/>
                </w:tcPr>
                <w:p w14:paraId="4493E1E6">
                  <w:pPr>
                    <w:pStyle w:val="28"/>
                    <w:spacing w:before="24" w:after="24" w:line="240" w:lineRule="auto"/>
                    <w:rPr>
                      <w:rFonts w:ascii="Times New Roman"/>
                      <w:b/>
                      <w:bCs/>
                      <w:color w:val="auto"/>
                      <w:szCs w:val="21"/>
                    </w:rPr>
                  </w:pPr>
                  <w:r>
                    <w:rPr>
                      <w:rFonts w:ascii="Times New Roman"/>
                      <w:b/>
                      <w:bCs/>
                      <w:color w:val="auto"/>
                      <w:szCs w:val="21"/>
                    </w:rPr>
                    <w:t>规格</w:t>
                  </w:r>
                </w:p>
              </w:tc>
              <w:tc>
                <w:tcPr>
                  <w:tcW w:w="1146" w:type="pct"/>
                  <w:vAlign w:val="center"/>
                </w:tcPr>
                <w:p w14:paraId="7383F062">
                  <w:pPr>
                    <w:pStyle w:val="28"/>
                    <w:spacing w:before="24" w:after="24" w:line="240" w:lineRule="auto"/>
                    <w:rPr>
                      <w:rFonts w:ascii="Times New Roman"/>
                      <w:b/>
                      <w:bCs/>
                      <w:color w:val="auto"/>
                      <w:szCs w:val="21"/>
                    </w:rPr>
                  </w:pPr>
                  <w:r>
                    <w:rPr>
                      <w:rFonts w:hint="eastAsia" w:ascii="Times New Roman"/>
                      <w:b/>
                      <w:bCs/>
                      <w:color w:val="auto"/>
                      <w:szCs w:val="21"/>
                    </w:rPr>
                    <w:t>现有用量/a</w:t>
                  </w:r>
                </w:p>
              </w:tc>
              <w:tc>
                <w:tcPr>
                  <w:tcW w:w="979" w:type="pct"/>
                  <w:vAlign w:val="center"/>
                </w:tcPr>
                <w:p w14:paraId="7CC932A5">
                  <w:pPr>
                    <w:pStyle w:val="28"/>
                    <w:spacing w:before="24" w:after="24" w:line="240" w:lineRule="auto"/>
                    <w:rPr>
                      <w:rFonts w:ascii="Times New Roman"/>
                      <w:b/>
                      <w:bCs/>
                      <w:color w:val="auto"/>
                      <w:szCs w:val="21"/>
                    </w:rPr>
                  </w:pPr>
                  <w:r>
                    <w:rPr>
                      <w:rFonts w:hint="eastAsia" w:ascii="Times New Roman"/>
                      <w:b/>
                      <w:bCs/>
                      <w:color w:val="auto"/>
                      <w:szCs w:val="21"/>
                    </w:rPr>
                    <w:t>最大储存量</w:t>
                  </w:r>
                </w:p>
              </w:tc>
            </w:tr>
            <w:tr w14:paraId="5B1A01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0" w:type="pct"/>
                  <w:vAlign w:val="center"/>
                </w:tcPr>
                <w:p w14:paraId="2EACF029">
                  <w:pPr>
                    <w:pStyle w:val="28"/>
                    <w:spacing w:before="24" w:after="24" w:line="240" w:lineRule="auto"/>
                    <w:rPr>
                      <w:rFonts w:hint="eastAsia" w:ascii="Times New Roman" w:eastAsia="宋体"/>
                      <w:b/>
                      <w:bCs/>
                      <w:color w:val="auto"/>
                      <w:szCs w:val="21"/>
                      <w:lang w:val="en-US" w:eastAsia="zh-CN"/>
                    </w:rPr>
                  </w:pPr>
                  <w:r>
                    <w:rPr>
                      <w:rFonts w:hint="eastAsia" w:ascii="Times New Roman"/>
                      <w:b w:val="0"/>
                      <w:bCs w:val="0"/>
                      <w:color w:val="auto"/>
                      <w:szCs w:val="21"/>
                      <w:lang w:val="en-US" w:eastAsia="zh-CN"/>
                    </w:rPr>
                    <w:t>1</w:t>
                  </w:r>
                </w:p>
              </w:tc>
              <w:tc>
                <w:tcPr>
                  <w:tcW w:w="1096" w:type="pct"/>
                  <w:vAlign w:val="center"/>
                </w:tcPr>
                <w:p w14:paraId="2E50D98D">
                  <w:pPr>
                    <w:pStyle w:val="28"/>
                    <w:spacing w:before="24" w:after="24" w:line="240" w:lineRule="auto"/>
                    <w:rPr>
                      <w:rFonts w:ascii="Times New Roman"/>
                      <w:b/>
                      <w:bCs/>
                      <w:color w:val="auto"/>
                      <w:szCs w:val="21"/>
                    </w:rPr>
                  </w:pPr>
                  <w:r>
                    <w:rPr>
                      <w:rFonts w:hint="eastAsia" w:ascii="Times New Roman" w:hAnsi="Times New Roman" w:eastAsia="宋体" w:cs="Times New Roman"/>
                      <w:color w:val="auto"/>
                      <w:sz w:val="21"/>
                      <w:szCs w:val="21"/>
                      <w:lang w:val="en-US" w:eastAsia="zh-CN"/>
                    </w:rPr>
                    <w:t>服用药品</w:t>
                  </w:r>
                </w:p>
              </w:tc>
              <w:tc>
                <w:tcPr>
                  <w:tcW w:w="1356" w:type="pct"/>
                  <w:vAlign w:val="center"/>
                </w:tcPr>
                <w:p w14:paraId="00A0E86C">
                  <w:pPr>
                    <w:pStyle w:val="28"/>
                    <w:spacing w:before="24" w:after="24" w:line="240" w:lineRule="auto"/>
                    <w:rPr>
                      <w:rFonts w:hint="eastAsia" w:ascii="Times New Roman" w:eastAsia="宋体"/>
                      <w:b/>
                      <w:bCs/>
                      <w:color w:val="auto"/>
                      <w:szCs w:val="21"/>
                      <w:lang w:val="en-US" w:eastAsia="zh-CN"/>
                    </w:rPr>
                  </w:pPr>
                  <w:r>
                    <w:rPr>
                      <w:rFonts w:hint="eastAsia" w:ascii="Times New Roman"/>
                      <w:b/>
                      <w:bCs/>
                      <w:color w:val="auto"/>
                      <w:szCs w:val="21"/>
                      <w:lang w:val="en-US" w:eastAsia="zh-CN"/>
                    </w:rPr>
                    <w:t>/</w:t>
                  </w:r>
                </w:p>
              </w:tc>
              <w:tc>
                <w:tcPr>
                  <w:tcW w:w="1146" w:type="pct"/>
                  <w:vAlign w:val="center"/>
                </w:tcPr>
                <w:p w14:paraId="6F803E29">
                  <w:pPr>
                    <w:pStyle w:val="28"/>
                    <w:spacing w:before="24" w:after="24" w:line="240" w:lineRule="auto"/>
                    <w:rPr>
                      <w:rFonts w:hint="eastAsia" w:ascii="Times New Roman"/>
                      <w:b/>
                      <w:bCs/>
                      <w:color w:val="auto"/>
                      <w:szCs w:val="21"/>
                    </w:rPr>
                  </w:pPr>
                  <w:r>
                    <w:rPr>
                      <w:rFonts w:hint="eastAsia" w:ascii="Times New Roman" w:hAnsi="Times New Roman" w:eastAsia="宋体" w:cs="Times New Roman"/>
                      <w:color w:val="auto"/>
                      <w:sz w:val="21"/>
                      <w:szCs w:val="21"/>
                      <w:lang w:val="en-US" w:eastAsia="zh-CN"/>
                    </w:rPr>
                    <w:t>根据医疗情况定</w:t>
                  </w:r>
                </w:p>
              </w:tc>
              <w:tc>
                <w:tcPr>
                  <w:tcW w:w="979" w:type="pct"/>
                  <w:vAlign w:val="center"/>
                </w:tcPr>
                <w:p w14:paraId="646AFCD6">
                  <w:pPr>
                    <w:pStyle w:val="28"/>
                    <w:spacing w:before="24" w:after="24" w:line="240" w:lineRule="auto"/>
                    <w:rPr>
                      <w:rFonts w:hint="default" w:ascii="Times New Roman" w:eastAsia="宋体"/>
                      <w:b/>
                      <w:bCs/>
                      <w:color w:val="auto"/>
                      <w:szCs w:val="21"/>
                      <w:lang w:val="en-US" w:eastAsia="zh-CN"/>
                    </w:rPr>
                  </w:pPr>
                  <w:r>
                    <w:rPr>
                      <w:rFonts w:hint="eastAsia" w:ascii="Times New Roman"/>
                      <w:b/>
                      <w:bCs/>
                      <w:color w:val="auto"/>
                      <w:szCs w:val="21"/>
                      <w:lang w:val="en-US" w:eastAsia="zh-CN"/>
                    </w:rPr>
                    <w:t>/</w:t>
                  </w:r>
                </w:p>
              </w:tc>
            </w:tr>
            <w:tr w14:paraId="591956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20" w:type="pct"/>
                  <w:shd w:val="clear" w:color="auto" w:fill="auto"/>
                  <w:vAlign w:val="center"/>
                </w:tcPr>
                <w:p w14:paraId="19A8B31D">
                  <w:pPr>
                    <w:pStyle w:val="28"/>
                    <w:spacing w:before="24" w:after="24" w:line="240" w:lineRule="auto"/>
                    <w:rPr>
                      <w:rFonts w:ascii="Times New Roman" w:hAnsi="Times New Roman" w:eastAsia="宋体" w:cs="Times New Roman"/>
                      <w:color w:val="auto"/>
                      <w:kern w:val="0"/>
                      <w:sz w:val="21"/>
                      <w:szCs w:val="21"/>
                      <w:lang w:val="en-US" w:eastAsia="zh-CN" w:bidi="ar-SA"/>
                    </w:rPr>
                  </w:pPr>
                  <w:r>
                    <w:rPr>
                      <w:rFonts w:ascii="Times New Roman"/>
                      <w:color w:val="auto"/>
                      <w:szCs w:val="21"/>
                    </w:rPr>
                    <w:t>2</w:t>
                  </w:r>
                </w:p>
              </w:tc>
              <w:tc>
                <w:tcPr>
                  <w:tcW w:w="1096" w:type="pct"/>
                  <w:vAlign w:val="center"/>
                </w:tcPr>
                <w:p w14:paraId="00CDC659">
                  <w:pPr>
                    <w:pStyle w:val="28"/>
                    <w:spacing w:before="24" w:after="24" w:line="240" w:lineRule="auto"/>
                    <w:rPr>
                      <w:rFonts w:ascii="Times New Roman"/>
                      <w:color w:val="auto"/>
                      <w:szCs w:val="21"/>
                    </w:rPr>
                  </w:pPr>
                  <w:r>
                    <w:rPr>
                      <w:rFonts w:ascii="Times New Roman"/>
                      <w:color w:val="auto"/>
                      <w:szCs w:val="21"/>
                    </w:rPr>
                    <w:t>生理盐水</w:t>
                  </w:r>
                </w:p>
              </w:tc>
              <w:tc>
                <w:tcPr>
                  <w:tcW w:w="1356" w:type="pct"/>
                  <w:vAlign w:val="center"/>
                </w:tcPr>
                <w:p w14:paraId="41397E93">
                  <w:pPr>
                    <w:pStyle w:val="28"/>
                    <w:spacing w:before="24" w:after="24" w:line="240" w:lineRule="auto"/>
                    <w:rPr>
                      <w:rFonts w:ascii="Times New Roman"/>
                      <w:color w:val="auto"/>
                      <w:szCs w:val="21"/>
                    </w:rPr>
                  </w:pPr>
                  <w:r>
                    <w:rPr>
                      <w:rFonts w:ascii="Times New Roman"/>
                      <w:color w:val="auto"/>
                      <w:szCs w:val="21"/>
                    </w:rPr>
                    <w:t>500mL/瓶</w:t>
                  </w:r>
                </w:p>
              </w:tc>
              <w:tc>
                <w:tcPr>
                  <w:tcW w:w="1146" w:type="pct"/>
                  <w:shd w:val="clear" w:color="auto" w:fill="auto"/>
                  <w:vAlign w:val="center"/>
                </w:tcPr>
                <w:p w14:paraId="356D0342">
                  <w:pPr>
                    <w:pStyle w:val="28"/>
                    <w:spacing w:before="24" w:after="24" w:line="240" w:lineRule="auto"/>
                    <w:rPr>
                      <w:rFonts w:ascii="Times New Roman"/>
                      <w:color w:val="auto"/>
                      <w:szCs w:val="21"/>
                    </w:rPr>
                  </w:pPr>
                  <w:r>
                    <w:rPr>
                      <w:rFonts w:hint="eastAsia" w:ascii="Times New Roman"/>
                      <w:color w:val="auto"/>
                      <w:szCs w:val="21"/>
                    </w:rPr>
                    <w:t>690</w:t>
                  </w:r>
                  <w:r>
                    <w:rPr>
                      <w:rFonts w:ascii="Times New Roman"/>
                      <w:color w:val="auto"/>
                      <w:szCs w:val="21"/>
                    </w:rPr>
                    <w:t>瓶</w:t>
                  </w:r>
                </w:p>
              </w:tc>
              <w:tc>
                <w:tcPr>
                  <w:tcW w:w="979" w:type="pct"/>
                  <w:vAlign w:val="center"/>
                </w:tcPr>
                <w:p w14:paraId="3A88BF33">
                  <w:pPr>
                    <w:pStyle w:val="28"/>
                    <w:spacing w:before="24" w:after="24" w:line="240" w:lineRule="auto"/>
                    <w:rPr>
                      <w:rFonts w:ascii="Times New Roman"/>
                      <w:color w:val="auto"/>
                      <w:szCs w:val="21"/>
                    </w:rPr>
                  </w:pPr>
                  <w:r>
                    <w:rPr>
                      <w:rFonts w:hint="eastAsia" w:ascii="Times New Roman"/>
                      <w:color w:val="auto"/>
                      <w:szCs w:val="21"/>
                    </w:rPr>
                    <w:t>100</w:t>
                  </w:r>
                  <w:r>
                    <w:rPr>
                      <w:rFonts w:ascii="Times New Roman"/>
                      <w:color w:val="auto"/>
                      <w:szCs w:val="21"/>
                    </w:rPr>
                    <w:t>瓶</w:t>
                  </w:r>
                </w:p>
              </w:tc>
            </w:tr>
            <w:tr w14:paraId="042ED0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20" w:type="pct"/>
                  <w:shd w:val="clear" w:color="auto" w:fill="auto"/>
                  <w:vAlign w:val="center"/>
                </w:tcPr>
                <w:p w14:paraId="1337C3AB">
                  <w:pPr>
                    <w:pStyle w:val="28"/>
                    <w:spacing w:before="24" w:after="24" w:line="240" w:lineRule="auto"/>
                    <w:rPr>
                      <w:rFonts w:ascii="Times New Roman" w:hAnsi="Times New Roman" w:eastAsia="宋体" w:cs="Times New Roman"/>
                      <w:color w:val="auto"/>
                      <w:kern w:val="0"/>
                      <w:sz w:val="21"/>
                      <w:szCs w:val="21"/>
                      <w:lang w:val="en-US" w:eastAsia="zh-CN" w:bidi="ar-SA"/>
                    </w:rPr>
                  </w:pPr>
                  <w:r>
                    <w:rPr>
                      <w:rFonts w:ascii="Times New Roman"/>
                      <w:color w:val="auto"/>
                      <w:szCs w:val="21"/>
                    </w:rPr>
                    <w:t>3</w:t>
                  </w:r>
                </w:p>
              </w:tc>
              <w:tc>
                <w:tcPr>
                  <w:tcW w:w="1096" w:type="pct"/>
                  <w:vAlign w:val="center"/>
                </w:tcPr>
                <w:p w14:paraId="1672CF45">
                  <w:pPr>
                    <w:pStyle w:val="28"/>
                    <w:spacing w:before="24" w:after="24" w:line="240" w:lineRule="auto"/>
                    <w:rPr>
                      <w:rFonts w:ascii="Times New Roman"/>
                      <w:color w:val="auto"/>
                      <w:szCs w:val="21"/>
                    </w:rPr>
                  </w:pPr>
                  <w:r>
                    <w:rPr>
                      <w:rFonts w:ascii="Times New Roman"/>
                      <w:color w:val="auto"/>
                      <w:szCs w:val="21"/>
                    </w:rPr>
                    <w:t>医用酒精</w:t>
                  </w:r>
                </w:p>
              </w:tc>
              <w:tc>
                <w:tcPr>
                  <w:tcW w:w="1356" w:type="pct"/>
                  <w:vAlign w:val="center"/>
                </w:tcPr>
                <w:p w14:paraId="1164677B">
                  <w:pPr>
                    <w:pStyle w:val="28"/>
                    <w:spacing w:before="24" w:after="24" w:line="240" w:lineRule="auto"/>
                    <w:rPr>
                      <w:rFonts w:ascii="Times New Roman"/>
                      <w:color w:val="auto"/>
                      <w:szCs w:val="21"/>
                    </w:rPr>
                  </w:pPr>
                  <w:r>
                    <w:rPr>
                      <w:rFonts w:ascii="Times New Roman"/>
                      <w:color w:val="auto"/>
                      <w:szCs w:val="21"/>
                    </w:rPr>
                    <w:t>500mL/瓶</w:t>
                  </w:r>
                </w:p>
              </w:tc>
              <w:tc>
                <w:tcPr>
                  <w:tcW w:w="1146" w:type="pct"/>
                  <w:shd w:val="clear" w:color="auto" w:fill="auto"/>
                  <w:vAlign w:val="center"/>
                </w:tcPr>
                <w:p w14:paraId="4C6C4305">
                  <w:pPr>
                    <w:pStyle w:val="28"/>
                    <w:spacing w:before="24" w:after="24" w:line="240" w:lineRule="auto"/>
                    <w:rPr>
                      <w:rFonts w:ascii="Times New Roman"/>
                      <w:color w:val="auto"/>
                      <w:szCs w:val="21"/>
                    </w:rPr>
                  </w:pPr>
                  <w:r>
                    <w:rPr>
                      <w:rFonts w:ascii="Times New Roman"/>
                      <w:color w:val="auto"/>
                      <w:szCs w:val="21"/>
                    </w:rPr>
                    <w:t>100瓶</w:t>
                  </w:r>
                </w:p>
              </w:tc>
              <w:tc>
                <w:tcPr>
                  <w:tcW w:w="979" w:type="pct"/>
                  <w:vAlign w:val="center"/>
                </w:tcPr>
                <w:p w14:paraId="0F0EC852">
                  <w:pPr>
                    <w:pStyle w:val="28"/>
                    <w:spacing w:before="24" w:after="24" w:line="240" w:lineRule="auto"/>
                    <w:rPr>
                      <w:rFonts w:ascii="Times New Roman"/>
                      <w:color w:val="auto"/>
                      <w:szCs w:val="21"/>
                    </w:rPr>
                  </w:pPr>
                  <w:r>
                    <w:rPr>
                      <w:rFonts w:ascii="Times New Roman"/>
                      <w:color w:val="auto"/>
                      <w:szCs w:val="21"/>
                    </w:rPr>
                    <w:t>10瓶</w:t>
                  </w:r>
                </w:p>
              </w:tc>
            </w:tr>
            <w:tr w14:paraId="6691A7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20" w:type="pct"/>
                  <w:shd w:val="clear" w:color="auto" w:fill="auto"/>
                  <w:vAlign w:val="center"/>
                </w:tcPr>
                <w:p w14:paraId="430EBDF0">
                  <w:pPr>
                    <w:pStyle w:val="28"/>
                    <w:spacing w:before="24" w:after="24" w:line="240" w:lineRule="auto"/>
                    <w:rPr>
                      <w:rFonts w:ascii="Times New Roman" w:hAnsi="Times New Roman" w:eastAsia="宋体" w:cs="Times New Roman"/>
                      <w:color w:val="auto"/>
                      <w:kern w:val="0"/>
                      <w:sz w:val="21"/>
                      <w:szCs w:val="21"/>
                      <w:lang w:val="en-US" w:eastAsia="zh-CN" w:bidi="ar-SA"/>
                    </w:rPr>
                  </w:pPr>
                  <w:r>
                    <w:rPr>
                      <w:rFonts w:ascii="Times New Roman"/>
                      <w:color w:val="auto"/>
                      <w:szCs w:val="21"/>
                    </w:rPr>
                    <w:t>4</w:t>
                  </w:r>
                </w:p>
              </w:tc>
              <w:tc>
                <w:tcPr>
                  <w:tcW w:w="1096" w:type="pct"/>
                  <w:vAlign w:val="center"/>
                </w:tcPr>
                <w:p w14:paraId="69230EB3">
                  <w:pPr>
                    <w:pStyle w:val="28"/>
                    <w:spacing w:before="24" w:after="24" w:line="240" w:lineRule="auto"/>
                    <w:rPr>
                      <w:rFonts w:ascii="Times New Roman"/>
                      <w:color w:val="auto"/>
                      <w:szCs w:val="21"/>
                    </w:rPr>
                  </w:pPr>
                  <w:r>
                    <w:rPr>
                      <w:rFonts w:ascii="Times New Roman"/>
                      <w:color w:val="auto"/>
                      <w:szCs w:val="21"/>
                    </w:rPr>
                    <w:t>碘酒</w:t>
                  </w:r>
                </w:p>
              </w:tc>
              <w:tc>
                <w:tcPr>
                  <w:tcW w:w="1356" w:type="pct"/>
                  <w:vAlign w:val="center"/>
                </w:tcPr>
                <w:p w14:paraId="0348DE6B">
                  <w:pPr>
                    <w:pStyle w:val="28"/>
                    <w:spacing w:before="24" w:after="24" w:line="240" w:lineRule="auto"/>
                    <w:rPr>
                      <w:rFonts w:ascii="Times New Roman"/>
                      <w:color w:val="auto"/>
                      <w:szCs w:val="21"/>
                    </w:rPr>
                  </w:pPr>
                  <w:r>
                    <w:rPr>
                      <w:rFonts w:ascii="Times New Roman"/>
                      <w:color w:val="auto"/>
                      <w:szCs w:val="21"/>
                    </w:rPr>
                    <w:t>500mL/瓶</w:t>
                  </w:r>
                </w:p>
              </w:tc>
              <w:tc>
                <w:tcPr>
                  <w:tcW w:w="1146" w:type="pct"/>
                  <w:shd w:val="clear" w:color="auto" w:fill="auto"/>
                  <w:vAlign w:val="center"/>
                </w:tcPr>
                <w:p w14:paraId="1AF194B6">
                  <w:pPr>
                    <w:pStyle w:val="28"/>
                    <w:spacing w:before="24" w:after="24" w:line="240" w:lineRule="auto"/>
                    <w:rPr>
                      <w:rFonts w:ascii="Times New Roman"/>
                      <w:color w:val="auto"/>
                      <w:szCs w:val="21"/>
                    </w:rPr>
                  </w:pPr>
                  <w:r>
                    <w:rPr>
                      <w:rFonts w:hint="eastAsia" w:ascii="Times New Roman"/>
                      <w:color w:val="auto"/>
                      <w:szCs w:val="21"/>
                    </w:rPr>
                    <w:t>80瓶</w:t>
                  </w:r>
                </w:p>
              </w:tc>
              <w:tc>
                <w:tcPr>
                  <w:tcW w:w="979" w:type="pct"/>
                  <w:vAlign w:val="center"/>
                </w:tcPr>
                <w:p w14:paraId="3C84AE75">
                  <w:pPr>
                    <w:pStyle w:val="28"/>
                    <w:spacing w:before="24" w:after="24" w:line="240" w:lineRule="auto"/>
                    <w:rPr>
                      <w:rFonts w:ascii="Times New Roman"/>
                      <w:color w:val="auto"/>
                      <w:szCs w:val="21"/>
                    </w:rPr>
                  </w:pPr>
                  <w:r>
                    <w:rPr>
                      <w:rFonts w:hint="eastAsia" w:ascii="Times New Roman"/>
                      <w:color w:val="auto"/>
                      <w:szCs w:val="21"/>
                    </w:rPr>
                    <w:t>8瓶</w:t>
                  </w:r>
                </w:p>
              </w:tc>
            </w:tr>
            <w:tr w14:paraId="222F9B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20" w:type="pct"/>
                  <w:shd w:val="clear" w:color="auto" w:fill="auto"/>
                  <w:vAlign w:val="center"/>
                </w:tcPr>
                <w:p w14:paraId="5BF20A38">
                  <w:pPr>
                    <w:pStyle w:val="28"/>
                    <w:spacing w:before="24" w:after="24" w:line="240" w:lineRule="auto"/>
                    <w:rPr>
                      <w:rFonts w:ascii="Times New Roman" w:hAnsi="Times New Roman" w:eastAsia="宋体" w:cs="Times New Roman"/>
                      <w:color w:val="auto"/>
                      <w:kern w:val="0"/>
                      <w:sz w:val="21"/>
                      <w:szCs w:val="21"/>
                      <w:lang w:val="en-US" w:eastAsia="zh-CN" w:bidi="ar-SA"/>
                    </w:rPr>
                  </w:pPr>
                  <w:r>
                    <w:rPr>
                      <w:rFonts w:ascii="Times New Roman"/>
                      <w:color w:val="auto"/>
                      <w:szCs w:val="21"/>
                    </w:rPr>
                    <w:t>5</w:t>
                  </w:r>
                </w:p>
              </w:tc>
              <w:tc>
                <w:tcPr>
                  <w:tcW w:w="1096" w:type="pct"/>
                  <w:vAlign w:val="center"/>
                </w:tcPr>
                <w:p w14:paraId="3A916BA7">
                  <w:pPr>
                    <w:pStyle w:val="28"/>
                    <w:spacing w:before="24" w:after="24" w:line="240" w:lineRule="auto"/>
                    <w:rPr>
                      <w:rFonts w:ascii="Times New Roman"/>
                      <w:color w:val="auto"/>
                      <w:szCs w:val="21"/>
                    </w:rPr>
                  </w:pPr>
                  <w:r>
                    <w:rPr>
                      <w:rFonts w:ascii="Times New Roman"/>
                      <w:color w:val="auto"/>
                      <w:szCs w:val="21"/>
                    </w:rPr>
                    <w:t>碘伏</w:t>
                  </w:r>
                </w:p>
              </w:tc>
              <w:tc>
                <w:tcPr>
                  <w:tcW w:w="1356" w:type="pct"/>
                  <w:vAlign w:val="center"/>
                </w:tcPr>
                <w:p w14:paraId="31096392">
                  <w:pPr>
                    <w:pStyle w:val="28"/>
                    <w:spacing w:before="24" w:after="24" w:line="240" w:lineRule="auto"/>
                    <w:rPr>
                      <w:rFonts w:ascii="Times New Roman"/>
                      <w:color w:val="auto"/>
                      <w:szCs w:val="21"/>
                    </w:rPr>
                  </w:pPr>
                  <w:r>
                    <w:rPr>
                      <w:rFonts w:ascii="Times New Roman"/>
                      <w:color w:val="auto"/>
                      <w:szCs w:val="21"/>
                    </w:rPr>
                    <w:t>60mL/瓶</w:t>
                  </w:r>
                </w:p>
              </w:tc>
              <w:tc>
                <w:tcPr>
                  <w:tcW w:w="1146" w:type="pct"/>
                  <w:shd w:val="clear" w:color="auto" w:fill="auto"/>
                  <w:vAlign w:val="center"/>
                </w:tcPr>
                <w:p w14:paraId="1F24EED5">
                  <w:pPr>
                    <w:pStyle w:val="28"/>
                    <w:spacing w:before="24" w:after="24" w:line="240" w:lineRule="auto"/>
                    <w:rPr>
                      <w:rFonts w:ascii="Times New Roman"/>
                      <w:color w:val="auto"/>
                      <w:szCs w:val="21"/>
                    </w:rPr>
                  </w:pPr>
                  <w:r>
                    <w:rPr>
                      <w:rFonts w:hint="eastAsia" w:ascii="Times New Roman"/>
                      <w:color w:val="auto"/>
                      <w:szCs w:val="21"/>
                    </w:rPr>
                    <w:t>336</w:t>
                  </w:r>
                  <w:r>
                    <w:rPr>
                      <w:rFonts w:ascii="Times New Roman"/>
                      <w:color w:val="auto"/>
                      <w:szCs w:val="21"/>
                    </w:rPr>
                    <w:t>瓶</w:t>
                  </w:r>
                </w:p>
              </w:tc>
              <w:tc>
                <w:tcPr>
                  <w:tcW w:w="979" w:type="pct"/>
                  <w:vAlign w:val="center"/>
                </w:tcPr>
                <w:p w14:paraId="3CCEDD3E">
                  <w:pPr>
                    <w:pStyle w:val="28"/>
                    <w:spacing w:before="24" w:after="24" w:line="240" w:lineRule="auto"/>
                    <w:rPr>
                      <w:rFonts w:ascii="Times New Roman"/>
                      <w:color w:val="auto"/>
                      <w:szCs w:val="21"/>
                    </w:rPr>
                  </w:pPr>
                  <w:r>
                    <w:rPr>
                      <w:rFonts w:hint="eastAsia" w:ascii="Times New Roman"/>
                      <w:color w:val="auto"/>
                      <w:szCs w:val="21"/>
                    </w:rPr>
                    <w:t>336</w:t>
                  </w:r>
                  <w:r>
                    <w:rPr>
                      <w:rFonts w:ascii="Times New Roman"/>
                      <w:color w:val="auto"/>
                      <w:szCs w:val="21"/>
                    </w:rPr>
                    <w:t>瓶</w:t>
                  </w:r>
                </w:p>
              </w:tc>
            </w:tr>
            <w:tr w14:paraId="3B929C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420" w:type="pct"/>
                  <w:shd w:val="clear" w:color="auto" w:fill="auto"/>
                  <w:vAlign w:val="center"/>
                </w:tcPr>
                <w:p w14:paraId="676873AD">
                  <w:pPr>
                    <w:pStyle w:val="28"/>
                    <w:spacing w:before="24" w:after="24" w:line="240" w:lineRule="auto"/>
                    <w:rPr>
                      <w:rFonts w:ascii="Times New Roman" w:hAnsi="Times New Roman" w:eastAsia="宋体" w:cs="Times New Roman"/>
                      <w:color w:val="auto"/>
                      <w:kern w:val="0"/>
                      <w:sz w:val="21"/>
                      <w:szCs w:val="21"/>
                      <w:lang w:val="en-US" w:eastAsia="zh-CN" w:bidi="ar-SA"/>
                    </w:rPr>
                  </w:pPr>
                  <w:r>
                    <w:rPr>
                      <w:rFonts w:ascii="Times New Roman"/>
                      <w:color w:val="auto"/>
                      <w:szCs w:val="21"/>
                    </w:rPr>
                    <w:t>6</w:t>
                  </w:r>
                </w:p>
              </w:tc>
              <w:tc>
                <w:tcPr>
                  <w:tcW w:w="1096" w:type="pct"/>
                  <w:vAlign w:val="center"/>
                </w:tcPr>
                <w:p w14:paraId="19859ACB">
                  <w:pPr>
                    <w:pStyle w:val="28"/>
                    <w:spacing w:before="24" w:after="24" w:line="240" w:lineRule="auto"/>
                    <w:rPr>
                      <w:rFonts w:ascii="Times New Roman"/>
                      <w:color w:val="auto"/>
                      <w:szCs w:val="21"/>
                    </w:rPr>
                  </w:pPr>
                  <w:r>
                    <w:rPr>
                      <w:rFonts w:ascii="Times New Roman"/>
                      <w:color w:val="auto"/>
                      <w:szCs w:val="21"/>
                    </w:rPr>
                    <w:t>洁肤柔速干手消毒剂</w:t>
                  </w:r>
                </w:p>
              </w:tc>
              <w:tc>
                <w:tcPr>
                  <w:tcW w:w="1356" w:type="pct"/>
                  <w:vAlign w:val="center"/>
                </w:tcPr>
                <w:p w14:paraId="4E069E84">
                  <w:pPr>
                    <w:pStyle w:val="28"/>
                    <w:spacing w:before="24" w:after="24" w:line="240" w:lineRule="auto"/>
                    <w:rPr>
                      <w:rFonts w:ascii="Times New Roman"/>
                      <w:color w:val="auto"/>
                      <w:szCs w:val="21"/>
                    </w:rPr>
                  </w:pPr>
                  <w:r>
                    <w:rPr>
                      <w:rFonts w:ascii="Times New Roman"/>
                      <w:color w:val="auto"/>
                      <w:szCs w:val="21"/>
                    </w:rPr>
                    <w:t>500mL/瓶</w:t>
                  </w:r>
                </w:p>
              </w:tc>
              <w:tc>
                <w:tcPr>
                  <w:tcW w:w="1146" w:type="pct"/>
                  <w:shd w:val="clear" w:color="auto" w:fill="auto"/>
                  <w:vAlign w:val="center"/>
                </w:tcPr>
                <w:p w14:paraId="56649A38">
                  <w:pPr>
                    <w:pStyle w:val="28"/>
                    <w:spacing w:before="24" w:after="24" w:line="240" w:lineRule="auto"/>
                    <w:rPr>
                      <w:rFonts w:ascii="Times New Roman"/>
                      <w:color w:val="auto"/>
                      <w:szCs w:val="21"/>
                    </w:rPr>
                  </w:pPr>
                  <w:r>
                    <w:rPr>
                      <w:rFonts w:hint="eastAsia" w:ascii="Times New Roman"/>
                      <w:color w:val="auto"/>
                      <w:szCs w:val="21"/>
                    </w:rPr>
                    <w:t>50瓶</w:t>
                  </w:r>
                </w:p>
              </w:tc>
              <w:tc>
                <w:tcPr>
                  <w:tcW w:w="979" w:type="pct"/>
                  <w:vAlign w:val="center"/>
                </w:tcPr>
                <w:p w14:paraId="0E3DCCD3">
                  <w:pPr>
                    <w:pStyle w:val="28"/>
                    <w:spacing w:before="24" w:after="24" w:line="240" w:lineRule="auto"/>
                    <w:rPr>
                      <w:rFonts w:ascii="Times New Roman"/>
                      <w:color w:val="auto"/>
                      <w:szCs w:val="21"/>
                    </w:rPr>
                  </w:pPr>
                  <w:r>
                    <w:rPr>
                      <w:rFonts w:hint="eastAsia" w:ascii="Times New Roman"/>
                      <w:color w:val="auto"/>
                      <w:szCs w:val="21"/>
                    </w:rPr>
                    <w:t>5瓶</w:t>
                  </w:r>
                </w:p>
              </w:tc>
            </w:tr>
            <w:tr w14:paraId="03EBD5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20" w:type="pct"/>
                  <w:shd w:val="clear" w:color="auto" w:fill="auto"/>
                  <w:vAlign w:val="center"/>
                </w:tcPr>
                <w:p w14:paraId="60E82480">
                  <w:pPr>
                    <w:pStyle w:val="28"/>
                    <w:spacing w:before="24" w:after="24" w:line="240" w:lineRule="auto"/>
                    <w:rPr>
                      <w:rFonts w:hint="eastAsia" w:ascii="Times New Roman" w:eastAsia="宋体"/>
                      <w:color w:val="auto"/>
                      <w:szCs w:val="21"/>
                      <w:lang w:val="en-US" w:eastAsia="zh-CN"/>
                    </w:rPr>
                  </w:pPr>
                  <w:r>
                    <w:rPr>
                      <w:rFonts w:hint="eastAsia" w:ascii="Times New Roman"/>
                      <w:color w:val="auto"/>
                      <w:szCs w:val="21"/>
                      <w:lang w:val="en-US" w:eastAsia="zh-CN"/>
                    </w:rPr>
                    <w:t>7</w:t>
                  </w:r>
                </w:p>
              </w:tc>
              <w:tc>
                <w:tcPr>
                  <w:tcW w:w="1096" w:type="pct"/>
                  <w:vAlign w:val="center"/>
                </w:tcPr>
                <w:p w14:paraId="64408EE4">
                  <w:pPr>
                    <w:pStyle w:val="28"/>
                    <w:spacing w:before="24" w:after="24" w:line="240" w:lineRule="auto"/>
                    <w:rPr>
                      <w:rFonts w:hint="eastAsia" w:ascii="Times New Roman" w:eastAsia="宋体"/>
                      <w:color w:val="auto"/>
                      <w:szCs w:val="21"/>
                      <w:lang w:val="en-US" w:eastAsia="zh-CN"/>
                    </w:rPr>
                  </w:pPr>
                  <w:r>
                    <w:rPr>
                      <w:rFonts w:hint="eastAsia" w:ascii="Times New Roman"/>
                      <w:color w:val="auto"/>
                      <w:szCs w:val="21"/>
                      <w:lang w:val="en-US" w:eastAsia="zh-CN"/>
                    </w:rPr>
                    <w:t>盐酸（浓度38%）</w:t>
                  </w:r>
                </w:p>
              </w:tc>
              <w:tc>
                <w:tcPr>
                  <w:tcW w:w="1356" w:type="pct"/>
                  <w:vAlign w:val="center"/>
                </w:tcPr>
                <w:p w14:paraId="2C3E8FF5">
                  <w:pPr>
                    <w:pStyle w:val="28"/>
                    <w:spacing w:before="24" w:after="24" w:line="240" w:lineRule="auto"/>
                    <w:rPr>
                      <w:rFonts w:ascii="Times New Roman"/>
                      <w:color w:val="auto"/>
                      <w:szCs w:val="21"/>
                    </w:rPr>
                  </w:pPr>
                  <w:r>
                    <w:rPr>
                      <w:rFonts w:hint="eastAsia" w:ascii="Times New Roman"/>
                      <w:color w:val="auto"/>
                      <w:szCs w:val="21"/>
                      <w:lang w:val="en-US" w:eastAsia="zh-CN"/>
                    </w:rPr>
                    <w:t>250</w:t>
                  </w:r>
                  <w:r>
                    <w:rPr>
                      <w:rFonts w:ascii="Times New Roman"/>
                      <w:color w:val="auto"/>
                      <w:szCs w:val="21"/>
                    </w:rPr>
                    <w:t>mL/瓶</w:t>
                  </w:r>
                </w:p>
              </w:tc>
              <w:tc>
                <w:tcPr>
                  <w:tcW w:w="1146" w:type="pct"/>
                  <w:shd w:val="clear" w:color="auto" w:fill="auto"/>
                  <w:vAlign w:val="center"/>
                </w:tcPr>
                <w:p w14:paraId="4C252AD1">
                  <w:pPr>
                    <w:pStyle w:val="28"/>
                    <w:spacing w:before="24" w:after="24" w:line="240" w:lineRule="auto"/>
                    <w:rPr>
                      <w:rFonts w:hint="default" w:ascii="Times New Roman" w:eastAsia="宋体"/>
                      <w:color w:val="auto"/>
                      <w:szCs w:val="21"/>
                      <w:lang w:val="en-US" w:eastAsia="zh-CN"/>
                    </w:rPr>
                  </w:pPr>
                  <w:r>
                    <w:rPr>
                      <w:rFonts w:hint="eastAsia" w:ascii="Times New Roman"/>
                      <w:color w:val="auto"/>
                      <w:szCs w:val="21"/>
                      <w:lang w:val="en-US" w:eastAsia="zh-CN"/>
                    </w:rPr>
                    <w:t>2瓶</w:t>
                  </w:r>
                </w:p>
              </w:tc>
              <w:tc>
                <w:tcPr>
                  <w:tcW w:w="979" w:type="pct"/>
                  <w:vAlign w:val="center"/>
                </w:tcPr>
                <w:p w14:paraId="38485712">
                  <w:pPr>
                    <w:pStyle w:val="28"/>
                    <w:spacing w:before="24" w:after="24" w:line="240" w:lineRule="auto"/>
                    <w:rPr>
                      <w:rFonts w:hint="default" w:ascii="Times New Roman" w:eastAsia="宋体"/>
                      <w:color w:val="auto"/>
                      <w:szCs w:val="21"/>
                      <w:lang w:val="en-US" w:eastAsia="zh-CN"/>
                    </w:rPr>
                  </w:pPr>
                  <w:r>
                    <w:rPr>
                      <w:rFonts w:hint="eastAsia" w:ascii="Times New Roman"/>
                      <w:color w:val="auto"/>
                      <w:szCs w:val="21"/>
                      <w:lang w:val="en-US" w:eastAsia="zh-CN"/>
                    </w:rPr>
                    <w:t>1瓶</w:t>
                  </w:r>
                </w:p>
              </w:tc>
            </w:tr>
            <w:tr w14:paraId="41B372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20" w:type="pct"/>
                  <w:shd w:val="clear" w:color="auto" w:fill="auto"/>
                  <w:vAlign w:val="center"/>
                </w:tcPr>
                <w:p w14:paraId="655BB4F2">
                  <w:pPr>
                    <w:pStyle w:val="28"/>
                    <w:spacing w:before="24" w:after="24" w:line="240" w:lineRule="auto"/>
                    <w:rPr>
                      <w:rFonts w:hint="eastAsia" w:ascii="Times New Roman" w:eastAsia="宋体"/>
                      <w:color w:val="auto"/>
                      <w:szCs w:val="21"/>
                      <w:lang w:val="en-US" w:eastAsia="zh-CN"/>
                    </w:rPr>
                  </w:pPr>
                  <w:r>
                    <w:rPr>
                      <w:rFonts w:hint="eastAsia" w:ascii="Times New Roman"/>
                      <w:color w:val="auto"/>
                      <w:szCs w:val="21"/>
                      <w:lang w:val="en-US" w:eastAsia="zh-CN"/>
                    </w:rPr>
                    <w:t>8</w:t>
                  </w:r>
                </w:p>
              </w:tc>
              <w:tc>
                <w:tcPr>
                  <w:tcW w:w="1096" w:type="pct"/>
                  <w:vAlign w:val="center"/>
                </w:tcPr>
                <w:p w14:paraId="0997072C">
                  <w:pPr>
                    <w:pStyle w:val="28"/>
                    <w:spacing w:before="24" w:after="24" w:line="240" w:lineRule="auto"/>
                    <w:rPr>
                      <w:rFonts w:hint="eastAsia" w:ascii="Times New Roman" w:eastAsia="宋体"/>
                      <w:color w:val="auto"/>
                      <w:szCs w:val="21"/>
                      <w:lang w:val="en-US" w:eastAsia="zh-CN"/>
                    </w:rPr>
                  </w:pPr>
                  <w:r>
                    <w:rPr>
                      <w:rFonts w:hint="eastAsia" w:ascii="Times New Roman"/>
                      <w:color w:val="auto"/>
                      <w:szCs w:val="21"/>
                      <w:lang w:val="en-US" w:eastAsia="zh-CN"/>
                    </w:rPr>
                    <w:t>氢氧化钠</w:t>
                  </w:r>
                </w:p>
              </w:tc>
              <w:tc>
                <w:tcPr>
                  <w:tcW w:w="1356" w:type="pct"/>
                  <w:vAlign w:val="center"/>
                </w:tcPr>
                <w:p w14:paraId="1585ED1E">
                  <w:pPr>
                    <w:pStyle w:val="28"/>
                    <w:spacing w:before="24" w:after="24" w:line="240" w:lineRule="auto"/>
                    <w:rPr>
                      <w:rFonts w:hint="default" w:ascii="Times New Roman" w:eastAsia="宋体"/>
                      <w:color w:val="auto"/>
                      <w:szCs w:val="21"/>
                      <w:lang w:val="en-US" w:eastAsia="zh-CN"/>
                    </w:rPr>
                  </w:pPr>
                  <w:r>
                    <w:rPr>
                      <w:rFonts w:hint="eastAsia" w:ascii="Times New Roman"/>
                      <w:color w:val="auto"/>
                      <w:szCs w:val="21"/>
                      <w:lang w:val="en-US" w:eastAsia="zh-CN"/>
                    </w:rPr>
                    <w:t>500g/瓶</w:t>
                  </w:r>
                </w:p>
              </w:tc>
              <w:tc>
                <w:tcPr>
                  <w:tcW w:w="1146" w:type="pct"/>
                  <w:shd w:val="clear" w:color="auto" w:fill="auto"/>
                  <w:vAlign w:val="center"/>
                </w:tcPr>
                <w:p w14:paraId="3F80BBED">
                  <w:pPr>
                    <w:pStyle w:val="28"/>
                    <w:spacing w:before="24" w:after="24" w:line="240" w:lineRule="auto"/>
                    <w:rPr>
                      <w:rFonts w:hint="default" w:ascii="Times New Roman" w:eastAsia="宋体"/>
                      <w:color w:val="auto"/>
                      <w:szCs w:val="21"/>
                      <w:lang w:val="en-US" w:eastAsia="zh-CN"/>
                    </w:rPr>
                  </w:pPr>
                  <w:r>
                    <w:rPr>
                      <w:rFonts w:hint="eastAsia" w:ascii="Times New Roman"/>
                      <w:color w:val="auto"/>
                      <w:szCs w:val="21"/>
                      <w:lang w:val="en-US" w:eastAsia="zh-CN"/>
                    </w:rPr>
                    <w:t>1瓶</w:t>
                  </w:r>
                </w:p>
              </w:tc>
              <w:tc>
                <w:tcPr>
                  <w:tcW w:w="979" w:type="pct"/>
                  <w:vAlign w:val="center"/>
                </w:tcPr>
                <w:p w14:paraId="5F0E1ADE">
                  <w:pPr>
                    <w:pStyle w:val="28"/>
                    <w:spacing w:before="24" w:after="24" w:line="240" w:lineRule="auto"/>
                    <w:rPr>
                      <w:rFonts w:hint="default" w:ascii="Times New Roman" w:eastAsia="宋体"/>
                      <w:color w:val="auto"/>
                      <w:szCs w:val="21"/>
                      <w:lang w:val="en-US" w:eastAsia="zh-CN"/>
                    </w:rPr>
                  </w:pPr>
                  <w:r>
                    <w:rPr>
                      <w:rFonts w:hint="eastAsia" w:ascii="Times New Roman"/>
                      <w:color w:val="auto"/>
                      <w:szCs w:val="21"/>
                      <w:lang w:val="en-US" w:eastAsia="zh-CN"/>
                    </w:rPr>
                    <w:t>1瓶</w:t>
                  </w:r>
                </w:p>
              </w:tc>
            </w:tr>
            <w:tr w14:paraId="58809B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20" w:type="pct"/>
                  <w:shd w:val="clear" w:color="auto" w:fill="auto"/>
                  <w:vAlign w:val="center"/>
                </w:tcPr>
                <w:p w14:paraId="5B1997B9">
                  <w:pPr>
                    <w:pStyle w:val="28"/>
                    <w:spacing w:before="24" w:after="24" w:line="240" w:lineRule="auto"/>
                    <w:rPr>
                      <w:rFonts w:hint="eastAsia" w:ascii="Times New Roman" w:hAnsi="Times New Roman" w:eastAsia="宋体" w:cs="Times New Roman"/>
                      <w:color w:val="auto"/>
                      <w:kern w:val="0"/>
                      <w:sz w:val="21"/>
                      <w:szCs w:val="21"/>
                      <w:lang w:val="en-US" w:eastAsia="zh-CN" w:bidi="ar-SA"/>
                    </w:rPr>
                  </w:pPr>
                  <w:r>
                    <w:rPr>
                      <w:rFonts w:hint="eastAsia" w:ascii="Times New Roman" w:eastAsia="宋体"/>
                      <w:color w:val="auto"/>
                      <w:szCs w:val="21"/>
                      <w:lang w:val="en-US" w:eastAsia="zh-CN"/>
                    </w:rPr>
                    <w:t>9</w:t>
                  </w:r>
                </w:p>
              </w:tc>
              <w:tc>
                <w:tcPr>
                  <w:tcW w:w="1096" w:type="pct"/>
                  <w:vAlign w:val="center"/>
                </w:tcPr>
                <w:p w14:paraId="3F7DCE05">
                  <w:pPr>
                    <w:pStyle w:val="28"/>
                    <w:spacing w:before="24" w:after="24" w:line="240" w:lineRule="auto"/>
                    <w:rPr>
                      <w:rFonts w:hint="eastAsia" w:ascii="Times New Roman" w:eastAsia="宋体"/>
                      <w:color w:val="auto"/>
                      <w:szCs w:val="21"/>
                      <w:lang w:eastAsia="zh-CN"/>
                    </w:rPr>
                  </w:pPr>
                  <w:r>
                    <w:rPr>
                      <w:rFonts w:ascii="Times New Roman"/>
                      <w:color w:val="auto"/>
                      <w:szCs w:val="21"/>
                    </w:rPr>
                    <w:t>84消毒液</w:t>
                  </w:r>
                  <w:r>
                    <w:rPr>
                      <w:rFonts w:hint="eastAsia" w:ascii="Times New Roman"/>
                      <w:color w:val="auto"/>
                      <w:szCs w:val="21"/>
                      <w:lang w:eastAsia="zh-CN"/>
                    </w:rPr>
                    <w:t>（</w:t>
                  </w:r>
                  <w:r>
                    <w:rPr>
                      <w:rFonts w:hint="eastAsia" w:ascii="Times New Roman"/>
                      <w:color w:val="auto"/>
                      <w:szCs w:val="21"/>
                      <w:lang w:val="en-US" w:eastAsia="zh-CN"/>
                    </w:rPr>
                    <w:t>次氯酸钠含量5%</w:t>
                  </w:r>
                  <w:r>
                    <w:rPr>
                      <w:rFonts w:hint="eastAsia" w:ascii="Times New Roman"/>
                      <w:color w:val="auto"/>
                      <w:szCs w:val="21"/>
                      <w:lang w:eastAsia="zh-CN"/>
                    </w:rPr>
                    <w:t>）</w:t>
                  </w:r>
                </w:p>
              </w:tc>
              <w:tc>
                <w:tcPr>
                  <w:tcW w:w="1356" w:type="pct"/>
                  <w:vAlign w:val="center"/>
                </w:tcPr>
                <w:p w14:paraId="6DF31DE6">
                  <w:pPr>
                    <w:pStyle w:val="28"/>
                    <w:spacing w:before="24" w:after="24" w:line="240" w:lineRule="auto"/>
                    <w:rPr>
                      <w:rFonts w:ascii="Times New Roman"/>
                      <w:color w:val="auto"/>
                      <w:szCs w:val="21"/>
                    </w:rPr>
                  </w:pPr>
                  <w:r>
                    <w:rPr>
                      <w:rFonts w:ascii="Times New Roman"/>
                      <w:color w:val="auto"/>
                      <w:szCs w:val="21"/>
                    </w:rPr>
                    <w:t>250mL/瓶</w:t>
                  </w:r>
                </w:p>
              </w:tc>
              <w:tc>
                <w:tcPr>
                  <w:tcW w:w="1146" w:type="pct"/>
                  <w:shd w:val="clear" w:color="auto" w:fill="auto"/>
                  <w:vAlign w:val="center"/>
                </w:tcPr>
                <w:p w14:paraId="7BC32E7A">
                  <w:pPr>
                    <w:pStyle w:val="28"/>
                    <w:spacing w:before="24" w:after="24" w:line="240" w:lineRule="auto"/>
                    <w:rPr>
                      <w:rFonts w:ascii="Times New Roman"/>
                      <w:color w:val="auto"/>
                      <w:szCs w:val="21"/>
                    </w:rPr>
                  </w:pPr>
                  <w:r>
                    <w:rPr>
                      <w:rFonts w:hint="eastAsia" w:ascii="Times New Roman"/>
                      <w:color w:val="auto"/>
                      <w:szCs w:val="21"/>
                    </w:rPr>
                    <w:t>132</w:t>
                  </w:r>
                  <w:r>
                    <w:rPr>
                      <w:rFonts w:ascii="Times New Roman"/>
                      <w:color w:val="auto"/>
                      <w:szCs w:val="21"/>
                    </w:rPr>
                    <w:t>瓶</w:t>
                  </w:r>
                </w:p>
              </w:tc>
              <w:tc>
                <w:tcPr>
                  <w:tcW w:w="979" w:type="pct"/>
                  <w:vAlign w:val="center"/>
                </w:tcPr>
                <w:p w14:paraId="4AE653B1">
                  <w:pPr>
                    <w:pStyle w:val="28"/>
                    <w:spacing w:before="24" w:after="24" w:line="240" w:lineRule="auto"/>
                    <w:rPr>
                      <w:rFonts w:ascii="Times New Roman"/>
                      <w:color w:val="auto"/>
                      <w:szCs w:val="21"/>
                    </w:rPr>
                  </w:pPr>
                  <w:r>
                    <w:rPr>
                      <w:rFonts w:hint="eastAsia" w:ascii="Times New Roman"/>
                      <w:color w:val="auto"/>
                      <w:szCs w:val="21"/>
                    </w:rPr>
                    <w:t>12</w:t>
                  </w:r>
                  <w:r>
                    <w:rPr>
                      <w:rFonts w:ascii="Times New Roman"/>
                      <w:color w:val="auto"/>
                      <w:szCs w:val="21"/>
                    </w:rPr>
                    <w:t>瓶</w:t>
                  </w:r>
                </w:p>
              </w:tc>
            </w:tr>
            <w:tr w14:paraId="2EA798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shd w:val="clear" w:color="auto" w:fill="auto"/>
                  <w:vAlign w:val="center"/>
                </w:tcPr>
                <w:p w14:paraId="66C6DF7A">
                  <w:pPr>
                    <w:pStyle w:val="28"/>
                    <w:spacing w:before="24" w:after="24" w:line="240" w:lineRule="auto"/>
                    <w:rPr>
                      <w:rFonts w:hint="eastAsia" w:ascii="Times New Roman" w:hAnsi="Times New Roman" w:eastAsia="宋体" w:cs="Times New Roman"/>
                      <w:color w:val="auto"/>
                      <w:kern w:val="0"/>
                      <w:sz w:val="21"/>
                      <w:szCs w:val="21"/>
                      <w:lang w:val="en-US" w:eastAsia="zh-CN" w:bidi="ar-SA"/>
                    </w:rPr>
                  </w:pPr>
                  <w:r>
                    <w:rPr>
                      <w:rFonts w:hint="eastAsia" w:ascii="Times New Roman" w:eastAsia="宋体"/>
                      <w:color w:val="auto"/>
                      <w:szCs w:val="21"/>
                      <w:lang w:val="en-US" w:eastAsia="zh-CN"/>
                    </w:rPr>
                    <w:t>10</w:t>
                  </w:r>
                </w:p>
              </w:tc>
              <w:tc>
                <w:tcPr>
                  <w:tcW w:w="1096" w:type="pct"/>
                  <w:vAlign w:val="center"/>
                </w:tcPr>
                <w:p w14:paraId="6258B7F6">
                  <w:pPr>
                    <w:pStyle w:val="28"/>
                    <w:spacing w:before="24" w:after="24" w:line="240" w:lineRule="auto"/>
                    <w:rPr>
                      <w:rFonts w:hint="default" w:ascii="Times New Roman" w:eastAsia="宋体"/>
                      <w:color w:val="auto"/>
                      <w:szCs w:val="21"/>
                      <w:lang w:val="en-US" w:eastAsia="zh-CN"/>
                    </w:rPr>
                  </w:pPr>
                  <w:r>
                    <w:rPr>
                      <w:rFonts w:hint="eastAsia" w:ascii="Times New Roman"/>
                      <w:color w:val="auto"/>
                      <w:szCs w:val="21"/>
                      <w:lang w:val="en-US" w:eastAsia="zh-CN"/>
                    </w:rPr>
                    <w:t>次氯酸钠溶液（含量10%）</w:t>
                  </w:r>
                </w:p>
              </w:tc>
              <w:tc>
                <w:tcPr>
                  <w:tcW w:w="1356" w:type="pct"/>
                  <w:vAlign w:val="center"/>
                </w:tcPr>
                <w:p w14:paraId="729E3791">
                  <w:pPr>
                    <w:pStyle w:val="28"/>
                    <w:spacing w:before="24" w:after="24" w:line="240" w:lineRule="auto"/>
                    <w:rPr>
                      <w:rFonts w:hint="default" w:ascii="Times New Roman" w:eastAsia="宋体"/>
                      <w:color w:val="auto"/>
                      <w:szCs w:val="21"/>
                      <w:lang w:val="en-US" w:eastAsia="zh-CN"/>
                    </w:rPr>
                  </w:pPr>
                  <w:r>
                    <w:rPr>
                      <w:rFonts w:hint="eastAsia" w:ascii="Times New Roman"/>
                      <w:color w:val="auto"/>
                      <w:szCs w:val="21"/>
                      <w:lang w:val="en-US" w:eastAsia="zh-CN"/>
                    </w:rPr>
                    <w:t>25 L/瓶</w:t>
                  </w:r>
                </w:p>
              </w:tc>
              <w:tc>
                <w:tcPr>
                  <w:tcW w:w="1146" w:type="pct"/>
                  <w:shd w:val="clear" w:color="auto" w:fill="auto"/>
                  <w:vAlign w:val="center"/>
                </w:tcPr>
                <w:p w14:paraId="2E0A1A04">
                  <w:pPr>
                    <w:pStyle w:val="28"/>
                    <w:spacing w:before="24" w:after="24" w:line="240" w:lineRule="auto"/>
                    <w:rPr>
                      <w:rFonts w:hint="default" w:ascii="Times New Roman" w:eastAsia="宋体"/>
                      <w:color w:val="auto"/>
                      <w:szCs w:val="21"/>
                      <w:lang w:val="en-US" w:eastAsia="zh-CN"/>
                    </w:rPr>
                  </w:pPr>
                  <w:r>
                    <w:rPr>
                      <w:rFonts w:hint="eastAsia" w:ascii="Times New Roman"/>
                      <w:color w:val="auto"/>
                      <w:szCs w:val="21"/>
                      <w:lang w:val="en-US" w:eastAsia="zh-CN"/>
                    </w:rPr>
                    <w:t>4瓶</w:t>
                  </w:r>
                </w:p>
              </w:tc>
              <w:tc>
                <w:tcPr>
                  <w:tcW w:w="979" w:type="pct"/>
                  <w:vAlign w:val="center"/>
                </w:tcPr>
                <w:p w14:paraId="27F81494">
                  <w:pPr>
                    <w:pStyle w:val="28"/>
                    <w:spacing w:before="24" w:after="24" w:line="240" w:lineRule="auto"/>
                    <w:rPr>
                      <w:rFonts w:hint="default" w:ascii="Times New Roman" w:eastAsia="宋体"/>
                      <w:color w:val="auto"/>
                      <w:szCs w:val="21"/>
                      <w:lang w:val="en-US" w:eastAsia="zh-CN"/>
                    </w:rPr>
                  </w:pPr>
                  <w:r>
                    <w:rPr>
                      <w:rFonts w:hint="eastAsia" w:ascii="Times New Roman"/>
                      <w:color w:val="auto"/>
                      <w:szCs w:val="21"/>
                      <w:lang w:val="en-US" w:eastAsia="zh-CN"/>
                    </w:rPr>
                    <w:t>1瓶</w:t>
                  </w:r>
                </w:p>
              </w:tc>
            </w:tr>
            <w:tr w14:paraId="3F0A4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0" w:type="pct"/>
                  <w:shd w:val="clear" w:color="auto" w:fill="auto"/>
                  <w:vAlign w:val="center"/>
                </w:tcPr>
                <w:p w14:paraId="1CD46B48">
                  <w:pPr>
                    <w:pStyle w:val="28"/>
                    <w:spacing w:before="24" w:after="24" w:line="240" w:lineRule="auto"/>
                    <w:rPr>
                      <w:rFonts w:hint="eastAsia" w:ascii="Times New Roman" w:hAnsi="Times New Roman" w:eastAsia="宋体" w:cs="Times New Roman"/>
                      <w:color w:val="auto"/>
                      <w:kern w:val="0"/>
                      <w:sz w:val="21"/>
                      <w:szCs w:val="21"/>
                      <w:lang w:val="en-US" w:eastAsia="zh-CN" w:bidi="ar-SA"/>
                    </w:rPr>
                  </w:pPr>
                  <w:r>
                    <w:rPr>
                      <w:rFonts w:hint="eastAsia" w:ascii="Times New Roman"/>
                      <w:color w:val="auto"/>
                      <w:szCs w:val="21"/>
                    </w:rPr>
                    <w:t>1</w:t>
                  </w:r>
                  <w:r>
                    <w:rPr>
                      <w:rFonts w:ascii="Times New Roman"/>
                      <w:color w:val="auto"/>
                      <w:szCs w:val="21"/>
                    </w:rPr>
                    <w:t>1</w:t>
                  </w:r>
                </w:p>
              </w:tc>
              <w:tc>
                <w:tcPr>
                  <w:tcW w:w="1096" w:type="pct"/>
                  <w:vAlign w:val="center"/>
                </w:tcPr>
                <w:p w14:paraId="1C5BF049">
                  <w:pPr>
                    <w:pStyle w:val="28"/>
                    <w:spacing w:before="24" w:after="24" w:line="240" w:lineRule="auto"/>
                    <w:rPr>
                      <w:rFonts w:ascii="Times New Roman"/>
                      <w:color w:val="auto"/>
                      <w:szCs w:val="21"/>
                    </w:rPr>
                  </w:pPr>
                  <w:r>
                    <w:rPr>
                      <w:rFonts w:hint="eastAsia"/>
                      <w:color w:val="auto"/>
                      <w:szCs w:val="21"/>
                    </w:rPr>
                    <w:t>一次性输液器</w:t>
                  </w:r>
                </w:p>
              </w:tc>
              <w:tc>
                <w:tcPr>
                  <w:tcW w:w="1356" w:type="pct"/>
                  <w:vAlign w:val="center"/>
                </w:tcPr>
                <w:p w14:paraId="0F3D7D98">
                  <w:pPr>
                    <w:pStyle w:val="28"/>
                    <w:spacing w:before="24" w:after="24" w:line="240" w:lineRule="auto"/>
                    <w:rPr>
                      <w:rFonts w:ascii="Times New Roman"/>
                      <w:color w:val="auto"/>
                      <w:szCs w:val="21"/>
                    </w:rPr>
                  </w:pPr>
                  <w:r>
                    <w:rPr>
                      <w:rFonts w:hint="eastAsia" w:ascii="Times New Roman"/>
                      <w:color w:val="auto"/>
                      <w:szCs w:val="21"/>
                    </w:rPr>
                    <w:t>/</w:t>
                  </w:r>
                </w:p>
              </w:tc>
              <w:tc>
                <w:tcPr>
                  <w:tcW w:w="1146" w:type="pct"/>
                  <w:shd w:val="clear" w:color="auto" w:fill="auto"/>
                  <w:vAlign w:val="center"/>
                </w:tcPr>
                <w:p w14:paraId="115F0CF6">
                  <w:pPr>
                    <w:pStyle w:val="28"/>
                    <w:spacing w:before="24" w:after="24" w:line="240" w:lineRule="auto"/>
                    <w:rPr>
                      <w:rFonts w:ascii="Times New Roman"/>
                      <w:color w:val="auto"/>
                      <w:szCs w:val="21"/>
                    </w:rPr>
                  </w:pPr>
                  <w:r>
                    <w:rPr>
                      <w:rFonts w:hint="eastAsia" w:ascii="Times New Roman"/>
                      <w:color w:val="auto"/>
                      <w:szCs w:val="21"/>
                    </w:rPr>
                    <w:t>1900件</w:t>
                  </w:r>
                </w:p>
              </w:tc>
              <w:tc>
                <w:tcPr>
                  <w:tcW w:w="979" w:type="pct"/>
                  <w:vAlign w:val="center"/>
                </w:tcPr>
                <w:p w14:paraId="1C0209DC">
                  <w:pPr>
                    <w:pStyle w:val="28"/>
                    <w:spacing w:before="24" w:after="24" w:line="240" w:lineRule="auto"/>
                    <w:rPr>
                      <w:rFonts w:ascii="Times New Roman"/>
                      <w:color w:val="auto"/>
                      <w:szCs w:val="21"/>
                    </w:rPr>
                  </w:pPr>
                  <w:r>
                    <w:rPr>
                      <w:rFonts w:hint="eastAsia" w:ascii="Times New Roman"/>
                      <w:color w:val="auto"/>
                      <w:szCs w:val="21"/>
                    </w:rPr>
                    <w:t>1900件</w:t>
                  </w:r>
                </w:p>
              </w:tc>
            </w:tr>
            <w:tr w14:paraId="0D0138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shd w:val="clear" w:color="auto" w:fill="auto"/>
                  <w:vAlign w:val="center"/>
                </w:tcPr>
                <w:p w14:paraId="0A48DED7">
                  <w:pPr>
                    <w:pStyle w:val="28"/>
                    <w:spacing w:before="24" w:after="24" w:line="240" w:lineRule="auto"/>
                    <w:rPr>
                      <w:rFonts w:hint="default" w:ascii="Times New Roman" w:hAnsi="Times New Roman" w:eastAsia="宋体" w:cs="Times New Roman"/>
                      <w:color w:val="auto"/>
                      <w:kern w:val="0"/>
                      <w:sz w:val="21"/>
                      <w:szCs w:val="21"/>
                      <w:lang w:val="en-US" w:eastAsia="zh-CN" w:bidi="ar-SA"/>
                    </w:rPr>
                  </w:pPr>
                  <w:r>
                    <w:rPr>
                      <w:rFonts w:hint="eastAsia" w:ascii="Times New Roman"/>
                      <w:color w:val="auto"/>
                      <w:szCs w:val="21"/>
                    </w:rPr>
                    <w:t>1</w:t>
                  </w:r>
                  <w:r>
                    <w:rPr>
                      <w:rFonts w:ascii="Times New Roman"/>
                      <w:color w:val="auto"/>
                      <w:szCs w:val="21"/>
                    </w:rPr>
                    <w:t>2</w:t>
                  </w:r>
                </w:p>
              </w:tc>
              <w:tc>
                <w:tcPr>
                  <w:tcW w:w="1096" w:type="pct"/>
                  <w:vAlign w:val="center"/>
                </w:tcPr>
                <w:p w14:paraId="5892C86D">
                  <w:pPr>
                    <w:pStyle w:val="28"/>
                    <w:spacing w:before="24" w:after="24" w:line="240" w:lineRule="auto"/>
                    <w:rPr>
                      <w:rFonts w:ascii="Times New Roman"/>
                      <w:color w:val="auto"/>
                      <w:szCs w:val="21"/>
                    </w:rPr>
                  </w:pPr>
                  <w:r>
                    <w:rPr>
                      <w:rFonts w:hint="eastAsia"/>
                      <w:color w:val="auto"/>
                      <w:szCs w:val="21"/>
                    </w:rPr>
                    <w:t>中单、小单被套</w:t>
                  </w:r>
                </w:p>
              </w:tc>
              <w:tc>
                <w:tcPr>
                  <w:tcW w:w="1356" w:type="pct"/>
                  <w:vAlign w:val="center"/>
                </w:tcPr>
                <w:p w14:paraId="2952A6B2">
                  <w:pPr>
                    <w:pStyle w:val="28"/>
                    <w:spacing w:before="24" w:after="24" w:line="240" w:lineRule="auto"/>
                    <w:rPr>
                      <w:rFonts w:ascii="Times New Roman"/>
                      <w:color w:val="auto"/>
                      <w:szCs w:val="21"/>
                    </w:rPr>
                  </w:pPr>
                  <w:r>
                    <w:rPr>
                      <w:rFonts w:hint="eastAsia" w:ascii="Times New Roman"/>
                      <w:color w:val="auto"/>
                      <w:szCs w:val="21"/>
                    </w:rPr>
                    <w:t>/</w:t>
                  </w:r>
                </w:p>
              </w:tc>
              <w:tc>
                <w:tcPr>
                  <w:tcW w:w="1146" w:type="pct"/>
                  <w:shd w:val="clear" w:color="auto" w:fill="auto"/>
                  <w:vAlign w:val="center"/>
                </w:tcPr>
                <w:p w14:paraId="045517E7">
                  <w:pPr>
                    <w:pStyle w:val="28"/>
                    <w:spacing w:before="24" w:after="24" w:line="240" w:lineRule="auto"/>
                    <w:rPr>
                      <w:rFonts w:ascii="Times New Roman"/>
                      <w:color w:val="auto"/>
                      <w:szCs w:val="21"/>
                    </w:rPr>
                  </w:pPr>
                  <w:r>
                    <w:rPr>
                      <w:rFonts w:hint="eastAsia" w:ascii="Times New Roman"/>
                      <w:color w:val="auto"/>
                      <w:szCs w:val="21"/>
                    </w:rPr>
                    <w:t>20套</w:t>
                  </w:r>
                </w:p>
              </w:tc>
              <w:tc>
                <w:tcPr>
                  <w:tcW w:w="979" w:type="pct"/>
                  <w:vAlign w:val="center"/>
                </w:tcPr>
                <w:p w14:paraId="1639C38F">
                  <w:pPr>
                    <w:pStyle w:val="28"/>
                    <w:spacing w:before="24" w:after="24" w:line="240" w:lineRule="auto"/>
                    <w:rPr>
                      <w:rFonts w:ascii="Times New Roman"/>
                      <w:color w:val="auto"/>
                      <w:szCs w:val="21"/>
                    </w:rPr>
                  </w:pPr>
                  <w:r>
                    <w:rPr>
                      <w:rFonts w:hint="eastAsia" w:ascii="Times New Roman"/>
                      <w:color w:val="auto"/>
                      <w:szCs w:val="21"/>
                    </w:rPr>
                    <w:t>20套</w:t>
                  </w:r>
                </w:p>
              </w:tc>
            </w:tr>
            <w:tr w14:paraId="300E5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420" w:type="pct"/>
                  <w:shd w:val="clear" w:color="auto" w:fill="auto"/>
                  <w:vAlign w:val="center"/>
                </w:tcPr>
                <w:p w14:paraId="5D6FDDF3">
                  <w:pPr>
                    <w:pStyle w:val="28"/>
                    <w:spacing w:before="24" w:after="24" w:line="240" w:lineRule="auto"/>
                    <w:rPr>
                      <w:rFonts w:ascii="Times New Roman" w:hAnsi="Times New Roman" w:eastAsia="宋体" w:cs="Times New Roman"/>
                      <w:color w:val="auto"/>
                      <w:kern w:val="0"/>
                      <w:sz w:val="21"/>
                      <w:szCs w:val="21"/>
                      <w:lang w:val="en-US" w:eastAsia="zh-CN" w:bidi="ar-SA"/>
                    </w:rPr>
                  </w:pPr>
                  <w:r>
                    <w:rPr>
                      <w:rFonts w:hint="eastAsia" w:ascii="Times New Roman"/>
                      <w:color w:val="auto"/>
                      <w:szCs w:val="21"/>
                    </w:rPr>
                    <w:t>1</w:t>
                  </w:r>
                  <w:r>
                    <w:rPr>
                      <w:rFonts w:ascii="Times New Roman"/>
                      <w:color w:val="auto"/>
                      <w:szCs w:val="21"/>
                    </w:rPr>
                    <w:t>3</w:t>
                  </w:r>
                </w:p>
              </w:tc>
              <w:tc>
                <w:tcPr>
                  <w:tcW w:w="1096" w:type="pct"/>
                  <w:vAlign w:val="center"/>
                </w:tcPr>
                <w:p w14:paraId="17EE51DB">
                  <w:pPr>
                    <w:pStyle w:val="28"/>
                    <w:spacing w:before="24" w:after="24" w:line="240" w:lineRule="auto"/>
                    <w:rPr>
                      <w:rFonts w:ascii="Times New Roman"/>
                      <w:color w:val="auto"/>
                      <w:szCs w:val="21"/>
                    </w:rPr>
                  </w:pPr>
                  <w:r>
                    <w:rPr>
                      <w:rFonts w:hint="eastAsia"/>
                      <w:color w:val="auto"/>
                      <w:szCs w:val="21"/>
                    </w:rPr>
                    <w:t>一次性尿袋、尿管</w:t>
                  </w:r>
                </w:p>
              </w:tc>
              <w:tc>
                <w:tcPr>
                  <w:tcW w:w="1356" w:type="pct"/>
                  <w:vAlign w:val="center"/>
                </w:tcPr>
                <w:p w14:paraId="4F28997C">
                  <w:pPr>
                    <w:pStyle w:val="28"/>
                    <w:spacing w:before="24" w:after="24" w:line="240" w:lineRule="auto"/>
                    <w:rPr>
                      <w:rFonts w:ascii="Times New Roman"/>
                      <w:color w:val="auto"/>
                      <w:szCs w:val="21"/>
                    </w:rPr>
                  </w:pPr>
                  <w:r>
                    <w:rPr>
                      <w:rFonts w:hint="eastAsia" w:ascii="Times New Roman"/>
                      <w:color w:val="auto"/>
                      <w:szCs w:val="21"/>
                    </w:rPr>
                    <w:t>/</w:t>
                  </w:r>
                </w:p>
              </w:tc>
              <w:tc>
                <w:tcPr>
                  <w:tcW w:w="1146" w:type="pct"/>
                  <w:shd w:val="clear" w:color="auto" w:fill="auto"/>
                  <w:vAlign w:val="center"/>
                </w:tcPr>
                <w:p w14:paraId="0880DD58">
                  <w:pPr>
                    <w:pStyle w:val="28"/>
                    <w:spacing w:before="24" w:after="24" w:line="240" w:lineRule="auto"/>
                    <w:rPr>
                      <w:rFonts w:ascii="Times New Roman"/>
                      <w:color w:val="auto"/>
                      <w:szCs w:val="21"/>
                    </w:rPr>
                  </w:pPr>
                  <w:r>
                    <w:rPr>
                      <w:rFonts w:hint="eastAsia" w:ascii="Times New Roman"/>
                      <w:color w:val="auto"/>
                      <w:szCs w:val="21"/>
                    </w:rPr>
                    <w:t>2</w:t>
                  </w:r>
                  <w:r>
                    <w:rPr>
                      <w:rFonts w:ascii="Times New Roman"/>
                      <w:color w:val="auto"/>
                      <w:szCs w:val="21"/>
                    </w:rPr>
                    <w:t>00</w:t>
                  </w:r>
                  <w:r>
                    <w:rPr>
                      <w:rFonts w:hint="eastAsia" w:ascii="Times New Roman"/>
                      <w:color w:val="auto"/>
                      <w:szCs w:val="21"/>
                    </w:rPr>
                    <w:t>件</w:t>
                  </w:r>
                </w:p>
              </w:tc>
              <w:tc>
                <w:tcPr>
                  <w:tcW w:w="979" w:type="pct"/>
                  <w:vAlign w:val="center"/>
                </w:tcPr>
                <w:p w14:paraId="7E7E46E2">
                  <w:pPr>
                    <w:pStyle w:val="28"/>
                    <w:spacing w:before="24" w:after="24" w:line="240" w:lineRule="auto"/>
                    <w:rPr>
                      <w:rFonts w:ascii="Times New Roman"/>
                      <w:color w:val="auto"/>
                      <w:szCs w:val="21"/>
                    </w:rPr>
                  </w:pPr>
                  <w:r>
                    <w:rPr>
                      <w:rFonts w:hint="eastAsia" w:ascii="Times New Roman"/>
                      <w:color w:val="auto"/>
                      <w:szCs w:val="21"/>
                    </w:rPr>
                    <w:t>2</w:t>
                  </w:r>
                  <w:r>
                    <w:rPr>
                      <w:rFonts w:ascii="Times New Roman"/>
                      <w:color w:val="auto"/>
                      <w:szCs w:val="21"/>
                    </w:rPr>
                    <w:t>00</w:t>
                  </w:r>
                  <w:r>
                    <w:rPr>
                      <w:rFonts w:hint="eastAsia" w:ascii="Times New Roman"/>
                      <w:color w:val="auto"/>
                      <w:szCs w:val="21"/>
                    </w:rPr>
                    <w:t>件</w:t>
                  </w:r>
                </w:p>
              </w:tc>
            </w:tr>
            <w:tr w14:paraId="10F427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shd w:val="clear" w:color="auto" w:fill="auto"/>
                  <w:vAlign w:val="center"/>
                </w:tcPr>
                <w:p w14:paraId="7E6BA925">
                  <w:pPr>
                    <w:pStyle w:val="28"/>
                    <w:spacing w:before="24" w:after="24" w:line="240" w:lineRule="auto"/>
                    <w:rPr>
                      <w:rFonts w:ascii="Times New Roman" w:hAnsi="Times New Roman" w:eastAsia="宋体" w:cs="Times New Roman"/>
                      <w:color w:val="auto"/>
                      <w:kern w:val="0"/>
                      <w:sz w:val="21"/>
                      <w:szCs w:val="21"/>
                      <w:lang w:val="en-US" w:eastAsia="zh-CN" w:bidi="ar-SA"/>
                    </w:rPr>
                  </w:pPr>
                  <w:r>
                    <w:rPr>
                      <w:rFonts w:hint="eastAsia" w:ascii="Times New Roman"/>
                      <w:color w:val="auto"/>
                      <w:szCs w:val="21"/>
                    </w:rPr>
                    <w:t>1</w:t>
                  </w:r>
                  <w:r>
                    <w:rPr>
                      <w:rFonts w:ascii="Times New Roman"/>
                      <w:color w:val="auto"/>
                      <w:szCs w:val="21"/>
                    </w:rPr>
                    <w:t>4</w:t>
                  </w:r>
                </w:p>
              </w:tc>
              <w:tc>
                <w:tcPr>
                  <w:tcW w:w="1096" w:type="pct"/>
                  <w:vAlign w:val="center"/>
                </w:tcPr>
                <w:p w14:paraId="21EF1D8A">
                  <w:pPr>
                    <w:pStyle w:val="28"/>
                    <w:spacing w:before="24" w:after="24" w:line="240" w:lineRule="auto"/>
                    <w:rPr>
                      <w:rFonts w:ascii="Times New Roman"/>
                      <w:color w:val="auto"/>
                      <w:szCs w:val="21"/>
                    </w:rPr>
                  </w:pPr>
                  <w:r>
                    <w:rPr>
                      <w:rFonts w:hint="eastAsia"/>
                      <w:color w:val="auto"/>
                      <w:szCs w:val="21"/>
                    </w:rPr>
                    <w:t>一次性手套</w:t>
                  </w:r>
                </w:p>
              </w:tc>
              <w:tc>
                <w:tcPr>
                  <w:tcW w:w="1356" w:type="pct"/>
                  <w:vAlign w:val="center"/>
                </w:tcPr>
                <w:p w14:paraId="50ABEF3F">
                  <w:pPr>
                    <w:pStyle w:val="28"/>
                    <w:spacing w:before="24" w:after="24" w:line="240" w:lineRule="auto"/>
                    <w:rPr>
                      <w:rFonts w:ascii="Times New Roman"/>
                      <w:color w:val="auto"/>
                      <w:szCs w:val="21"/>
                    </w:rPr>
                  </w:pPr>
                  <w:r>
                    <w:rPr>
                      <w:rFonts w:hint="eastAsia" w:ascii="Times New Roman"/>
                      <w:color w:val="auto"/>
                      <w:szCs w:val="21"/>
                    </w:rPr>
                    <w:t>/</w:t>
                  </w:r>
                </w:p>
              </w:tc>
              <w:tc>
                <w:tcPr>
                  <w:tcW w:w="1146" w:type="pct"/>
                  <w:shd w:val="clear" w:color="auto" w:fill="auto"/>
                  <w:vAlign w:val="center"/>
                </w:tcPr>
                <w:p w14:paraId="5E39754A">
                  <w:pPr>
                    <w:pStyle w:val="28"/>
                    <w:spacing w:before="24" w:after="24" w:line="240" w:lineRule="auto"/>
                    <w:rPr>
                      <w:rFonts w:ascii="Times New Roman"/>
                      <w:color w:val="auto"/>
                      <w:szCs w:val="21"/>
                    </w:rPr>
                  </w:pPr>
                  <w:r>
                    <w:rPr>
                      <w:rFonts w:hint="eastAsia" w:ascii="Times New Roman"/>
                      <w:color w:val="auto"/>
                      <w:szCs w:val="21"/>
                    </w:rPr>
                    <w:t>5</w:t>
                  </w:r>
                  <w:r>
                    <w:rPr>
                      <w:rFonts w:ascii="Times New Roman"/>
                      <w:color w:val="auto"/>
                      <w:szCs w:val="21"/>
                    </w:rPr>
                    <w:t>00</w:t>
                  </w:r>
                  <w:r>
                    <w:rPr>
                      <w:rFonts w:hint="eastAsia" w:ascii="Times New Roman"/>
                      <w:color w:val="auto"/>
                      <w:szCs w:val="21"/>
                    </w:rPr>
                    <w:t>双</w:t>
                  </w:r>
                </w:p>
              </w:tc>
              <w:tc>
                <w:tcPr>
                  <w:tcW w:w="979" w:type="pct"/>
                  <w:vAlign w:val="center"/>
                </w:tcPr>
                <w:p w14:paraId="342A9EF4">
                  <w:pPr>
                    <w:pStyle w:val="28"/>
                    <w:spacing w:before="24" w:after="24" w:line="240" w:lineRule="auto"/>
                    <w:rPr>
                      <w:rFonts w:ascii="Times New Roman"/>
                      <w:color w:val="auto"/>
                      <w:szCs w:val="21"/>
                    </w:rPr>
                  </w:pPr>
                  <w:r>
                    <w:rPr>
                      <w:rFonts w:hint="eastAsia" w:ascii="Times New Roman"/>
                      <w:color w:val="auto"/>
                      <w:szCs w:val="21"/>
                    </w:rPr>
                    <w:t>5</w:t>
                  </w:r>
                  <w:r>
                    <w:rPr>
                      <w:rFonts w:ascii="Times New Roman"/>
                      <w:color w:val="auto"/>
                      <w:szCs w:val="21"/>
                    </w:rPr>
                    <w:t>0</w:t>
                  </w:r>
                  <w:r>
                    <w:rPr>
                      <w:rFonts w:hint="eastAsia" w:ascii="Times New Roman"/>
                      <w:color w:val="auto"/>
                      <w:szCs w:val="21"/>
                      <w:lang w:val="en-US" w:eastAsia="zh-CN"/>
                    </w:rPr>
                    <w:t>0</w:t>
                  </w:r>
                  <w:r>
                    <w:rPr>
                      <w:rFonts w:hint="eastAsia" w:ascii="Times New Roman"/>
                      <w:color w:val="auto"/>
                      <w:szCs w:val="21"/>
                    </w:rPr>
                    <w:t>双</w:t>
                  </w:r>
                </w:p>
              </w:tc>
            </w:tr>
            <w:tr w14:paraId="54B840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20" w:type="pct"/>
                  <w:shd w:val="clear" w:color="auto" w:fill="auto"/>
                  <w:vAlign w:val="center"/>
                </w:tcPr>
                <w:p w14:paraId="37832144">
                  <w:pPr>
                    <w:pStyle w:val="28"/>
                    <w:spacing w:before="24" w:after="24" w:line="240" w:lineRule="auto"/>
                    <w:rPr>
                      <w:rFonts w:hint="default" w:ascii="Times New Roman" w:hAnsi="Times New Roman" w:eastAsia="宋体" w:cs="Times New Roman"/>
                      <w:color w:val="auto"/>
                      <w:kern w:val="0"/>
                      <w:sz w:val="21"/>
                      <w:szCs w:val="21"/>
                      <w:lang w:val="en-US" w:eastAsia="zh-CN" w:bidi="ar-SA"/>
                    </w:rPr>
                  </w:pPr>
                  <w:r>
                    <w:rPr>
                      <w:rFonts w:hint="eastAsia" w:ascii="Times New Roman"/>
                      <w:color w:val="auto"/>
                      <w:szCs w:val="21"/>
                    </w:rPr>
                    <w:t>1</w:t>
                  </w:r>
                  <w:r>
                    <w:rPr>
                      <w:rFonts w:ascii="Times New Roman"/>
                      <w:color w:val="auto"/>
                      <w:szCs w:val="21"/>
                    </w:rPr>
                    <w:t>5</w:t>
                  </w:r>
                </w:p>
              </w:tc>
              <w:tc>
                <w:tcPr>
                  <w:tcW w:w="1096" w:type="pct"/>
                  <w:vAlign w:val="center"/>
                </w:tcPr>
                <w:p w14:paraId="57658509">
                  <w:pPr>
                    <w:pStyle w:val="28"/>
                    <w:spacing w:before="24" w:after="24" w:line="240" w:lineRule="auto"/>
                    <w:rPr>
                      <w:rFonts w:ascii="Times New Roman"/>
                      <w:color w:val="auto"/>
                      <w:szCs w:val="21"/>
                    </w:rPr>
                  </w:pPr>
                  <w:r>
                    <w:rPr>
                      <w:rFonts w:hint="eastAsia"/>
                      <w:color w:val="auto"/>
                      <w:szCs w:val="21"/>
                    </w:rPr>
                    <w:t>一次性口罩</w:t>
                  </w:r>
                </w:p>
              </w:tc>
              <w:tc>
                <w:tcPr>
                  <w:tcW w:w="1356" w:type="pct"/>
                  <w:vAlign w:val="center"/>
                </w:tcPr>
                <w:p w14:paraId="643A4398">
                  <w:pPr>
                    <w:pStyle w:val="28"/>
                    <w:spacing w:before="24" w:after="24" w:line="240" w:lineRule="auto"/>
                    <w:rPr>
                      <w:rFonts w:ascii="Times New Roman"/>
                      <w:color w:val="auto"/>
                      <w:szCs w:val="21"/>
                    </w:rPr>
                  </w:pPr>
                  <w:r>
                    <w:rPr>
                      <w:rFonts w:hint="eastAsia" w:ascii="Times New Roman"/>
                      <w:color w:val="auto"/>
                      <w:szCs w:val="21"/>
                    </w:rPr>
                    <w:t>/</w:t>
                  </w:r>
                </w:p>
              </w:tc>
              <w:tc>
                <w:tcPr>
                  <w:tcW w:w="1146" w:type="pct"/>
                  <w:shd w:val="clear" w:color="auto" w:fill="auto"/>
                  <w:vAlign w:val="center"/>
                </w:tcPr>
                <w:p w14:paraId="58233BF9">
                  <w:pPr>
                    <w:pStyle w:val="28"/>
                    <w:spacing w:before="24" w:after="24" w:line="240" w:lineRule="auto"/>
                    <w:rPr>
                      <w:rFonts w:ascii="Times New Roman"/>
                      <w:color w:val="auto"/>
                      <w:szCs w:val="21"/>
                    </w:rPr>
                  </w:pPr>
                  <w:r>
                    <w:rPr>
                      <w:rFonts w:hint="eastAsia" w:ascii="Times New Roman"/>
                      <w:color w:val="auto"/>
                      <w:szCs w:val="21"/>
                    </w:rPr>
                    <w:t>2</w:t>
                  </w:r>
                  <w:r>
                    <w:rPr>
                      <w:rFonts w:ascii="Times New Roman"/>
                      <w:color w:val="auto"/>
                      <w:szCs w:val="21"/>
                    </w:rPr>
                    <w:t>000</w:t>
                  </w:r>
                  <w:r>
                    <w:rPr>
                      <w:rFonts w:hint="eastAsia" w:ascii="Times New Roman"/>
                      <w:color w:val="auto"/>
                      <w:szCs w:val="21"/>
                    </w:rPr>
                    <w:t>个</w:t>
                  </w:r>
                </w:p>
              </w:tc>
              <w:tc>
                <w:tcPr>
                  <w:tcW w:w="979" w:type="pct"/>
                  <w:vAlign w:val="center"/>
                </w:tcPr>
                <w:p w14:paraId="5C1530F6">
                  <w:pPr>
                    <w:pStyle w:val="28"/>
                    <w:spacing w:before="24" w:after="24" w:line="240" w:lineRule="auto"/>
                    <w:rPr>
                      <w:rFonts w:ascii="Times New Roman"/>
                      <w:color w:val="auto"/>
                      <w:szCs w:val="21"/>
                    </w:rPr>
                  </w:pPr>
                  <w:r>
                    <w:rPr>
                      <w:rFonts w:hint="eastAsia" w:ascii="Times New Roman"/>
                      <w:color w:val="auto"/>
                      <w:szCs w:val="21"/>
                    </w:rPr>
                    <w:t>2</w:t>
                  </w:r>
                  <w:r>
                    <w:rPr>
                      <w:rFonts w:ascii="Times New Roman"/>
                      <w:color w:val="auto"/>
                      <w:szCs w:val="21"/>
                    </w:rPr>
                    <w:t>000</w:t>
                  </w:r>
                  <w:r>
                    <w:rPr>
                      <w:rFonts w:hint="eastAsia" w:ascii="Times New Roman"/>
                      <w:color w:val="auto"/>
                      <w:szCs w:val="21"/>
                    </w:rPr>
                    <w:t>个</w:t>
                  </w:r>
                </w:p>
              </w:tc>
            </w:tr>
            <w:tr w14:paraId="12F0B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20" w:type="pct"/>
                  <w:shd w:val="clear" w:color="auto" w:fill="auto"/>
                  <w:vAlign w:val="center"/>
                </w:tcPr>
                <w:p w14:paraId="676AADDE">
                  <w:pPr>
                    <w:pStyle w:val="28"/>
                    <w:spacing w:before="24" w:after="24" w:line="240" w:lineRule="auto"/>
                    <w:rPr>
                      <w:rFonts w:hint="default" w:ascii="Times New Roman" w:hAnsi="Times New Roman" w:eastAsia="宋体" w:cs="Times New Roman"/>
                      <w:color w:val="auto"/>
                      <w:kern w:val="0"/>
                      <w:sz w:val="21"/>
                      <w:szCs w:val="21"/>
                      <w:lang w:val="en-US" w:eastAsia="zh-CN" w:bidi="ar-SA"/>
                    </w:rPr>
                  </w:pPr>
                  <w:r>
                    <w:rPr>
                      <w:rFonts w:hint="eastAsia" w:ascii="Times New Roman"/>
                      <w:color w:val="auto"/>
                      <w:szCs w:val="21"/>
                    </w:rPr>
                    <w:t>1</w:t>
                  </w:r>
                  <w:r>
                    <w:rPr>
                      <w:rFonts w:ascii="Times New Roman"/>
                      <w:color w:val="auto"/>
                      <w:szCs w:val="21"/>
                    </w:rPr>
                    <w:t>6</w:t>
                  </w:r>
                </w:p>
              </w:tc>
              <w:tc>
                <w:tcPr>
                  <w:tcW w:w="1096" w:type="pct"/>
                  <w:vAlign w:val="center"/>
                </w:tcPr>
                <w:p w14:paraId="1DD2CE9E">
                  <w:pPr>
                    <w:pStyle w:val="28"/>
                    <w:spacing w:before="24" w:after="24" w:line="240" w:lineRule="auto"/>
                    <w:rPr>
                      <w:rFonts w:ascii="Times New Roman"/>
                      <w:color w:val="auto"/>
                      <w:szCs w:val="21"/>
                    </w:rPr>
                  </w:pPr>
                  <w:r>
                    <w:rPr>
                      <w:rFonts w:hint="eastAsia"/>
                      <w:color w:val="auto"/>
                      <w:szCs w:val="21"/>
                    </w:rPr>
                    <w:t>纱布</w:t>
                  </w:r>
                </w:p>
              </w:tc>
              <w:tc>
                <w:tcPr>
                  <w:tcW w:w="1356" w:type="pct"/>
                  <w:vAlign w:val="center"/>
                </w:tcPr>
                <w:p w14:paraId="25D1BA71">
                  <w:pPr>
                    <w:pStyle w:val="28"/>
                    <w:spacing w:before="24" w:after="24" w:line="240" w:lineRule="auto"/>
                    <w:rPr>
                      <w:rFonts w:ascii="Times New Roman"/>
                      <w:color w:val="auto"/>
                      <w:szCs w:val="21"/>
                    </w:rPr>
                  </w:pPr>
                  <w:r>
                    <w:rPr>
                      <w:rFonts w:hint="eastAsia" w:ascii="Times New Roman"/>
                      <w:color w:val="auto"/>
                      <w:szCs w:val="21"/>
                    </w:rPr>
                    <w:t>/</w:t>
                  </w:r>
                </w:p>
              </w:tc>
              <w:tc>
                <w:tcPr>
                  <w:tcW w:w="1146" w:type="pct"/>
                  <w:shd w:val="clear" w:color="auto" w:fill="auto"/>
                  <w:vAlign w:val="center"/>
                </w:tcPr>
                <w:p w14:paraId="41D87F5D">
                  <w:pPr>
                    <w:pStyle w:val="28"/>
                    <w:spacing w:before="24" w:after="24" w:line="240" w:lineRule="auto"/>
                    <w:rPr>
                      <w:rFonts w:ascii="Times New Roman"/>
                      <w:color w:val="auto"/>
                      <w:szCs w:val="21"/>
                    </w:rPr>
                  </w:pPr>
                  <w:r>
                    <w:rPr>
                      <w:rFonts w:hint="eastAsia" w:ascii="Times New Roman"/>
                      <w:color w:val="auto"/>
                      <w:szCs w:val="21"/>
                    </w:rPr>
                    <w:t>3024包</w:t>
                  </w:r>
                </w:p>
              </w:tc>
              <w:tc>
                <w:tcPr>
                  <w:tcW w:w="979" w:type="pct"/>
                  <w:vAlign w:val="center"/>
                </w:tcPr>
                <w:p w14:paraId="572C59DC">
                  <w:pPr>
                    <w:pStyle w:val="28"/>
                    <w:spacing w:before="24" w:after="24" w:line="240" w:lineRule="auto"/>
                    <w:rPr>
                      <w:rFonts w:ascii="Times New Roman"/>
                      <w:color w:val="auto"/>
                      <w:szCs w:val="21"/>
                    </w:rPr>
                  </w:pPr>
                  <w:r>
                    <w:rPr>
                      <w:rFonts w:hint="eastAsia" w:ascii="Times New Roman"/>
                      <w:color w:val="auto"/>
                      <w:szCs w:val="21"/>
                      <w:lang w:val="en-US" w:eastAsia="zh-CN"/>
                    </w:rPr>
                    <w:t>1000</w:t>
                  </w:r>
                  <w:r>
                    <w:rPr>
                      <w:rFonts w:hint="eastAsia" w:ascii="Times New Roman"/>
                      <w:color w:val="auto"/>
                      <w:szCs w:val="21"/>
                    </w:rPr>
                    <w:t>包</w:t>
                  </w:r>
                </w:p>
              </w:tc>
            </w:tr>
            <w:tr w14:paraId="25F9C2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420" w:type="pct"/>
                  <w:shd w:val="clear" w:color="auto" w:fill="auto"/>
                  <w:vAlign w:val="center"/>
                </w:tcPr>
                <w:p w14:paraId="1D31F213">
                  <w:pPr>
                    <w:pStyle w:val="28"/>
                    <w:spacing w:before="24" w:after="24" w:line="240" w:lineRule="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17</w:t>
                  </w:r>
                </w:p>
              </w:tc>
              <w:tc>
                <w:tcPr>
                  <w:tcW w:w="1096" w:type="pct"/>
                  <w:vAlign w:val="center"/>
                </w:tcPr>
                <w:p w14:paraId="562326BF">
                  <w:pPr>
                    <w:pStyle w:val="28"/>
                    <w:spacing w:before="24" w:after="24" w:line="240" w:lineRule="auto"/>
                    <w:rPr>
                      <w:color w:val="auto"/>
                    </w:rPr>
                  </w:pPr>
                  <w:r>
                    <w:rPr>
                      <w:rFonts w:hint="eastAsia"/>
                      <w:color w:val="auto"/>
                      <w:szCs w:val="21"/>
                    </w:rPr>
                    <w:t>试剂盒</w:t>
                  </w:r>
                </w:p>
              </w:tc>
              <w:tc>
                <w:tcPr>
                  <w:tcW w:w="1356" w:type="pct"/>
                  <w:vAlign w:val="center"/>
                </w:tcPr>
                <w:p w14:paraId="7E57C047">
                  <w:pPr>
                    <w:pStyle w:val="28"/>
                    <w:spacing w:before="24" w:after="24" w:line="240" w:lineRule="auto"/>
                    <w:rPr>
                      <w:rFonts w:ascii="Times New Roman"/>
                      <w:color w:val="auto"/>
                      <w:szCs w:val="21"/>
                    </w:rPr>
                  </w:pPr>
                  <w:r>
                    <w:rPr>
                      <w:rFonts w:ascii="Times New Roman"/>
                      <w:color w:val="auto"/>
                      <w:szCs w:val="21"/>
                    </w:rPr>
                    <w:t>ALT/ HBDH</w:t>
                  </w:r>
                  <w:r>
                    <w:rPr>
                      <w:rFonts w:hint="eastAsia" w:ascii="Times New Roman"/>
                      <w:color w:val="auto"/>
                      <w:szCs w:val="21"/>
                    </w:rPr>
                    <w:t>等试剂盒</w:t>
                  </w:r>
                </w:p>
              </w:tc>
              <w:tc>
                <w:tcPr>
                  <w:tcW w:w="1146" w:type="pct"/>
                  <w:shd w:val="clear" w:color="auto" w:fill="auto"/>
                  <w:vAlign w:val="center"/>
                </w:tcPr>
                <w:p w14:paraId="1D31765E">
                  <w:pPr>
                    <w:pStyle w:val="28"/>
                    <w:spacing w:before="24" w:after="24" w:line="240" w:lineRule="auto"/>
                    <w:rPr>
                      <w:rFonts w:ascii="Times New Roman"/>
                      <w:color w:val="auto"/>
                      <w:szCs w:val="21"/>
                    </w:rPr>
                  </w:pPr>
                  <w:r>
                    <w:rPr>
                      <w:rFonts w:hint="eastAsia" w:ascii="Times New Roman"/>
                      <w:color w:val="auto"/>
                      <w:szCs w:val="21"/>
                    </w:rPr>
                    <w:t>122盒</w:t>
                  </w:r>
                </w:p>
              </w:tc>
              <w:tc>
                <w:tcPr>
                  <w:tcW w:w="979" w:type="pct"/>
                  <w:vAlign w:val="center"/>
                </w:tcPr>
                <w:p w14:paraId="12AD8090">
                  <w:pPr>
                    <w:pStyle w:val="28"/>
                    <w:spacing w:before="24" w:after="24" w:line="240" w:lineRule="auto"/>
                    <w:rPr>
                      <w:rFonts w:ascii="Times New Roman"/>
                      <w:color w:val="auto"/>
                      <w:szCs w:val="21"/>
                    </w:rPr>
                  </w:pPr>
                  <w:r>
                    <w:rPr>
                      <w:rFonts w:hint="eastAsia" w:ascii="Times New Roman"/>
                      <w:color w:val="auto"/>
                      <w:szCs w:val="21"/>
                    </w:rPr>
                    <w:t>122盒</w:t>
                  </w:r>
                </w:p>
              </w:tc>
            </w:tr>
            <w:tr w14:paraId="151C54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20" w:type="pct"/>
                  <w:shd w:val="clear" w:color="auto" w:fill="auto"/>
                  <w:vAlign w:val="center"/>
                </w:tcPr>
                <w:p w14:paraId="6B800DA9">
                  <w:pPr>
                    <w:pStyle w:val="28"/>
                    <w:spacing w:before="24" w:after="24" w:line="240" w:lineRule="auto"/>
                    <w:rPr>
                      <w:rFonts w:hint="default" w:ascii="Times New Roman" w:hAnsi="Times New Roman" w:eastAsia="宋体" w:cs="Times New Roman"/>
                      <w:color w:val="auto"/>
                      <w:kern w:val="0"/>
                      <w:sz w:val="21"/>
                      <w:szCs w:val="21"/>
                      <w:lang w:val="en-US" w:eastAsia="zh-CN" w:bidi="ar-SA"/>
                    </w:rPr>
                  </w:pPr>
                  <w:bookmarkStart w:id="15" w:name="_Hlk145505106"/>
                  <w:r>
                    <w:rPr>
                      <w:rFonts w:hint="eastAsia" w:ascii="Times New Roman" w:eastAsia="宋体"/>
                      <w:color w:val="auto"/>
                      <w:szCs w:val="21"/>
                      <w:lang w:val="en-US" w:eastAsia="zh-CN"/>
                    </w:rPr>
                    <w:t>18</w:t>
                  </w:r>
                </w:p>
              </w:tc>
              <w:tc>
                <w:tcPr>
                  <w:tcW w:w="1096" w:type="pct"/>
                  <w:vAlign w:val="center"/>
                </w:tcPr>
                <w:p w14:paraId="4EA5EB32">
                  <w:pPr>
                    <w:pStyle w:val="28"/>
                    <w:spacing w:before="24" w:after="24" w:line="240" w:lineRule="auto"/>
                    <w:rPr>
                      <w:color w:val="auto"/>
                      <w:szCs w:val="21"/>
                    </w:rPr>
                  </w:pPr>
                  <w:r>
                    <w:rPr>
                      <w:rFonts w:hint="eastAsia"/>
                      <w:color w:val="auto"/>
                      <w:szCs w:val="21"/>
                    </w:rPr>
                    <w:t>除臭剂</w:t>
                  </w:r>
                </w:p>
              </w:tc>
              <w:tc>
                <w:tcPr>
                  <w:tcW w:w="1356" w:type="pct"/>
                  <w:vAlign w:val="center"/>
                </w:tcPr>
                <w:p w14:paraId="51FC7E4A">
                  <w:pPr>
                    <w:pStyle w:val="28"/>
                    <w:spacing w:before="24" w:after="24" w:line="240" w:lineRule="auto"/>
                    <w:rPr>
                      <w:rFonts w:ascii="Times New Roman"/>
                      <w:color w:val="auto"/>
                      <w:szCs w:val="21"/>
                    </w:rPr>
                  </w:pPr>
                  <w:r>
                    <w:rPr>
                      <w:rFonts w:hint="eastAsia" w:ascii="Times New Roman"/>
                      <w:color w:val="auto"/>
                      <w:szCs w:val="21"/>
                    </w:rPr>
                    <w:t>60mL/瓶</w:t>
                  </w:r>
                </w:p>
              </w:tc>
              <w:tc>
                <w:tcPr>
                  <w:tcW w:w="1146" w:type="pct"/>
                  <w:shd w:val="clear" w:color="auto" w:fill="auto"/>
                  <w:vAlign w:val="center"/>
                </w:tcPr>
                <w:p w14:paraId="5E5C5FE0">
                  <w:pPr>
                    <w:pStyle w:val="28"/>
                    <w:spacing w:before="24" w:after="24" w:line="240" w:lineRule="auto"/>
                    <w:rPr>
                      <w:rFonts w:hint="default" w:ascii="Times New Roman" w:eastAsia="宋体"/>
                      <w:color w:val="auto"/>
                      <w:szCs w:val="21"/>
                      <w:lang w:val="en-US" w:eastAsia="zh-CN"/>
                    </w:rPr>
                  </w:pPr>
                  <w:r>
                    <w:rPr>
                      <w:rFonts w:hint="eastAsia" w:ascii="Times New Roman"/>
                      <w:color w:val="auto"/>
                      <w:szCs w:val="21"/>
                      <w:lang w:val="en-US" w:eastAsia="zh-CN"/>
                    </w:rPr>
                    <w:t>2瓶</w:t>
                  </w:r>
                </w:p>
              </w:tc>
              <w:tc>
                <w:tcPr>
                  <w:tcW w:w="979" w:type="pct"/>
                  <w:vAlign w:val="center"/>
                </w:tcPr>
                <w:p w14:paraId="60B92B93">
                  <w:pPr>
                    <w:pStyle w:val="28"/>
                    <w:spacing w:before="24" w:after="24" w:line="240" w:lineRule="auto"/>
                    <w:rPr>
                      <w:rFonts w:ascii="Times New Roman"/>
                      <w:color w:val="auto"/>
                      <w:szCs w:val="21"/>
                    </w:rPr>
                  </w:pPr>
                  <w:r>
                    <w:rPr>
                      <w:rFonts w:hint="eastAsia" w:ascii="Times New Roman"/>
                      <w:color w:val="auto"/>
                      <w:szCs w:val="21"/>
                      <w:lang w:val="en-US" w:eastAsia="zh-CN"/>
                    </w:rPr>
                    <w:t>1</w:t>
                  </w:r>
                  <w:r>
                    <w:rPr>
                      <w:rFonts w:hint="eastAsia" w:ascii="Times New Roman"/>
                      <w:color w:val="auto"/>
                      <w:szCs w:val="21"/>
                    </w:rPr>
                    <w:t>瓶</w:t>
                  </w:r>
                </w:p>
              </w:tc>
            </w:tr>
          </w:tbl>
          <w:p w14:paraId="58372AD3">
            <w:pPr>
              <w:snapToGrid w:val="0"/>
              <w:jc w:val="center"/>
              <w:rPr>
                <w:b/>
                <w:color w:val="auto"/>
                <w:szCs w:val="21"/>
              </w:rPr>
            </w:pPr>
            <w:r>
              <w:rPr>
                <w:rFonts w:hint="eastAsia"/>
                <w:b/>
                <w:color w:val="auto"/>
                <w:szCs w:val="21"/>
              </w:rPr>
              <w:t>表2-</w:t>
            </w:r>
            <w:r>
              <w:rPr>
                <w:rFonts w:hint="eastAsia"/>
                <w:b/>
                <w:color w:val="auto"/>
                <w:szCs w:val="21"/>
                <w:lang w:val="en-US" w:eastAsia="zh-CN"/>
              </w:rPr>
              <w:t>4</w:t>
            </w:r>
            <w:r>
              <w:rPr>
                <w:rFonts w:hint="eastAsia"/>
                <w:b/>
                <w:color w:val="auto"/>
                <w:szCs w:val="21"/>
              </w:rPr>
              <w:t xml:space="preserve">  主要试剂理化性质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480"/>
              <w:gridCol w:w="647"/>
              <w:gridCol w:w="4128"/>
              <w:gridCol w:w="2448"/>
              <w:gridCol w:w="696"/>
            </w:tblGrid>
            <w:tr w14:paraId="67DB709C">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90" w:hRule="atLeast"/>
                <w:tblHeader/>
                <w:jc w:val="center"/>
              </w:trPr>
              <w:tc>
                <w:tcPr>
                  <w:tcW w:w="480" w:type="dxa"/>
                  <w:tcBorders>
                    <w:tl2br w:val="nil"/>
                    <w:tr2bl w:val="nil"/>
                  </w:tcBorders>
                  <w:vAlign w:val="center"/>
                </w:tcPr>
                <w:p w14:paraId="2D73EB61">
                  <w:pPr>
                    <w:pStyle w:val="28"/>
                    <w:spacing w:before="24" w:after="24" w:line="240" w:lineRule="auto"/>
                    <w:rPr>
                      <w:rFonts w:ascii="Times New Roman"/>
                      <w:b/>
                      <w:bCs/>
                      <w:color w:val="auto"/>
                      <w:szCs w:val="21"/>
                    </w:rPr>
                  </w:pPr>
                  <w:r>
                    <w:rPr>
                      <w:rFonts w:ascii="Times New Roman"/>
                      <w:b/>
                      <w:bCs/>
                      <w:color w:val="auto"/>
                      <w:szCs w:val="21"/>
                    </w:rPr>
                    <w:t>序号</w:t>
                  </w:r>
                </w:p>
              </w:tc>
              <w:tc>
                <w:tcPr>
                  <w:tcW w:w="647" w:type="dxa"/>
                  <w:tcBorders>
                    <w:tl2br w:val="nil"/>
                    <w:tr2bl w:val="nil"/>
                  </w:tcBorders>
                  <w:vAlign w:val="center"/>
                </w:tcPr>
                <w:p w14:paraId="739A056D">
                  <w:pPr>
                    <w:pStyle w:val="28"/>
                    <w:spacing w:before="24" w:after="24" w:line="240" w:lineRule="auto"/>
                    <w:rPr>
                      <w:rFonts w:ascii="Times New Roman"/>
                      <w:b/>
                      <w:bCs/>
                      <w:color w:val="auto"/>
                      <w:szCs w:val="21"/>
                    </w:rPr>
                  </w:pPr>
                  <w:r>
                    <w:rPr>
                      <w:rFonts w:ascii="Times New Roman"/>
                      <w:b/>
                      <w:bCs/>
                      <w:color w:val="auto"/>
                      <w:szCs w:val="21"/>
                    </w:rPr>
                    <w:t>名称</w:t>
                  </w:r>
                </w:p>
              </w:tc>
              <w:tc>
                <w:tcPr>
                  <w:tcW w:w="4128" w:type="dxa"/>
                  <w:tcBorders>
                    <w:tl2br w:val="nil"/>
                    <w:tr2bl w:val="nil"/>
                  </w:tcBorders>
                  <w:vAlign w:val="center"/>
                </w:tcPr>
                <w:p w14:paraId="1CD6D58E">
                  <w:pPr>
                    <w:pStyle w:val="28"/>
                    <w:spacing w:before="24" w:after="24" w:line="240" w:lineRule="auto"/>
                    <w:rPr>
                      <w:rFonts w:ascii="Times New Roman"/>
                      <w:b/>
                      <w:bCs/>
                      <w:color w:val="auto"/>
                      <w:szCs w:val="21"/>
                    </w:rPr>
                  </w:pPr>
                  <w:r>
                    <w:rPr>
                      <w:rFonts w:ascii="Times New Roman"/>
                      <w:b/>
                      <w:bCs/>
                      <w:color w:val="auto"/>
                      <w:szCs w:val="21"/>
                    </w:rPr>
                    <w:t>理化特性</w:t>
                  </w:r>
                </w:p>
              </w:tc>
              <w:tc>
                <w:tcPr>
                  <w:tcW w:w="2448" w:type="dxa"/>
                  <w:tcBorders>
                    <w:tl2br w:val="nil"/>
                    <w:tr2bl w:val="nil"/>
                  </w:tcBorders>
                  <w:vAlign w:val="center"/>
                </w:tcPr>
                <w:p w14:paraId="672AE364">
                  <w:pPr>
                    <w:pStyle w:val="28"/>
                    <w:spacing w:before="24" w:after="24" w:line="240" w:lineRule="auto"/>
                    <w:rPr>
                      <w:rFonts w:ascii="Times New Roman"/>
                      <w:b/>
                      <w:bCs/>
                      <w:color w:val="auto"/>
                      <w:szCs w:val="21"/>
                    </w:rPr>
                  </w:pPr>
                  <w:r>
                    <w:rPr>
                      <w:rFonts w:ascii="Times New Roman"/>
                      <w:b/>
                      <w:bCs/>
                      <w:color w:val="auto"/>
                      <w:szCs w:val="21"/>
                    </w:rPr>
                    <w:t>毒理特性</w:t>
                  </w:r>
                </w:p>
              </w:tc>
              <w:tc>
                <w:tcPr>
                  <w:tcW w:w="696" w:type="dxa"/>
                  <w:tcBorders>
                    <w:tl2br w:val="nil"/>
                    <w:tr2bl w:val="nil"/>
                  </w:tcBorders>
                  <w:vAlign w:val="center"/>
                </w:tcPr>
                <w:p w14:paraId="1D717B37">
                  <w:pPr>
                    <w:pStyle w:val="28"/>
                    <w:spacing w:before="24" w:after="24" w:line="240" w:lineRule="auto"/>
                    <w:rPr>
                      <w:rFonts w:ascii="Times New Roman"/>
                      <w:b/>
                      <w:bCs/>
                      <w:color w:val="auto"/>
                      <w:szCs w:val="21"/>
                    </w:rPr>
                  </w:pPr>
                  <w:r>
                    <w:rPr>
                      <w:rFonts w:ascii="Times New Roman"/>
                      <w:b/>
                      <w:bCs/>
                      <w:color w:val="auto"/>
                      <w:szCs w:val="21"/>
                    </w:rPr>
                    <w:t>燃烧特性</w:t>
                  </w:r>
                </w:p>
              </w:tc>
            </w:tr>
            <w:tr w14:paraId="090E4157">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480" w:type="dxa"/>
                  <w:tcBorders>
                    <w:tl2br w:val="nil"/>
                    <w:tr2bl w:val="nil"/>
                  </w:tcBorders>
                  <w:vAlign w:val="center"/>
                </w:tcPr>
                <w:p w14:paraId="4E53D7D9">
                  <w:pPr>
                    <w:pStyle w:val="28"/>
                    <w:spacing w:before="24" w:after="24" w:line="240" w:lineRule="auto"/>
                    <w:rPr>
                      <w:rFonts w:ascii="Times New Roman"/>
                      <w:color w:val="auto"/>
                      <w:szCs w:val="21"/>
                    </w:rPr>
                  </w:pPr>
                  <w:r>
                    <w:rPr>
                      <w:rFonts w:ascii="Times New Roman"/>
                      <w:color w:val="auto"/>
                      <w:szCs w:val="21"/>
                    </w:rPr>
                    <w:t>1</w:t>
                  </w:r>
                </w:p>
              </w:tc>
              <w:tc>
                <w:tcPr>
                  <w:tcW w:w="647" w:type="dxa"/>
                  <w:tcBorders>
                    <w:tl2br w:val="nil"/>
                    <w:tr2bl w:val="nil"/>
                  </w:tcBorders>
                  <w:vAlign w:val="center"/>
                </w:tcPr>
                <w:p w14:paraId="1C03BA92">
                  <w:pPr>
                    <w:pStyle w:val="28"/>
                    <w:spacing w:before="24" w:after="24" w:line="240" w:lineRule="auto"/>
                    <w:rPr>
                      <w:rFonts w:ascii="Times New Roman"/>
                      <w:color w:val="auto"/>
                      <w:szCs w:val="21"/>
                    </w:rPr>
                  </w:pPr>
                  <w:r>
                    <w:rPr>
                      <w:rFonts w:ascii="Times New Roman"/>
                      <w:color w:val="auto"/>
                      <w:szCs w:val="21"/>
                    </w:rPr>
                    <w:t>生理盐水</w:t>
                  </w:r>
                </w:p>
              </w:tc>
              <w:tc>
                <w:tcPr>
                  <w:tcW w:w="4128" w:type="dxa"/>
                  <w:tcBorders>
                    <w:tl2br w:val="nil"/>
                    <w:tr2bl w:val="nil"/>
                  </w:tcBorders>
                  <w:vAlign w:val="center"/>
                </w:tcPr>
                <w:p w14:paraId="2B48DCF6">
                  <w:pPr>
                    <w:pStyle w:val="28"/>
                    <w:spacing w:before="24" w:after="24" w:line="240" w:lineRule="auto"/>
                    <w:rPr>
                      <w:rFonts w:ascii="Times New Roman"/>
                      <w:color w:val="auto"/>
                      <w:szCs w:val="21"/>
                    </w:rPr>
                  </w:pPr>
                  <w:r>
                    <w:rPr>
                      <w:rFonts w:ascii="Times New Roman"/>
                      <w:color w:val="auto"/>
                      <w:szCs w:val="21"/>
                    </w:rPr>
                    <w:t>0.9%的氯化钠水溶液，无色的澄明液体；味微咸。</w:t>
                  </w:r>
                </w:p>
              </w:tc>
              <w:tc>
                <w:tcPr>
                  <w:tcW w:w="2448" w:type="dxa"/>
                  <w:tcBorders>
                    <w:tl2br w:val="nil"/>
                    <w:tr2bl w:val="nil"/>
                  </w:tcBorders>
                  <w:vAlign w:val="center"/>
                </w:tcPr>
                <w:p w14:paraId="01D58CB0">
                  <w:pPr>
                    <w:pStyle w:val="28"/>
                    <w:spacing w:before="24" w:after="24" w:line="240" w:lineRule="auto"/>
                    <w:rPr>
                      <w:rFonts w:ascii="Times New Roman"/>
                      <w:color w:val="auto"/>
                      <w:szCs w:val="21"/>
                    </w:rPr>
                  </w:pPr>
                  <w:r>
                    <w:rPr>
                      <w:rFonts w:ascii="Times New Roman"/>
                      <w:color w:val="auto"/>
                      <w:szCs w:val="21"/>
                    </w:rPr>
                    <w:t>用药过量可致高钠血症和低钾血症，并能引起碳酸氢盐丢失。</w:t>
                  </w:r>
                </w:p>
              </w:tc>
              <w:tc>
                <w:tcPr>
                  <w:tcW w:w="696" w:type="dxa"/>
                  <w:tcBorders>
                    <w:tl2br w:val="nil"/>
                    <w:tr2bl w:val="nil"/>
                  </w:tcBorders>
                  <w:vAlign w:val="center"/>
                </w:tcPr>
                <w:p w14:paraId="6C243C86">
                  <w:pPr>
                    <w:pStyle w:val="28"/>
                    <w:spacing w:before="24" w:after="24" w:line="240" w:lineRule="auto"/>
                    <w:rPr>
                      <w:rFonts w:ascii="Times New Roman"/>
                      <w:color w:val="auto"/>
                      <w:szCs w:val="21"/>
                    </w:rPr>
                  </w:pPr>
                  <w:r>
                    <w:rPr>
                      <w:rFonts w:hint="eastAsia" w:ascii="Times New Roman"/>
                      <w:color w:val="auto"/>
                      <w:szCs w:val="21"/>
                    </w:rPr>
                    <w:t>不燃</w:t>
                  </w:r>
                </w:p>
              </w:tc>
            </w:tr>
            <w:tr w14:paraId="2C08FFA3">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358" w:hRule="atLeast"/>
                <w:jc w:val="center"/>
              </w:trPr>
              <w:tc>
                <w:tcPr>
                  <w:tcW w:w="480" w:type="dxa"/>
                  <w:tcBorders>
                    <w:tl2br w:val="nil"/>
                    <w:tr2bl w:val="nil"/>
                  </w:tcBorders>
                  <w:vAlign w:val="center"/>
                </w:tcPr>
                <w:p w14:paraId="4E2BBAF3">
                  <w:pPr>
                    <w:pStyle w:val="28"/>
                    <w:spacing w:before="24" w:after="24" w:line="240" w:lineRule="auto"/>
                    <w:rPr>
                      <w:rFonts w:ascii="Times New Roman"/>
                      <w:color w:val="auto"/>
                      <w:szCs w:val="21"/>
                    </w:rPr>
                  </w:pPr>
                  <w:r>
                    <w:rPr>
                      <w:rFonts w:ascii="Times New Roman"/>
                      <w:color w:val="auto"/>
                      <w:szCs w:val="21"/>
                    </w:rPr>
                    <w:t>2</w:t>
                  </w:r>
                </w:p>
              </w:tc>
              <w:tc>
                <w:tcPr>
                  <w:tcW w:w="647" w:type="dxa"/>
                  <w:tcBorders>
                    <w:tl2br w:val="nil"/>
                    <w:tr2bl w:val="nil"/>
                  </w:tcBorders>
                  <w:vAlign w:val="center"/>
                </w:tcPr>
                <w:p w14:paraId="4C00E6EB">
                  <w:pPr>
                    <w:pStyle w:val="28"/>
                    <w:spacing w:before="24" w:after="24" w:line="240" w:lineRule="auto"/>
                    <w:rPr>
                      <w:rFonts w:ascii="Times New Roman"/>
                      <w:color w:val="auto"/>
                      <w:szCs w:val="21"/>
                    </w:rPr>
                  </w:pPr>
                  <w:r>
                    <w:rPr>
                      <w:rFonts w:ascii="Times New Roman"/>
                      <w:color w:val="auto"/>
                      <w:szCs w:val="21"/>
                    </w:rPr>
                    <w:t>医用酒精</w:t>
                  </w:r>
                </w:p>
              </w:tc>
              <w:tc>
                <w:tcPr>
                  <w:tcW w:w="4128" w:type="dxa"/>
                  <w:tcBorders>
                    <w:tl2br w:val="nil"/>
                    <w:tr2bl w:val="nil"/>
                  </w:tcBorders>
                  <w:vAlign w:val="center"/>
                </w:tcPr>
                <w:p w14:paraId="018860D1">
                  <w:pPr>
                    <w:pStyle w:val="28"/>
                    <w:spacing w:before="24" w:after="24" w:line="240" w:lineRule="auto"/>
                    <w:jc w:val="both"/>
                    <w:rPr>
                      <w:rFonts w:ascii="Times New Roman"/>
                      <w:color w:val="auto"/>
                      <w:szCs w:val="21"/>
                    </w:rPr>
                  </w:pPr>
                  <w:r>
                    <w:rPr>
                      <w:rFonts w:ascii="Times New Roman"/>
                      <w:color w:val="auto"/>
                      <w:szCs w:val="21"/>
                    </w:rPr>
                    <w:t>酒精是一种</w:t>
                  </w:r>
                  <w:r>
                    <w:rPr>
                      <w:rFonts w:ascii="Times New Roman"/>
                      <w:bCs/>
                      <w:color w:val="auto"/>
                      <w:szCs w:val="21"/>
                    </w:rPr>
                    <w:t>无色透明、易挥发，</w:t>
                  </w:r>
                  <w:r>
                    <w:rPr>
                      <w:rFonts w:ascii="Times New Roman"/>
                      <w:iCs/>
                      <w:color w:val="auto"/>
                      <w:szCs w:val="21"/>
                    </w:rPr>
                    <w:t>易燃烧，</w:t>
                  </w:r>
                  <w:r>
                    <w:rPr>
                      <w:rFonts w:ascii="Times New Roman"/>
                      <w:bCs/>
                      <w:color w:val="auto"/>
                      <w:szCs w:val="21"/>
                    </w:rPr>
                    <w:t>不导电</w:t>
                  </w:r>
                  <w:r>
                    <w:rPr>
                      <w:rFonts w:ascii="Times New Roman"/>
                      <w:color w:val="auto"/>
                      <w:szCs w:val="21"/>
                    </w:rPr>
                    <w:t>的液体。有</w:t>
                  </w:r>
                  <w:r>
                    <w:rPr>
                      <w:rFonts w:ascii="Times New Roman"/>
                      <w:bCs/>
                      <w:color w:val="auto"/>
                      <w:szCs w:val="21"/>
                    </w:rPr>
                    <w:t>酒的气味</w:t>
                  </w:r>
                  <w:r>
                    <w:rPr>
                      <w:rFonts w:ascii="Times New Roman"/>
                      <w:color w:val="auto"/>
                      <w:szCs w:val="21"/>
                    </w:rPr>
                    <w:t>和</w:t>
                  </w:r>
                  <w:r>
                    <w:rPr>
                      <w:rFonts w:ascii="Times New Roman"/>
                      <w:bCs/>
                      <w:color w:val="auto"/>
                      <w:szCs w:val="21"/>
                    </w:rPr>
                    <w:t>刺激的辛辣滋味，</w:t>
                  </w:r>
                  <w:r>
                    <w:rPr>
                      <w:rFonts w:ascii="Times New Roman"/>
                      <w:color w:val="auto"/>
                      <w:szCs w:val="21"/>
                    </w:rPr>
                    <w:t>微甘。</w:t>
                  </w:r>
                  <w:r>
                    <w:rPr>
                      <w:rFonts w:ascii="Times New Roman"/>
                      <w:bCs/>
                      <w:color w:val="auto"/>
                      <w:szCs w:val="21"/>
                    </w:rPr>
                    <w:t>凝固点-117.3℃。沸点78.2℃。</w:t>
                  </w:r>
                  <w:r>
                    <w:rPr>
                      <w:rFonts w:ascii="Times New Roman"/>
                      <w:iCs/>
                      <w:color w:val="auto"/>
                      <w:szCs w:val="21"/>
                    </w:rPr>
                    <w:t>能与水、甲醇、乙醚和氯仿等以任何比例混溶。有吸湿性。与水能形成共沸混合物，</w:t>
                  </w:r>
                  <w:r>
                    <w:rPr>
                      <w:rFonts w:ascii="Times New Roman"/>
                      <w:bCs/>
                      <w:color w:val="auto"/>
                      <w:szCs w:val="21"/>
                    </w:rPr>
                    <w:t>共沸点78.15℃。</w:t>
                  </w:r>
                  <w:r>
                    <w:rPr>
                      <w:rFonts w:ascii="Times New Roman"/>
                      <w:iCs/>
                      <w:color w:val="auto"/>
                      <w:szCs w:val="21"/>
                    </w:rPr>
                    <w:t>乙醇蒸气与空气混合能引起爆炸，</w:t>
                  </w:r>
                  <w:r>
                    <w:rPr>
                      <w:rFonts w:ascii="Times New Roman"/>
                      <w:color w:val="auto"/>
                      <w:szCs w:val="21"/>
                    </w:rPr>
                    <w:t>爆炸极限浓度3.5-18.0％(W)。酒精在70％(V)时，对于细菌具有强烈的杀伤作用．也可以作防腐剂，溶剂等。处于临界状态（243℃、60kg／CM·CM）时的乙醇，</w:t>
                  </w:r>
                  <w:r>
                    <w:rPr>
                      <w:rFonts w:ascii="Times New Roman"/>
                      <w:bCs/>
                      <w:color w:val="auto"/>
                      <w:szCs w:val="21"/>
                    </w:rPr>
                    <w:t>有极强烈的溶解能力</w:t>
                  </w:r>
                  <w:r>
                    <w:rPr>
                      <w:rFonts w:ascii="Times New Roman"/>
                      <w:color w:val="auto"/>
                      <w:szCs w:val="21"/>
                    </w:rPr>
                    <w:t>，可实现超临界淬取。</w:t>
                  </w:r>
                </w:p>
              </w:tc>
              <w:tc>
                <w:tcPr>
                  <w:tcW w:w="2448" w:type="dxa"/>
                  <w:tcBorders>
                    <w:tl2br w:val="nil"/>
                    <w:tr2bl w:val="nil"/>
                  </w:tcBorders>
                  <w:vAlign w:val="center"/>
                </w:tcPr>
                <w:p w14:paraId="6798D3C9">
                  <w:pPr>
                    <w:pStyle w:val="28"/>
                    <w:spacing w:before="24" w:after="24" w:line="240" w:lineRule="auto"/>
                    <w:jc w:val="both"/>
                    <w:rPr>
                      <w:rFonts w:ascii="Times New Roman"/>
                      <w:color w:val="auto"/>
                      <w:szCs w:val="21"/>
                    </w:rPr>
                  </w:pPr>
                  <w:r>
                    <w:rPr>
                      <w:rFonts w:ascii="Times New Roman"/>
                      <w:color w:val="auto"/>
                      <w:szCs w:val="21"/>
                    </w:rPr>
                    <w:t>毒性：LD</w:t>
                  </w:r>
                  <w:r>
                    <w:rPr>
                      <w:rFonts w:ascii="Times New Roman"/>
                      <w:color w:val="auto"/>
                      <w:szCs w:val="21"/>
                      <w:vertAlign w:val="subscript"/>
                    </w:rPr>
                    <w:t>50</w:t>
                  </w:r>
                  <w:r>
                    <w:rPr>
                      <w:rFonts w:ascii="Times New Roman"/>
                      <w:color w:val="auto"/>
                      <w:szCs w:val="21"/>
                    </w:rPr>
                    <w:t>：7060 mg/kg(兔经口)；7430 mg/kg(兔经皮)；LC</w:t>
                  </w:r>
                  <w:r>
                    <w:rPr>
                      <w:rFonts w:ascii="Times New Roman"/>
                      <w:color w:val="auto"/>
                      <w:szCs w:val="21"/>
                      <w:vertAlign w:val="subscript"/>
                    </w:rPr>
                    <w:t>50</w:t>
                  </w:r>
                  <w:r>
                    <w:rPr>
                      <w:rFonts w:ascii="Times New Roman"/>
                      <w:color w:val="auto"/>
                      <w:szCs w:val="21"/>
                    </w:rPr>
                    <w:t>：37620 mg/m</w:t>
                  </w:r>
                  <w:r>
                    <w:rPr>
                      <w:rFonts w:ascii="Times New Roman"/>
                      <w:color w:val="auto"/>
                      <w:szCs w:val="21"/>
                      <w:vertAlign w:val="superscript"/>
                    </w:rPr>
                    <w:t>3</w:t>
                  </w:r>
                  <w:r>
                    <w:rPr>
                      <w:rFonts w:ascii="Times New Roman"/>
                      <w:color w:val="auto"/>
                      <w:szCs w:val="21"/>
                    </w:rPr>
                    <w:t>，10小时（大鼠吸入）</w:t>
                  </w:r>
                </w:p>
              </w:tc>
              <w:tc>
                <w:tcPr>
                  <w:tcW w:w="696" w:type="dxa"/>
                  <w:tcBorders>
                    <w:tl2br w:val="nil"/>
                    <w:tr2bl w:val="nil"/>
                  </w:tcBorders>
                  <w:vAlign w:val="center"/>
                </w:tcPr>
                <w:p w14:paraId="426E8ADA">
                  <w:pPr>
                    <w:pStyle w:val="28"/>
                    <w:spacing w:before="24" w:after="24" w:line="240" w:lineRule="auto"/>
                    <w:rPr>
                      <w:rFonts w:ascii="Times New Roman"/>
                      <w:color w:val="auto"/>
                      <w:szCs w:val="21"/>
                    </w:rPr>
                  </w:pPr>
                  <w:r>
                    <w:rPr>
                      <w:rFonts w:hint="eastAsia" w:ascii="Times New Roman"/>
                      <w:color w:val="auto"/>
                      <w:szCs w:val="21"/>
                    </w:rPr>
                    <w:t>易燃</w:t>
                  </w:r>
                </w:p>
              </w:tc>
            </w:tr>
            <w:tr w14:paraId="1A22B82A">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1934" w:hRule="atLeast"/>
                <w:jc w:val="center"/>
              </w:trPr>
              <w:tc>
                <w:tcPr>
                  <w:tcW w:w="480" w:type="dxa"/>
                  <w:tcBorders>
                    <w:tl2br w:val="nil"/>
                    <w:tr2bl w:val="nil"/>
                  </w:tcBorders>
                  <w:vAlign w:val="center"/>
                </w:tcPr>
                <w:p w14:paraId="48BC25F3">
                  <w:pPr>
                    <w:pStyle w:val="28"/>
                    <w:spacing w:before="24" w:after="24" w:line="240" w:lineRule="auto"/>
                    <w:rPr>
                      <w:rFonts w:ascii="Times New Roman"/>
                      <w:color w:val="auto"/>
                      <w:szCs w:val="21"/>
                    </w:rPr>
                  </w:pPr>
                  <w:r>
                    <w:rPr>
                      <w:rFonts w:ascii="Times New Roman"/>
                      <w:color w:val="auto"/>
                      <w:szCs w:val="21"/>
                    </w:rPr>
                    <w:t>3</w:t>
                  </w:r>
                </w:p>
              </w:tc>
              <w:tc>
                <w:tcPr>
                  <w:tcW w:w="647" w:type="dxa"/>
                  <w:tcBorders>
                    <w:tl2br w:val="nil"/>
                    <w:tr2bl w:val="nil"/>
                  </w:tcBorders>
                  <w:vAlign w:val="center"/>
                </w:tcPr>
                <w:p w14:paraId="79B69FD3">
                  <w:pPr>
                    <w:pStyle w:val="28"/>
                    <w:spacing w:before="24" w:after="24" w:line="240" w:lineRule="auto"/>
                    <w:rPr>
                      <w:rFonts w:ascii="Times New Roman"/>
                      <w:color w:val="auto"/>
                      <w:szCs w:val="21"/>
                    </w:rPr>
                  </w:pPr>
                  <w:r>
                    <w:rPr>
                      <w:rFonts w:ascii="Times New Roman"/>
                      <w:color w:val="auto"/>
                      <w:szCs w:val="21"/>
                    </w:rPr>
                    <w:t>碘酒</w:t>
                  </w:r>
                </w:p>
              </w:tc>
              <w:tc>
                <w:tcPr>
                  <w:tcW w:w="4128" w:type="dxa"/>
                  <w:tcBorders>
                    <w:tl2br w:val="nil"/>
                    <w:tr2bl w:val="nil"/>
                  </w:tcBorders>
                  <w:vAlign w:val="center"/>
                </w:tcPr>
                <w:p w14:paraId="7A7E72CA">
                  <w:pPr>
                    <w:pStyle w:val="28"/>
                    <w:spacing w:before="24" w:after="24" w:line="240" w:lineRule="auto"/>
                    <w:jc w:val="both"/>
                    <w:rPr>
                      <w:rFonts w:ascii="Times New Roman"/>
                      <w:color w:val="auto"/>
                      <w:szCs w:val="21"/>
                    </w:rPr>
                  </w:pPr>
                  <w:r>
                    <w:rPr>
                      <w:rFonts w:ascii="Times New Roman"/>
                      <w:color w:val="auto"/>
                      <w:szCs w:val="21"/>
                    </w:rPr>
                    <w:t>为红棕色澄清液体；有碘与乙醇的特臭。碘酒也叫碘酊，碘和碘化钾的酒精溶液。能渗入皮肤杀死细菌（2%—3%碘酒用作皮肤消毒。1%碘酒用作口腔黏膜消毒）。含碘(I)应为1.80％～2.20％(g/ml)，含碘化钾(KI)应为1.35％～1.65％(g/ml)。</w:t>
                  </w:r>
                </w:p>
              </w:tc>
              <w:tc>
                <w:tcPr>
                  <w:tcW w:w="2448" w:type="dxa"/>
                  <w:tcBorders>
                    <w:tl2br w:val="nil"/>
                    <w:tr2bl w:val="nil"/>
                  </w:tcBorders>
                  <w:vAlign w:val="center"/>
                </w:tcPr>
                <w:p w14:paraId="458E5A76">
                  <w:pPr>
                    <w:pStyle w:val="28"/>
                    <w:spacing w:before="24" w:after="24" w:line="240" w:lineRule="auto"/>
                    <w:jc w:val="both"/>
                    <w:rPr>
                      <w:rFonts w:ascii="Times New Roman"/>
                      <w:color w:val="auto"/>
                      <w:szCs w:val="21"/>
                    </w:rPr>
                  </w:pPr>
                  <w:r>
                    <w:rPr>
                      <w:rFonts w:ascii="Times New Roman"/>
                      <w:color w:val="auto"/>
                      <w:szCs w:val="21"/>
                    </w:rPr>
                    <w:t>不能大面积使用碘酒，以防大量碘吸收而出现碘中毒</w:t>
                  </w:r>
                </w:p>
              </w:tc>
              <w:tc>
                <w:tcPr>
                  <w:tcW w:w="696" w:type="dxa"/>
                  <w:tcBorders>
                    <w:tl2br w:val="nil"/>
                    <w:tr2bl w:val="nil"/>
                  </w:tcBorders>
                  <w:vAlign w:val="center"/>
                </w:tcPr>
                <w:p w14:paraId="2429614D">
                  <w:pPr>
                    <w:pStyle w:val="28"/>
                    <w:spacing w:before="24" w:after="24" w:line="240" w:lineRule="auto"/>
                    <w:rPr>
                      <w:rFonts w:ascii="Times New Roman"/>
                      <w:color w:val="auto"/>
                      <w:szCs w:val="21"/>
                    </w:rPr>
                  </w:pPr>
                  <w:r>
                    <w:rPr>
                      <w:rFonts w:hint="eastAsia" w:ascii="Times New Roman"/>
                      <w:color w:val="auto"/>
                      <w:szCs w:val="21"/>
                    </w:rPr>
                    <w:t>/</w:t>
                  </w:r>
                </w:p>
              </w:tc>
            </w:tr>
            <w:tr w14:paraId="3397895A">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480" w:type="dxa"/>
                  <w:tcBorders>
                    <w:tl2br w:val="nil"/>
                    <w:tr2bl w:val="nil"/>
                  </w:tcBorders>
                  <w:vAlign w:val="center"/>
                </w:tcPr>
                <w:p w14:paraId="1DA66A5C">
                  <w:pPr>
                    <w:pStyle w:val="28"/>
                    <w:spacing w:before="24" w:after="24" w:line="240" w:lineRule="auto"/>
                    <w:rPr>
                      <w:rFonts w:ascii="Times New Roman"/>
                      <w:color w:val="auto"/>
                      <w:szCs w:val="21"/>
                    </w:rPr>
                  </w:pPr>
                  <w:r>
                    <w:rPr>
                      <w:rFonts w:ascii="Times New Roman"/>
                      <w:color w:val="auto"/>
                      <w:szCs w:val="21"/>
                    </w:rPr>
                    <w:t>4</w:t>
                  </w:r>
                </w:p>
              </w:tc>
              <w:tc>
                <w:tcPr>
                  <w:tcW w:w="647" w:type="dxa"/>
                  <w:tcBorders>
                    <w:tl2br w:val="nil"/>
                    <w:tr2bl w:val="nil"/>
                  </w:tcBorders>
                  <w:vAlign w:val="center"/>
                </w:tcPr>
                <w:p w14:paraId="10CBF86F">
                  <w:pPr>
                    <w:pStyle w:val="28"/>
                    <w:spacing w:before="24" w:after="24" w:line="240" w:lineRule="auto"/>
                    <w:rPr>
                      <w:rFonts w:ascii="Times New Roman"/>
                      <w:color w:val="auto"/>
                      <w:szCs w:val="21"/>
                    </w:rPr>
                  </w:pPr>
                  <w:r>
                    <w:rPr>
                      <w:rFonts w:ascii="Times New Roman"/>
                      <w:color w:val="auto"/>
                      <w:szCs w:val="21"/>
                    </w:rPr>
                    <w:t>碘伏</w:t>
                  </w:r>
                </w:p>
              </w:tc>
              <w:tc>
                <w:tcPr>
                  <w:tcW w:w="4128" w:type="dxa"/>
                  <w:tcBorders>
                    <w:tl2br w:val="nil"/>
                    <w:tr2bl w:val="nil"/>
                  </w:tcBorders>
                  <w:vAlign w:val="center"/>
                </w:tcPr>
                <w:p w14:paraId="0E3BE84B">
                  <w:pPr>
                    <w:pStyle w:val="28"/>
                    <w:spacing w:before="24" w:after="24" w:line="240" w:lineRule="auto"/>
                    <w:jc w:val="both"/>
                    <w:rPr>
                      <w:rFonts w:ascii="Times New Roman"/>
                      <w:color w:val="auto"/>
                      <w:szCs w:val="21"/>
                    </w:rPr>
                  </w:pPr>
                  <w:r>
                    <w:rPr>
                      <w:rFonts w:ascii="Times New Roman"/>
                      <w:color w:val="auto"/>
                      <w:szCs w:val="21"/>
                    </w:rPr>
                    <w:t>紫黑色液体。是</w:t>
                  </w:r>
                  <w:r>
                    <w:rPr>
                      <w:color w:val="auto"/>
                    </w:rPr>
                    <w:fldChar w:fldCharType="begin"/>
                  </w:r>
                  <w:r>
                    <w:rPr>
                      <w:color w:val="auto"/>
                    </w:rPr>
                    <w:instrText xml:space="preserve"> HYPERLINK "http://baike.baidu.com/view/24022.htm" \t "_blank" </w:instrText>
                  </w:r>
                  <w:r>
                    <w:rPr>
                      <w:color w:val="auto"/>
                    </w:rPr>
                    <w:fldChar w:fldCharType="separate"/>
                  </w:r>
                  <w:r>
                    <w:rPr>
                      <w:rFonts w:ascii="Times New Roman"/>
                      <w:color w:val="auto"/>
                      <w:szCs w:val="21"/>
                    </w:rPr>
                    <w:t>碘</w:t>
                  </w:r>
                  <w:r>
                    <w:rPr>
                      <w:rFonts w:ascii="Times New Roman"/>
                      <w:color w:val="auto"/>
                      <w:szCs w:val="21"/>
                    </w:rPr>
                    <w:fldChar w:fldCharType="end"/>
                  </w:r>
                  <w:r>
                    <w:rPr>
                      <w:rFonts w:ascii="Times New Roman"/>
                      <w:color w:val="auto"/>
                      <w:szCs w:val="21"/>
                    </w:rPr>
                    <w:t>与表面活性剂的不定型结合物（别名：碘附、强力碘)。碘伏常用的浓度是1%；0.3~0.5%的碘伏用于手和外科皮肤消毒。广谱杀菌作用，可杀灭细菌繁殖体、芽孢、真菌和部分病毒。稀溶液毒性低，无腐蚀性。稀溶液不稳定，使用前配制，避免接触</w:t>
                  </w:r>
                  <w:r>
                    <w:rPr>
                      <w:color w:val="auto"/>
                    </w:rPr>
                    <w:fldChar w:fldCharType="begin"/>
                  </w:r>
                  <w:r>
                    <w:rPr>
                      <w:color w:val="auto"/>
                    </w:rPr>
                    <w:instrText xml:space="preserve"> HYPERLINK "http://baike.baidu.com/view/26406.htm" \t "_blank" </w:instrText>
                  </w:r>
                  <w:r>
                    <w:rPr>
                      <w:color w:val="auto"/>
                    </w:rPr>
                    <w:fldChar w:fldCharType="separate"/>
                  </w:r>
                  <w:r>
                    <w:rPr>
                      <w:rFonts w:ascii="Times New Roman"/>
                      <w:color w:val="auto"/>
                      <w:szCs w:val="21"/>
                    </w:rPr>
                    <w:t>银</w:t>
                  </w:r>
                  <w:r>
                    <w:rPr>
                      <w:rFonts w:ascii="Times New Roman"/>
                      <w:color w:val="auto"/>
                      <w:szCs w:val="21"/>
                    </w:rPr>
                    <w:fldChar w:fldCharType="end"/>
                  </w:r>
                  <w:r>
                    <w:rPr>
                      <w:rFonts w:ascii="Times New Roman"/>
                      <w:color w:val="auto"/>
                      <w:szCs w:val="21"/>
                    </w:rPr>
                    <w:t>、</w:t>
                  </w:r>
                  <w:r>
                    <w:rPr>
                      <w:color w:val="auto"/>
                    </w:rPr>
                    <w:fldChar w:fldCharType="begin"/>
                  </w:r>
                  <w:r>
                    <w:rPr>
                      <w:color w:val="auto"/>
                    </w:rPr>
                    <w:instrText xml:space="preserve"> HYPERLINK "http://baike.baidu.com/view/4615.htm" \t "_blank" </w:instrText>
                  </w:r>
                  <w:r>
                    <w:rPr>
                      <w:color w:val="auto"/>
                    </w:rPr>
                    <w:fldChar w:fldCharType="separate"/>
                  </w:r>
                  <w:r>
                    <w:rPr>
                      <w:rFonts w:ascii="Times New Roman"/>
                      <w:color w:val="auto"/>
                      <w:szCs w:val="21"/>
                    </w:rPr>
                    <w:t>铝</w:t>
                  </w:r>
                  <w:r>
                    <w:rPr>
                      <w:rFonts w:ascii="Times New Roman"/>
                      <w:color w:val="auto"/>
                      <w:szCs w:val="21"/>
                    </w:rPr>
                    <w:fldChar w:fldCharType="end"/>
                  </w:r>
                  <w:r>
                    <w:rPr>
                      <w:rFonts w:ascii="Times New Roman"/>
                      <w:color w:val="auto"/>
                      <w:szCs w:val="21"/>
                    </w:rPr>
                    <w:t>和二价合金。</w:t>
                  </w:r>
                </w:p>
              </w:tc>
              <w:tc>
                <w:tcPr>
                  <w:tcW w:w="2448" w:type="dxa"/>
                  <w:tcBorders>
                    <w:tl2br w:val="nil"/>
                    <w:tr2bl w:val="nil"/>
                  </w:tcBorders>
                  <w:vAlign w:val="center"/>
                </w:tcPr>
                <w:p w14:paraId="06D20171">
                  <w:pPr>
                    <w:pStyle w:val="28"/>
                    <w:spacing w:before="24" w:after="24" w:line="240" w:lineRule="auto"/>
                    <w:jc w:val="both"/>
                    <w:rPr>
                      <w:rFonts w:ascii="Times New Roman"/>
                      <w:color w:val="auto"/>
                      <w:szCs w:val="21"/>
                    </w:rPr>
                  </w:pPr>
                  <w:r>
                    <w:rPr>
                      <w:rFonts w:ascii="Times New Roman"/>
                      <w:color w:val="auto"/>
                      <w:szCs w:val="21"/>
                    </w:rPr>
                    <w:t>毒性：大鼠经口LD</w:t>
                  </w:r>
                  <w:r>
                    <w:rPr>
                      <w:rFonts w:ascii="Times New Roman"/>
                      <w:color w:val="auto"/>
                      <w:szCs w:val="21"/>
                      <w:vertAlign w:val="subscript"/>
                    </w:rPr>
                    <w:t>50</w:t>
                  </w:r>
                  <w:r>
                    <w:rPr>
                      <w:rFonts w:ascii="Times New Roman"/>
                      <w:color w:val="auto"/>
                      <w:szCs w:val="21"/>
                    </w:rPr>
                    <w:t>：14 g/kg;小鼠经口LD</w:t>
                  </w:r>
                  <w:r>
                    <w:rPr>
                      <w:rFonts w:ascii="Times New Roman"/>
                      <w:color w:val="auto"/>
                      <w:szCs w:val="21"/>
                      <w:vertAlign w:val="subscript"/>
                    </w:rPr>
                    <w:t>50</w:t>
                  </w:r>
                  <w:r>
                    <w:rPr>
                      <w:rFonts w:ascii="Times New Roman"/>
                      <w:color w:val="auto"/>
                      <w:szCs w:val="21"/>
                    </w:rPr>
                    <w:t>：22 g/kg。口服过量可发生腐蚀性胃肠炎样症状，呕吐、呕血、烧心、便血等。高浓度碘液接触皮肤和眼睛，可引起灼伤</w:t>
                  </w:r>
                </w:p>
              </w:tc>
              <w:tc>
                <w:tcPr>
                  <w:tcW w:w="696" w:type="dxa"/>
                  <w:tcBorders>
                    <w:tl2br w:val="nil"/>
                    <w:tr2bl w:val="nil"/>
                  </w:tcBorders>
                  <w:vAlign w:val="center"/>
                </w:tcPr>
                <w:p w14:paraId="4160FB04">
                  <w:pPr>
                    <w:pStyle w:val="28"/>
                    <w:spacing w:before="24" w:after="24" w:line="240" w:lineRule="auto"/>
                    <w:rPr>
                      <w:rFonts w:ascii="Times New Roman"/>
                      <w:color w:val="auto"/>
                      <w:szCs w:val="21"/>
                    </w:rPr>
                  </w:pPr>
                  <w:r>
                    <w:rPr>
                      <w:rFonts w:hint="eastAsia" w:ascii="Times New Roman"/>
                      <w:color w:val="auto"/>
                      <w:szCs w:val="21"/>
                    </w:rPr>
                    <w:t>/</w:t>
                  </w:r>
                </w:p>
              </w:tc>
            </w:tr>
            <w:tr w14:paraId="3ACE54DF">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480" w:type="dxa"/>
                  <w:tcBorders>
                    <w:tl2br w:val="nil"/>
                    <w:tr2bl w:val="nil"/>
                  </w:tcBorders>
                  <w:vAlign w:val="center"/>
                </w:tcPr>
                <w:p w14:paraId="3043D438">
                  <w:pPr>
                    <w:pStyle w:val="28"/>
                    <w:spacing w:before="24" w:after="24" w:line="240" w:lineRule="auto"/>
                    <w:rPr>
                      <w:rFonts w:ascii="Times New Roman"/>
                      <w:color w:val="auto"/>
                      <w:szCs w:val="21"/>
                    </w:rPr>
                  </w:pPr>
                  <w:r>
                    <w:rPr>
                      <w:rFonts w:ascii="Times New Roman"/>
                      <w:color w:val="auto"/>
                      <w:szCs w:val="21"/>
                    </w:rPr>
                    <w:t>5</w:t>
                  </w:r>
                </w:p>
              </w:tc>
              <w:tc>
                <w:tcPr>
                  <w:tcW w:w="647" w:type="dxa"/>
                  <w:tcBorders>
                    <w:tl2br w:val="nil"/>
                    <w:tr2bl w:val="nil"/>
                  </w:tcBorders>
                  <w:vAlign w:val="center"/>
                </w:tcPr>
                <w:p w14:paraId="57C70F6D">
                  <w:pPr>
                    <w:pStyle w:val="28"/>
                    <w:spacing w:before="24" w:after="24" w:line="240" w:lineRule="auto"/>
                    <w:rPr>
                      <w:rFonts w:ascii="Times New Roman"/>
                      <w:color w:val="auto"/>
                      <w:szCs w:val="21"/>
                    </w:rPr>
                  </w:pPr>
                  <w:r>
                    <w:rPr>
                      <w:rFonts w:ascii="Times New Roman"/>
                      <w:color w:val="auto"/>
                      <w:szCs w:val="21"/>
                    </w:rPr>
                    <w:t>速干手消毒剂</w:t>
                  </w:r>
                </w:p>
              </w:tc>
              <w:tc>
                <w:tcPr>
                  <w:tcW w:w="4128" w:type="dxa"/>
                  <w:tcBorders>
                    <w:tl2br w:val="nil"/>
                    <w:tr2bl w:val="nil"/>
                  </w:tcBorders>
                  <w:vAlign w:val="center"/>
                </w:tcPr>
                <w:p w14:paraId="38270986">
                  <w:pPr>
                    <w:pStyle w:val="28"/>
                    <w:spacing w:before="24" w:after="24" w:line="240" w:lineRule="auto"/>
                    <w:rPr>
                      <w:rFonts w:ascii="Times New Roman"/>
                      <w:color w:val="auto"/>
                      <w:szCs w:val="21"/>
                    </w:rPr>
                  </w:pPr>
                  <w:r>
                    <w:rPr>
                      <w:rFonts w:ascii="Times New Roman"/>
                      <w:color w:val="auto"/>
                      <w:szCs w:val="21"/>
                    </w:rPr>
                    <w:t>醇类和护肤成分的手消毒剂</w:t>
                  </w:r>
                </w:p>
              </w:tc>
              <w:tc>
                <w:tcPr>
                  <w:tcW w:w="2448" w:type="dxa"/>
                  <w:tcBorders>
                    <w:tl2br w:val="nil"/>
                    <w:tr2bl w:val="nil"/>
                  </w:tcBorders>
                  <w:vAlign w:val="center"/>
                </w:tcPr>
                <w:p w14:paraId="065E1180">
                  <w:pPr>
                    <w:pStyle w:val="28"/>
                    <w:spacing w:before="24" w:after="24" w:line="240" w:lineRule="auto"/>
                    <w:rPr>
                      <w:rFonts w:ascii="Times New Roman"/>
                      <w:color w:val="auto"/>
                      <w:szCs w:val="21"/>
                    </w:rPr>
                  </w:pPr>
                  <w:r>
                    <w:rPr>
                      <w:rFonts w:hint="eastAsia" w:ascii="Times New Roman"/>
                      <w:color w:val="auto"/>
                      <w:szCs w:val="21"/>
                    </w:rPr>
                    <w:t>/</w:t>
                  </w:r>
                </w:p>
              </w:tc>
              <w:tc>
                <w:tcPr>
                  <w:tcW w:w="696" w:type="dxa"/>
                  <w:tcBorders>
                    <w:tl2br w:val="nil"/>
                    <w:tr2bl w:val="nil"/>
                  </w:tcBorders>
                  <w:vAlign w:val="center"/>
                </w:tcPr>
                <w:p w14:paraId="55256EA9">
                  <w:pPr>
                    <w:pStyle w:val="28"/>
                    <w:spacing w:before="24" w:after="24" w:line="240" w:lineRule="auto"/>
                    <w:rPr>
                      <w:rFonts w:ascii="Times New Roman"/>
                      <w:color w:val="auto"/>
                      <w:szCs w:val="21"/>
                    </w:rPr>
                  </w:pPr>
                  <w:r>
                    <w:rPr>
                      <w:rFonts w:hint="eastAsia" w:ascii="Times New Roman"/>
                      <w:color w:val="auto"/>
                      <w:szCs w:val="21"/>
                    </w:rPr>
                    <w:t>/</w:t>
                  </w:r>
                </w:p>
              </w:tc>
            </w:tr>
            <w:tr w14:paraId="2DFA8DCE">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480" w:type="dxa"/>
                  <w:tcBorders>
                    <w:tl2br w:val="nil"/>
                    <w:tr2bl w:val="nil"/>
                  </w:tcBorders>
                  <w:vAlign w:val="center"/>
                </w:tcPr>
                <w:p w14:paraId="0BF6E20E">
                  <w:pPr>
                    <w:pStyle w:val="28"/>
                    <w:spacing w:before="24" w:after="24" w:line="240" w:lineRule="auto"/>
                    <w:rPr>
                      <w:rFonts w:ascii="Times New Roman"/>
                      <w:color w:val="auto"/>
                      <w:szCs w:val="21"/>
                    </w:rPr>
                  </w:pPr>
                  <w:r>
                    <w:rPr>
                      <w:rFonts w:ascii="Times New Roman"/>
                      <w:color w:val="auto"/>
                      <w:szCs w:val="21"/>
                    </w:rPr>
                    <w:t>6</w:t>
                  </w:r>
                </w:p>
              </w:tc>
              <w:tc>
                <w:tcPr>
                  <w:tcW w:w="647" w:type="dxa"/>
                  <w:tcBorders>
                    <w:tl2br w:val="nil"/>
                    <w:tr2bl w:val="nil"/>
                  </w:tcBorders>
                  <w:vAlign w:val="center"/>
                </w:tcPr>
                <w:p w14:paraId="72456426">
                  <w:pPr>
                    <w:pStyle w:val="28"/>
                    <w:spacing w:before="24" w:after="24" w:line="240" w:lineRule="auto"/>
                    <w:rPr>
                      <w:rFonts w:ascii="Times New Roman"/>
                      <w:color w:val="auto"/>
                      <w:szCs w:val="21"/>
                    </w:rPr>
                  </w:pPr>
                  <w:r>
                    <w:rPr>
                      <w:rFonts w:ascii="Times New Roman"/>
                      <w:color w:val="auto"/>
                      <w:szCs w:val="21"/>
                    </w:rPr>
                    <w:t>84消毒液</w:t>
                  </w:r>
                </w:p>
              </w:tc>
              <w:tc>
                <w:tcPr>
                  <w:tcW w:w="4128" w:type="dxa"/>
                  <w:tcBorders>
                    <w:tl2br w:val="nil"/>
                    <w:tr2bl w:val="nil"/>
                  </w:tcBorders>
                  <w:vAlign w:val="center"/>
                </w:tcPr>
                <w:p w14:paraId="59191EFC">
                  <w:pPr>
                    <w:pStyle w:val="28"/>
                    <w:spacing w:before="24" w:after="24" w:line="240" w:lineRule="auto"/>
                    <w:rPr>
                      <w:rFonts w:ascii="Times New Roman"/>
                      <w:color w:val="auto"/>
                      <w:szCs w:val="21"/>
                    </w:rPr>
                  </w:pPr>
                  <w:r>
                    <w:rPr>
                      <w:rFonts w:ascii="Times New Roman"/>
                      <w:color w:val="auto"/>
                      <w:szCs w:val="21"/>
                    </w:rPr>
                    <w:t>84消毒液是一种以</w:t>
                  </w:r>
                  <w:r>
                    <w:rPr>
                      <w:color w:val="auto"/>
                    </w:rPr>
                    <w:fldChar w:fldCharType="begin"/>
                  </w:r>
                  <w:r>
                    <w:rPr>
                      <w:color w:val="auto"/>
                    </w:rPr>
                    <w:instrText xml:space="preserve"> HYPERLINK "https://baike.baidu.com/item/%E6%AC%A1%E6%B0%AF%E9%85%B8%E9%92%A0/2512464" \t "https://baike.baidu.com/item/84%E6%B6%88%E6%AF%92%E6%B6%B2/_blank" </w:instrText>
                  </w:r>
                  <w:r>
                    <w:rPr>
                      <w:color w:val="auto"/>
                    </w:rPr>
                    <w:fldChar w:fldCharType="separate"/>
                  </w:r>
                  <w:r>
                    <w:rPr>
                      <w:rFonts w:ascii="Times New Roman"/>
                      <w:color w:val="auto"/>
                      <w:szCs w:val="21"/>
                    </w:rPr>
                    <w:t>次氯酸钠</w:t>
                  </w:r>
                  <w:r>
                    <w:rPr>
                      <w:rFonts w:ascii="Times New Roman"/>
                      <w:color w:val="auto"/>
                      <w:szCs w:val="21"/>
                    </w:rPr>
                    <w:fldChar w:fldCharType="end"/>
                  </w:r>
                  <w:r>
                    <w:rPr>
                      <w:rFonts w:ascii="Times New Roman"/>
                      <w:color w:val="auto"/>
                      <w:szCs w:val="21"/>
                    </w:rPr>
                    <w:t>为主要成分的含氯消毒剂，主要用于物体表面和环境等的消毒。84消毒液为无色或淡黄色液体，且具有刺激性气味，有效氯含量5.5%～6.5%。</w:t>
                  </w:r>
                </w:p>
              </w:tc>
              <w:tc>
                <w:tcPr>
                  <w:tcW w:w="2448" w:type="dxa"/>
                  <w:tcBorders>
                    <w:tl2br w:val="nil"/>
                    <w:tr2bl w:val="nil"/>
                  </w:tcBorders>
                  <w:vAlign w:val="center"/>
                </w:tcPr>
                <w:p w14:paraId="4FB21643">
                  <w:pPr>
                    <w:pStyle w:val="28"/>
                    <w:spacing w:before="24" w:after="24" w:line="240" w:lineRule="auto"/>
                    <w:rPr>
                      <w:rFonts w:ascii="Times New Roman"/>
                      <w:color w:val="auto"/>
                      <w:szCs w:val="21"/>
                    </w:rPr>
                  </w:pPr>
                  <w:r>
                    <w:rPr>
                      <w:rFonts w:hint="eastAsia" w:ascii="Times New Roman"/>
                      <w:color w:val="auto"/>
                      <w:szCs w:val="21"/>
                    </w:rPr>
                    <w:t>/</w:t>
                  </w:r>
                </w:p>
              </w:tc>
              <w:tc>
                <w:tcPr>
                  <w:tcW w:w="696" w:type="dxa"/>
                  <w:tcBorders>
                    <w:tl2br w:val="nil"/>
                    <w:tr2bl w:val="nil"/>
                  </w:tcBorders>
                  <w:vAlign w:val="center"/>
                </w:tcPr>
                <w:p w14:paraId="7FD8F0EA">
                  <w:pPr>
                    <w:pStyle w:val="28"/>
                    <w:spacing w:before="24" w:after="24" w:line="240" w:lineRule="auto"/>
                    <w:rPr>
                      <w:rFonts w:ascii="Times New Roman"/>
                      <w:color w:val="auto"/>
                      <w:szCs w:val="21"/>
                    </w:rPr>
                  </w:pPr>
                  <w:r>
                    <w:rPr>
                      <w:rFonts w:hint="eastAsia" w:ascii="Times New Roman"/>
                      <w:color w:val="auto"/>
                      <w:szCs w:val="21"/>
                    </w:rPr>
                    <w:t>/</w:t>
                  </w:r>
                </w:p>
              </w:tc>
            </w:tr>
            <w:tr w14:paraId="09CC19E7">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480" w:type="dxa"/>
                  <w:tcBorders>
                    <w:tl2br w:val="nil"/>
                    <w:tr2bl w:val="nil"/>
                  </w:tcBorders>
                  <w:vAlign w:val="center"/>
                </w:tcPr>
                <w:p w14:paraId="5B48172A">
                  <w:pPr>
                    <w:pStyle w:val="28"/>
                    <w:spacing w:before="24" w:after="24" w:line="240" w:lineRule="auto"/>
                    <w:rPr>
                      <w:rFonts w:hint="eastAsia" w:ascii="Times New Roman" w:eastAsia="宋体"/>
                      <w:color w:val="auto"/>
                      <w:szCs w:val="21"/>
                      <w:lang w:eastAsia="zh-CN"/>
                    </w:rPr>
                  </w:pPr>
                  <w:r>
                    <w:rPr>
                      <w:rFonts w:hint="eastAsia" w:ascii="Times New Roman"/>
                      <w:color w:val="auto"/>
                      <w:szCs w:val="21"/>
                      <w:lang w:val="en-US" w:eastAsia="zh-CN"/>
                    </w:rPr>
                    <w:t>7</w:t>
                  </w:r>
                </w:p>
              </w:tc>
              <w:tc>
                <w:tcPr>
                  <w:tcW w:w="647" w:type="dxa"/>
                  <w:tcBorders>
                    <w:tl2br w:val="nil"/>
                    <w:tr2bl w:val="nil"/>
                  </w:tcBorders>
                  <w:vAlign w:val="center"/>
                </w:tcPr>
                <w:p w14:paraId="2529C13D">
                  <w:pPr>
                    <w:pStyle w:val="28"/>
                    <w:spacing w:before="24" w:after="24" w:line="240" w:lineRule="auto"/>
                    <w:rPr>
                      <w:rFonts w:ascii="Times New Roman"/>
                      <w:color w:val="auto"/>
                      <w:szCs w:val="21"/>
                    </w:rPr>
                  </w:pPr>
                  <w:r>
                    <w:rPr>
                      <w:rFonts w:hint="eastAsia" w:ascii="Times New Roman"/>
                      <w:color w:val="auto"/>
                      <w:szCs w:val="21"/>
                    </w:rPr>
                    <w:t>盐酸</w:t>
                  </w:r>
                </w:p>
              </w:tc>
              <w:tc>
                <w:tcPr>
                  <w:tcW w:w="4128" w:type="dxa"/>
                  <w:tcBorders>
                    <w:tl2br w:val="nil"/>
                    <w:tr2bl w:val="nil"/>
                  </w:tcBorders>
                  <w:vAlign w:val="center"/>
                </w:tcPr>
                <w:p w14:paraId="4E6F4D22">
                  <w:pPr>
                    <w:pStyle w:val="28"/>
                    <w:spacing w:before="24" w:after="24" w:line="240" w:lineRule="auto"/>
                    <w:rPr>
                      <w:rFonts w:ascii="Times New Roman"/>
                      <w:color w:val="auto"/>
                      <w:szCs w:val="21"/>
                    </w:rPr>
                  </w:pPr>
                  <w:r>
                    <w:rPr>
                      <w:rFonts w:hint="eastAsia" w:ascii="Times New Roman"/>
                      <w:color w:val="auto"/>
                      <w:szCs w:val="21"/>
                    </w:rPr>
                    <w:t>用于检验科仪器消毒，浓度3</w:t>
                  </w:r>
                  <w:r>
                    <w:rPr>
                      <w:rFonts w:hint="eastAsia" w:ascii="Times New Roman"/>
                      <w:color w:val="auto"/>
                      <w:szCs w:val="21"/>
                      <w:lang w:val="en-US" w:eastAsia="zh-CN"/>
                    </w:rPr>
                    <w:t>8</w:t>
                  </w:r>
                  <w:r>
                    <w:rPr>
                      <w:rFonts w:hint="eastAsia" w:ascii="Times New Roman"/>
                      <w:color w:val="auto"/>
                      <w:szCs w:val="21"/>
                    </w:rPr>
                    <w:t>%，盐酸的性状为无色透明的液体，有强烈的刺鼻气味，具有较高的腐蚀性。避免与碱类、胺类、碱金属接触。搬运时要轻装轻卸，防止包装及容器损坏。配备泄漏应急处理设备。倒空的容器可能残留有害物。</w:t>
                  </w:r>
                </w:p>
              </w:tc>
              <w:tc>
                <w:tcPr>
                  <w:tcW w:w="2448" w:type="dxa"/>
                  <w:tcBorders>
                    <w:tl2br w:val="nil"/>
                    <w:tr2bl w:val="nil"/>
                  </w:tcBorders>
                  <w:vAlign w:val="center"/>
                </w:tcPr>
                <w:p w14:paraId="7C9688A9">
                  <w:pPr>
                    <w:pStyle w:val="28"/>
                    <w:spacing w:before="24" w:after="24"/>
                    <w:rPr>
                      <w:rFonts w:ascii="Times New Roman"/>
                      <w:color w:val="auto"/>
                      <w:szCs w:val="21"/>
                    </w:rPr>
                  </w:pPr>
                  <w:r>
                    <w:rPr>
                      <w:rFonts w:hint="eastAsia" w:ascii="Times New Roman"/>
                      <w:color w:val="auto"/>
                      <w:szCs w:val="21"/>
                    </w:rPr>
                    <w:t>接触其蒸气可引起急性中毒，出现眼结膜炎，鼻及口腔粘膜有烧灼感，鼻衄，齿龈出血，气管炎等。误服可引起消化道灼伤、溃疡形成，有可能引起胃穿孔、腹膜炎等。眼和皮肤接触可致灼伤。慢性影响：长期接触，引起慢性鼻炎、慢性支气管炎、牙齿酸蚀症及皮肤损害。</w:t>
                  </w:r>
                </w:p>
              </w:tc>
              <w:tc>
                <w:tcPr>
                  <w:tcW w:w="696" w:type="dxa"/>
                  <w:tcBorders>
                    <w:tl2br w:val="nil"/>
                    <w:tr2bl w:val="nil"/>
                  </w:tcBorders>
                  <w:vAlign w:val="center"/>
                </w:tcPr>
                <w:p w14:paraId="4907115D">
                  <w:pPr>
                    <w:pStyle w:val="28"/>
                    <w:spacing w:before="24" w:after="24" w:line="240" w:lineRule="auto"/>
                    <w:rPr>
                      <w:rFonts w:ascii="Times New Roman"/>
                      <w:color w:val="auto"/>
                      <w:szCs w:val="21"/>
                    </w:rPr>
                  </w:pPr>
                  <w:r>
                    <w:rPr>
                      <w:rFonts w:hint="eastAsia" w:ascii="Times New Roman"/>
                      <w:color w:val="auto"/>
                      <w:szCs w:val="21"/>
                    </w:rPr>
                    <w:t>不燃</w:t>
                  </w:r>
                </w:p>
              </w:tc>
            </w:tr>
            <w:tr w14:paraId="3AF7F0E6">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480" w:type="dxa"/>
                  <w:tcBorders>
                    <w:tl2br w:val="nil"/>
                    <w:tr2bl w:val="nil"/>
                  </w:tcBorders>
                  <w:vAlign w:val="center"/>
                </w:tcPr>
                <w:p w14:paraId="59E4E30A">
                  <w:pPr>
                    <w:pStyle w:val="28"/>
                    <w:spacing w:before="24" w:after="24" w:line="240" w:lineRule="auto"/>
                    <w:rPr>
                      <w:rFonts w:hint="eastAsia" w:ascii="Times New Roman" w:eastAsia="宋体"/>
                      <w:color w:val="auto"/>
                      <w:szCs w:val="21"/>
                      <w:lang w:eastAsia="zh-CN"/>
                    </w:rPr>
                  </w:pPr>
                  <w:r>
                    <w:rPr>
                      <w:rFonts w:hint="eastAsia" w:ascii="Times New Roman"/>
                      <w:color w:val="auto"/>
                      <w:szCs w:val="21"/>
                      <w:lang w:val="en-US" w:eastAsia="zh-CN"/>
                    </w:rPr>
                    <w:t>8</w:t>
                  </w:r>
                </w:p>
              </w:tc>
              <w:tc>
                <w:tcPr>
                  <w:tcW w:w="647" w:type="dxa"/>
                  <w:tcBorders>
                    <w:tl2br w:val="nil"/>
                    <w:tr2bl w:val="nil"/>
                  </w:tcBorders>
                  <w:vAlign w:val="center"/>
                </w:tcPr>
                <w:p w14:paraId="462502F9">
                  <w:pPr>
                    <w:pStyle w:val="28"/>
                    <w:spacing w:before="24" w:after="24" w:line="240" w:lineRule="auto"/>
                    <w:rPr>
                      <w:rFonts w:ascii="Times New Roman"/>
                      <w:color w:val="auto"/>
                      <w:szCs w:val="21"/>
                    </w:rPr>
                  </w:pPr>
                  <w:r>
                    <w:rPr>
                      <w:rFonts w:hint="eastAsia" w:ascii="Times New Roman"/>
                      <w:color w:val="auto"/>
                      <w:szCs w:val="21"/>
                    </w:rPr>
                    <w:t>氢氧化钠</w:t>
                  </w:r>
                </w:p>
              </w:tc>
              <w:tc>
                <w:tcPr>
                  <w:tcW w:w="4128" w:type="dxa"/>
                  <w:tcBorders>
                    <w:tl2br w:val="nil"/>
                    <w:tr2bl w:val="nil"/>
                  </w:tcBorders>
                  <w:vAlign w:val="center"/>
                </w:tcPr>
                <w:p w14:paraId="07B83096">
                  <w:pPr>
                    <w:pStyle w:val="28"/>
                    <w:spacing w:before="24" w:after="24" w:line="240" w:lineRule="auto"/>
                    <w:rPr>
                      <w:rFonts w:ascii="Times New Roman"/>
                      <w:color w:val="auto"/>
                      <w:szCs w:val="21"/>
                    </w:rPr>
                  </w:pPr>
                  <w:r>
                    <w:rPr>
                      <w:rFonts w:hint="eastAsia" w:ascii="Times New Roman"/>
                      <w:color w:val="auto"/>
                      <w:szCs w:val="21"/>
                    </w:rPr>
                    <w:t>用于检验科废水中和处理，片状固体，易潮解与酸发生中和反应并放热。遇潮时对铝、锌和锡有腐蚀性，并放出易燃易爆的氢气。</w:t>
                  </w:r>
                </w:p>
              </w:tc>
              <w:tc>
                <w:tcPr>
                  <w:tcW w:w="2448" w:type="dxa"/>
                  <w:tcBorders>
                    <w:tl2br w:val="nil"/>
                    <w:tr2bl w:val="nil"/>
                  </w:tcBorders>
                  <w:vAlign w:val="center"/>
                </w:tcPr>
                <w:p w14:paraId="75EC1E11">
                  <w:pPr>
                    <w:pStyle w:val="28"/>
                    <w:spacing w:before="24" w:after="24"/>
                    <w:rPr>
                      <w:rFonts w:ascii="Times New Roman"/>
                      <w:color w:val="auto"/>
                      <w:szCs w:val="21"/>
                    </w:rPr>
                  </w:pPr>
                  <w:r>
                    <w:rPr>
                      <w:rFonts w:hint="eastAsia" w:ascii="Times New Roman"/>
                      <w:color w:val="auto"/>
                      <w:szCs w:val="21"/>
                    </w:rPr>
                    <w:t>本品具有强烈刺激和腐蚀性。粉尘刺激眼和呼吸道，腐蚀鼻中隔；皮肤和眼直接接触可引起灼伤；误服可造成消化道灼伤，粘膜糜烂、出血和休克。</w:t>
                  </w:r>
                </w:p>
              </w:tc>
              <w:tc>
                <w:tcPr>
                  <w:tcW w:w="696" w:type="dxa"/>
                  <w:tcBorders>
                    <w:tl2br w:val="nil"/>
                    <w:tr2bl w:val="nil"/>
                  </w:tcBorders>
                  <w:vAlign w:val="center"/>
                </w:tcPr>
                <w:p w14:paraId="45DCA6CB">
                  <w:pPr>
                    <w:pStyle w:val="28"/>
                    <w:spacing w:before="24" w:after="24" w:line="240" w:lineRule="auto"/>
                    <w:rPr>
                      <w:rFonts w:ascii="Times New Roman"/>
                      <w:color w:val="auto"/>
                      <w:szCs w:val="21"/>
                    </w:rPr>
                  </w:pPr>
                  <w:r>
                    <w:rPr>
                      <w:rFonts w:hint="eastAsia" w:ascii="Times New Roman"/>
                      <w:color w:val="auto"/>
                      <w:szCs w:val="21"/>
                    </w:rPr>
                    <w:t>不燃</w:t>
                  </w:r>
                </w:p>
              </w:tc>
            </w:tr>
          </w:tbl>
          <w:p w14:paraId="4B16BF45">
            <w:pPr>
              <w:autoSpaceDE w:val="0"/>
              <w:autoSpaceDN w:val="0"/>
              <w:adjustRightInd w:val="0"/>
              <w:spacing w:line="360" w:lineRule="auto"/>
              <w:ind w:firstLine="482" w:firstLineChars="200"/>
              <w:jc w:val="left"/>
              <w:rPr>
                <w:b/>
                <w:color w:val="auto"/>
                <w:kern w:val="0"/>
                <w:sz w:val="24"/>
              </w:rPr>
            </w:pPr>
            <w:r>
              <w:rPr>
                <w:rFonts w:hint="eastAsia"/>
                <w:b/>
                <w:color w:val="auto"/>
                <w:kern w:val="0"/>
                <w:sz w:val="24"/>
              </w:rPr>
              <w:t>5</w:t>
            </w:r>
            <w:r>
              <w:rPr>
                <w:b/>
                <w:color w:val="auto"/>
                <w:kern w:val="0"/>
                <w:sz w:val="24"/>
              </w:rPr>
              <w:t>、公用工程</w:t>
            </w:r>
          </w:p>
          <w:p w14:paraId="6707CF5E">
            <w:pPr>
              <w:autoSpaceDE w:val="0"/>
              <w:autoSpaceDN w:val="0"/>
              <w:adjustRightInd w:val="0"/>
              <w:spacing w:line="360" w:lineRule="auto"/>
              <w:ind w:firstLine="480" w:firstLineChars="200"/>
              <w:jc w:val="left"/>
              <w:rPr>
                <w:color w:val="auto"/>
                <w:kern w:val="0"/>
                <w:sz w:val="24"/>
              </w:rPr>
            </w:pPr>
            <w:r>
              <w:rPr>
                <w:color w:val="auto"/>
                <w:kern w:val="0"/>
                <w:sz w:val="24"/>
              </w:rPr>
              <w:t>（1）给水</w:t>
            </w:r>
          </w:p>
          <w:p w14:paraId="0428732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olor w:val="auto"/>
                <w:kern w:val="0"/>
                <w:sz w:val="24"/>
              </w:rPr>
            </w:pPr>
            <w:r>
              <w:rPr>
                <w:rFonts w:hint="eastAsia"/>
                <w:color w:val="auto"/>
                <w:kern w:val="0"/>
                <w:sz w:val="24"/>
              </w:rPr>
              <w:t>医院用水主要为门诊</w:t>
            </w:r>
            <w:r>
              <w:rPr>
                <w:rFonts w:hint="eastAsia"/>
                <w:color w:val="auto"/>
                <w:kern w:val="0"/>
                <w:sz w:val="24"/>
                <w:lang w:val="en-US" w:eastAsia="zh-CN"/>
              </w:rPr>
              <w:t>检验</w:t>
            </w:r>
            <w:r>
              <w:rPr>
                <w:rFonts w:hint="eastAsia"/>
                <w:color w:val="auto"/>
                <w:kern w:val="0"/>
                <w:sz w:val="24"/>
              </w:rPr>
              <w:t>用水、医护人员办公用水、住院病床用水、</w:t>
            </w:r>
            <w:r>
              <w:rPr>
                <w:rFonts w:hint="eastAsia"/>
                <w:color w:val="auto"/>
                <w:sz w:val="24"/>
              </w:rPr>
              <w:t>陪护人员用水、病床床品洗涤用水、食堂用水、煎药用水、</w:t>
            </w:r>
            <w:r>
              <w:rPr>
                <w:rFonts w:hint="eastAsia"/>
                <w:color w:val="auto"/>
                <w:sz w:val="24"/>
                <w:lang w:eastAsia="zh-CN"/>
              </w:rPr>
              <w:t>行政人员用水</w:t>
            </w:r>
            <w:r>
              <w:rPr>
                <w:rFonts w:hint="eastAsia"/>
                <w:color w:val="auto"/>
                <w:kern w:val="0"/>
                <w:sz w:val="24"/>
              </w:rPr>
              <w:t>。现有病床数20张。项目用水由市政供水管网提供。用水参数参考《</w:t>
            </w:r>
            <w:r>
              <w:rPr>
                <w:rFonts w:hint="eastAsia"/>
                <w:color w:val="7030A0"/>
                <w:kern w:val="0"/>
                <w:sz w:val="24"/>
                <w:lang w:eastAsia="zh-CN"/>
              </w:rPr>
              <w:t>综合医院建筑设计标准</w:t>
            </w:r>
            <w:r>
              <w:rPr>
                <w:rFonts w:hint="eastAsia"/>
                <w:color w:val="auto"/>
                <w:kern w:val="0"/>
                <w:sz w:val="24"/>
              </w:rPr>
              <w:t>》（GB51039-2014）</w:t>
            </w:r>
            <w:r>
              <w:rPr>
                <w:rFonts w:hint="eastAsia"/>
                <w:color w:val="auto"/>
                <w:kern w:val="0"/>
                <w:sz w:val="24"/>
                <w:lang w:eastAsia="zh-CN"/>
              </w:rPr>
              <w:t>（</w:t>
            </w:r>
            <w:r>
              <w:rPr>
                <w:rFonts w:hint="eastAsia"/>
                <w:color w:val="auto"/>
                <w:kern w:val="0"/>
                <w:sz w:val="24"/>
                <w:lang w:val="en-US" w:eastAsia="zh-CN"/>
              </w:rPr>
              <w:t>2024年)</w:t>
            </w:r>
            <w:r>
              <w:rPr>
                <w:rFonts w:hint="eastAsia"/>
                <w:color w:val="auto"/>
                <w:kern w:val="0"/>
                <w:sz w:val="24"/>
                <w:lang w:eastAsia="zh-CN"/>
              </w:rPr>
              <w:t>、</w:t>
            </w:r>
            <w:r>
              <w:rPr>
                <w:rFonts w:hint="eastAsia"/>
                <w:color w:val="auto"/>
                <w:kern w:val="0"/>
                <w:sz w:val="24"/>
              </w:rPr>
              <w:t>《建筑给排水设计规范》</w:t>
            </w:r>
            <w:r>
              <w:rPr>
                <w:rFonts w:hint="eastAsia" w:ascii="Times New Roman" w:hAnsi="Times New Roman" w:eastAsia="宋体"/>
                <w:color w:val="auto"/>
                <w:sz w:val="24"/>
                <w:lang w:val="en-US" w:eastAsia="zh-CN"/>
              </w:rPr>
              <w:t>等文件</w:t>
            </w:r>
            <w:r>
              <w:rPr>
                <w:rFonts w:hint="eastAsia" w:ascii="Times New Roman" w:hAnsi="Times New Roman" w:eastAsia="宋体"/>
                <w:color w:val="auto"/>
                <w:sz w:val="24"/>
                <w:lang w:eastAsia="zh-CN"/>
              </w:rPr>
              <w:t>，</w:t>
            </w:r>
            <w:r>
              <w:rPr>
                <w:rFonts w:hint="eastAsia"/>
                <w:color w:val="auto"/>
                <w:kern w:val="0"/>
                <w:sz w:val="24"/>
              </w:rPr>
              <w:t>并结合医院实际运营用水情况估算。</w:t>
            </w:r>
          </w:p>
          <w:p w14:paraId="226F7096">
            <w:pPr>
              <w:keepNext w:val="0"/>
              <w:keepLines w:val="0"/>
              <w:pageBreakBefore w:val="0"/>
              <w:widowControl w:val="0"/>
              <w:tabs>
                <w:tab w:val="left" w:pos="333"/>
              </w:tabs>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b/>
                <w:bCs/>
                <w:color w:val="auto"/>
                <w:kern w:val="0"/>
                <w:sz w:val="24"/>
                <w:lang w:val="en-US" w:eastAsia="zh-CN"/>
              </w:rPr>
            </w:pPr>
            <w:r>
              <w:rPr>
                <w:rFonts w:hint="eastAsia"/>
                <w:b/>
                <w:bCs/>
                <w:color w:val="auto"/>
                <w:kern w:val="0"/>
                <w:sz w:val="24"/>
                <w:lang w:val="en-US" w:eastAsia="zh-CN"/>
              </w:rPr>
              <w:t>病区用水</w:t>
            </w:r>
          </w:p>
          <w:p w14:paraId="507D614D">
            <w:pPr>
              <w:pStyle w:val="25"/>
              <w:spacing w:line="360" w:lineRule="auto"/>
              <w:ind w:firstLine="480" w:firstLineChars="200"/>
              <w:rPr>
                <w:color w:val="auto"/>
              </w:rPr>
            </w:pPr>
            <w:r>
              <w:rPr>
                <w:rFonts w:hint="eastAsia"/>
                <w:color w:val="auto"/>
              </w:rPr>
              <w:t>①门诊</w:t>
            </w:r>
            <w:r>
              <w:rPr>
                <w:rFonts w:hint="eastAsia"/>
                <w:color w:val="auto"/>
                <w:lang w:val="en-US" w:eastAsia="zh-CN"/>
              </w:rPr>
              <w:t>检验</w:t>
            </w:r>
            <w:r>
              <w:rPr>
                <w:rFonts w:hint="eastAsia"/>
                <w:color w:val="auto"/>
              </w:rPr>
              <w:t>用水</w:t>
            </w:r>
          </w:p>
          <w:p w14:paraId="3DEA3876">
            <w:pPr>
              <w:pStyle w:val="25"/>
              <w:spacing w:line="360" w:lineRule="auto"/>
              <w:ind w:firstLine="480" w:firstLineChars="200"/>
              <w:jc w:val="both"/>
              <w:rPr>
                <w:rFonts w:ascii="Times New Roman" w:cs="Times New Roman"/>
                <w:color w:val="auto"/>
                <w:kern w:val="0"/>
              </w:rPr>
            </w:pPr>
            <w:r>
              <w:rPr>
                <w:rFonts w:ascii="Times New Roman" w:cs="Times New Roman"/>
                <w:color w:val="auto"/>
              </w:rPr>
              <w:t>门诊平均就诊量约25人</w:t>
            </w:r>
            <w:r>
              <w:rPr>
                <w:rFonts w:hint="eastAsia" w:ascii="Times New Roman" w:cs="Times New Roman"/>
                <w:color w:val="auto"/>
                <w:lang w:val="en-US" w:eastAsia="zh-CN"/>
              </w:rPr>
              <w:t>/</w:t>
            </w:r>
            <w:r>
              <w:rPr>
                <w:rFonts w:ascii="Times New Roman" w:cs="Times New Roman"/>
                <w:color w:val="auto"/>
              </w:rPr>
              <w:t>次/d，</w:t>
            </w:r>
            <w:r>
              <w:rPr>
                <w:rFonts w:hint="eastAsia" w:ascii="Times New Roman" w:hAnsi="Times New Roman" w:eastAsia="宋体"/>
                <w:color w:val="auto"/>
              </w:rPr>
              <w:t>根据《综合医院建筑设计标准》（GB51039-2014）</w:t>
            </w:r>
            <w:r>
              <w:rPr>
                <w:rFonts w:hint="eastAsia"/>
                <w:color w:val="auto"/>
                <w:kern w:val="0"/>
                <w:sz w:val="24"/>
                <w:lang w:eastAsia="zh-CN"/>
              </w:rPr>
              <w:t>（</w:t>
            </w:r>
            <w:r>
              <w:rPr>
                <w:rFonts w:hint="default" w:ascii="Times New Roman" w:hAnsi="Times New Roman" w:cs="Times New Roman"/>
                <w:color w:val="auto"/>
                <w:kern w:val="0"/>
                <w:sz w:val="24"/>
                <w:lang w:val="en-US" w:eastAsia="zh-CN"/>
              </w:rPr>
              <w:t>2024年)</w:t>
            </w:r>
            <w:r>
              <w:rPr>
                <w:rFonts w:hint="eastAsia" w:ascii="Times New Roman" w:hAnsi="Times New Roman" w:eastAsia="宋体"/>
                <w:color w:val="auto"/>
              </w:rPr>
              <w:t>中“门诊类”用水标准，</w:t>
            </w:r>
            <w:r>
              <w:rPr>
                <w:rFonts w:ascii="Times New Roman" w:cs="Times New Roman"/>
                <w:color w:val="auto"/>
              </w:rPr>
              <w:t>门诊用水量取值10L/人·次，年工作365天，则门诊就诊人员用水量约为0.25m</w:t>
            </w:r>
            <w:r>
              <w:rPr>
                <w:rFonts w:ascii="Times New Roman" w:cs="Times New Roman"/>
                <w:color w:val="auto"/>
                <w:vertAlign w:val="superscript"/>
              </w:rPr>
              <w:t>3</w:t>
            </w:r>
            <w:r>
              <w:rPr>
                <w:rFonts w:ascii="Times New Roman" w:cs="Times New Roman"/>
                <w:color w:val="auto"/>
              </w:rPr>
              <w:t>/d，91.25m</w:t>
            </w:r>
            <w:r>
              <w:rPr>
                <w:rFonts w:ascii="Times New Roman" w:cs="Times New Roman"/>
                <w:color w:val="auto"/>
                <w:vertAlign w:val="superscript"/>
              </w:rPr>
              <w:t>3</w:t>
            </w:r>
            <w:r>
              <w:rPr>
                <w:rFonts w:ascii="Times New Roman" w:cs="Times New Roman"/>
                <w:color w:val="auto"/>
              </w:rPr>
              <w:t>/a。</w:t>
            </w:r>
          </w:p>
          <w:p w14:paraId="770ED262">
            <w:pPr>
              <w:pStyle w:val="29"/>
              <w:widowControl/>
              <w:adjustRightInd w:val="0"/>
              <w:ind w:firstLine="480"/>
              <w:rPr>
                <w:color w:val="auto"/>
                <w:szCs w:val="24"/>
              </w:rPr>
            </w:pPr>
            <w:r>
              <w:rPr>
                <w:rFonts w:hint="eastAsia"/>
                <w:color w:val="auto"/>
                <w:szCs w:val="24"/>
                <w:lang w:val="en-US" w:eastAsia="zh-CN"/>
              </w:rPr>
              <w:t>②</w:t>
            </w:r>
            <w:r>
              <w:rPr>
                <w:rFonts w:hint="eastAsia"/>
                <w:color w:val="auto"/>
                <w:szCs w:val="24"/>
              </w:rPr>
              <w:t>住院病床用水</w:t>
            </w:r>
          </w:p>
          <w:p w14:paraId="3424D5FC">
            <w:pPr>
              <w:pStyle w:val="29"/>
              <w:widowControl/>
              <w:adjustRightInd w:val="0"/>
              <w:spacing w:before="24" w:after="24"/>
              <w:ind w:firstLine="480"/>
              <w:rPr>
                <w:rFonts w:hint="eastAsia"/>
                <w:color w:val="auto"/>
              </w:rPr>
            </w:pPr>
            <w:r>
              <w:rPr>
                <w:rFonts w:hint="eastAsia"/>
                <w:color w:val="auto"/>
              </w:rPr>
              <w:t>本项目床位20张，根据</w:t>
            </w:r>
            <w:r>
              <w:rPr>
                <w:rFonts w:hint="eastAsia" w:ascii="Times New Roman" w:hAnsi="Times New Roman" w:eastAsia="宋体"/>
                <w:color w:val="auto"/>
              </w:rPr>
              <w:t>《综合医院建筑设计标准》（GB51039-2014）</w:t>
            </w:r>
            <w:r>
              <w:rPr>
                <w:rFonts w:hint="eastAsia"/>
                <w:color w:val="auto"/>
                <w:kern w:val="0"/>
                <w:sz w:val="24"/>
                <w:lang w:eastAsia="zh-CN"/>
              </w:rPr>
              <w:t>（</w:t>
            </w:r>
            <w:r>
              <w:rPr>
                <w:rFonts w:hint="default" w:ascii="Times New Roman" w:hAnsi="Times New Roman" w:cs="Times New Roman"/>
                <w:color w:val="auto"/>
                <w:kern w:val="0"/>
                <w:sz w:val="24"/>
                <w:lang w:val="en-US" w:eastAsia="zh-CN"/>
              </w:rPr>
              <w:t>2024年)</w:t>
            </w:r>
            <w:r>
              <w:rPr>
                <w:rFonts w:hint="eastAsia"/>
                <w:color w:val="auto"/>
              </w:rPr>
              <w:t>，本项目取200L/床·d，按满负荷计算，则住院病人用水量为4m³/d，即1460m³/a。</w:t>
            </w:r>
          </w:p>
          <w:p w14:paraId="24C31C16">
            <w:pPr>
              <w:pStyle w:val="29"/>
              <w:widowControl/>
              <w:adjustRightInd w:val="0"/>
              <w:ind w:firstLine="480"/>
              <w:jc w:val="left"/>
              <w:rPr>
                <w:color w:val="auto"/>
                <w:szCs w:val="24"/>
              </w:rPr>
            </w:pPr>
            <w:r>
              <w:rPr>
                <w:rFonts w:hint="eastAsia"/>
                <w:color w:val="auto"/>
                <w:szCs w:val="24"/>
                <w:lang w:val="en-US" w:eastAsia="zh-CN"/>
              </w:rPr>
              <w:t>③</w:t>
            </w:r>
            <w:r>
              <w:rPr>
                <w:rFonts w:hint="eastAsia"/>
                <w:color w:val="auto"/>
                <w:szCs w:val="24"/>
              </w:rPr>
              <w:t>病床床品洗涤用水</w:t>
            </w:r>
          </w:p>
          <w:p w14:paraId="037351E5">
            <w:pPr>
              <w:pStyle w:val="29"/>
              <w:widowControl/>
              <w:adjustRightInd w:val="0"/>
              <w:ind w:firstLine="480"/>
              <w:rPr>
                <w:rFonts w:hint="eastAsia"/>
                <w:b/>
                <w:bCs/>
                <w:color w:val="auto"/>
                <w:kern w:val="0"/>
                <w:sz w:val="24"/>
                <w:lang w:val="en-US" w:eastAsia="zh-CN"/>
              </w:rPr>
            </w:pPr>
            <w:r>
              <w:rPr>
                <w:rFonts w:hint="eastAsia"/>
                <w:color w:val="auto"/>
              </w:rPr>
              <w:t>本项目现有病床数20张，产生的床单、被套等需进行洗涤。</w:t>
            </w:r>
            <w:r>
              <w:rPr>
                <w:rFonts w:hint="eastAsia"/>
                <w:color w:val="auto"/>
                <w:lang w:val="en-US" w:eastAsia="zh-CN"/>
              </w:rPr>
              <w:t>根据</w:t>
            </w:r>
            <w:r>
              <w:rPr>
                <w:rFonts w:hint="eastAsia"/>
                <w:color w:val="auto"/>
                <w:kern w:val="0"/>
                <w:sz w:val="24"/>
              </w:rPr>
              <w:t>《建筑给排水设计规范》</w:t>
            </w:r>
            <w:r>
              <w:rPr>
                <w:rFonts w:hint="eastAsia"/>
                <w:color w:val="auto"/>
              </w:rPr>
              <w:t>洗衣用水定额为</w:t>
            </w:r>
            <w:r>
              <w:rPr>
                <w:rFonts w:hint="eastAsia"/>
                <w:b w:val="0"/>
                <w:bCs w:val="0"/>
                <w:color w:val="auto"/>
                <w:lang w:val="en-US" w:eastAsia="zh-CN"/>
              </w:rPr>
              <w:t>40-80L/每千克干衣，取60L/每千克干衣，单套床品约2kg，清洗周期为1周/次，年清洗52次，</w:t>
            </w:r>
            <w:r>
              <w:rPr>
                <w:rFonts w:hint="eastAsia"/>
                <w:color w:val="auto"/>
              </w:rPr>
              <w:t>则项目现有病床床品洗涤用水量</w:t>
            </w:r>
            <w:r>
              <w:rPr>
                <w:rFonts w:hint="eastAsia"/>
                <w:color w:val="auto"/>
                <w:lang w:val="en-US" w:eastAsia="zh-CN"/>
              </w:rPr>
              <w:t>约</w:t>
            </w:r>
            <w:r>
              <w:rPr>
                <w:rFonts w:hint="eastAsia"/>
                <w:color w:val="auto"/>
              </w:rPr>
              <w:t>为</w:t>
            </w:r>
            <w:r>
              <w:rPr>
                <w:rFonts w:hint="eastAsia"/>
                <w:color w:val="auto"/>
                <w:lang w:val="en-US" w:eastAsia="zh-CN"/>
              </w:rPr>
              <w:t>0.35</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124.8</w:t>
            </w:r>
            <w:r>
              <w:rPr>
                <w:rFonts w:hint="eastAsia"/>
                <w:color w:val="auto"/>
              </w:rPr>
              <w:t>m</w:t>
            </w:r>
            <w:r>
              <w:rPr>
                <w:rFonts w:hint="eastAsia"/>
                <w:color w:val="auto"/>
                <w:vertAlign w:val="superscript"/>
              </w:rPr>
              <w:t>3</w:t>
            </w:r>
            <w:r>
              <w:rPr>
                <w:rFonts w:hint="eastAsia"/>
                <w:color w:val="auto"/>
              </w:rPr>
              <w:t>/a。</w:t>
            </w:r>
          </w:p>
          <w:p w14:paraId="21CE3B9D">
            <w:pPr>
              <w:keepNext w:val="0"/>
              <w:keepLines w:val="0"/>
              <w:pageBreakBefore w:val="0"/>
              <w:widowControl w:val="0"/>
              <w:tabs>
                <w:tab w:val="left" w:pos="333"/>
              </w:tabs>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b/>
                <w:bCs/>
                <w:color w:val="auto"/>
                <w:kern w:val="0"/>
                <w:sz w:val="24"/>
                <w:lang w:val="en-US" w:eastAsia="zh-CN"/>
              </w:rPr>
            </w:pPr>
            <w:r>
              <w:rPr>
                <w:rFonts w:hint="eastAsia"/>
                <w:b/>
                <w:bCs/>
                <w:color w:val="auto"/>
                <w:kern w:val="0"/>
                <w:sz w:val="24"/>
                <w:lang w:val="en-US" w:eastAsia="zh-CN"/>
              </w:rPr>
              <w:t>非病区用水</w:t>
            </w:r>
          </w:p>
          <w:p w14:paraId="53CEF0E5">
            <w:pPr>
              <w:pStyle w:val="25"/>
              <w:spacing w:line="360" w:lineRule="auto"/>
              <w:ind w:firstLine="480" w:firstLineChars="200"/>
              <w:jc w:val="both"/>
              <w:rPr>
                <w:color w:val="auto"/>
              </w:rPr>
            </w:pPr>
            <w:r>
              <w:rPr>
                <w:rFonts w:hint="eastAsia"/>
                <w:color w:val="auto"/>
                <w:lang w:val="en-US" w:eastAsia="zh-CN"/>
              </w:rPr>
              <w:t>①</w:t>
            </w:r>
            <w:r>
              <w:rPr>
                <w:rFonts w:hint="eastAsia"/>
                <w:color w:val="auto"/>
              </w:rPr>
              <w:t>医务人员办公用水</w:t>
            </w:r>
          </w:p>
          <w:p w14:paraId="7E1B499E">
            <w:pPr>
              <w:keepNext w:val="0"/>
              <w:keepLines w:val="0"/>
              <w:pageBreakBefore w:val="0"/>
              <w:kinsoku/>
              <w:wordWrap/>
              <w:overflowPunct/>
              <w:topLinePunct w:val="0"/>
              <w:autoSpaceDE/>
              <w:autoSpaceDN/>
              <w:bidi w:val="0"/>
              <w:adjustRightInd w:val="0"/>
              <w:spacing w:line="360" w:lineRule="auto"/>
              <w:ind w:firstLine="480" w:firstLineChars="200"/>
              <w:jc w:val="both"/>
              <w:textAlignment w:val="auto"/>
              <w:outlineLvl w:val="9"/>
              <w:rPr>
                <w:rFonts w:hint="eastAsia" w:ascii="Times New Roman" w:hAnsi="Times New Roman" w:eastAsia="宋体"/>
                <w:color w:val="auto"/>
                <w:sz w:val="24"/>
              </w:rPr>
            </w:pPr>
            <w:r>
              <w:rPr>
                <w:rFonts w:hint="eastAsia" w:ascii="Times New Roman" w:hAnsi="Times New Roman" w:eastAsia="宋体"/>
                <w:color w:val="auto"/>
                <w:sz w:val="24"/>
                <w:lang w:val="en-US" w:eastAsia="zh-CN"/>
              </w:rPr>
              <w:t>项目医务人员20人，</w:t>
            </w:r>
            <w:r>
              <w:rPr>
                <w:rFonts w:hint="eastAsia" w:ascii="Times New Roman" w:hAnsi="Times New Roman" w:eastAsia="宋体" w:cs="Times New Roman"/>
                <w:color w:val="auto"/>
                <w:sz w:val="24"/>
                <w:lang w:val="en-US" w:eastAsia="zh-CN"/>
              </w:rPr>
              <w:t>根据《综合医院建筑设计标准》（GB51039-2014）（</w:t>
            </w:r>
            <w:r>
              <w:rPr>
                <w:rFonts w:hint="default" w:ascii="Times New Roman" w:hAnsi="Times New Roman" w:eastAsia="宋体" w:cs="Times New Roman"/>
                <w:color w:val="auto"/>
                <w:sz w:val="24"/>
                <w:lang w:val="en-US" w:eastAsia="zh-CN"/>
              </w:rPr>
              <w:t>2024年)</w:t>
            </w:r>
            <w:r>
              <w:rPr>
                <w:rFonts w:hint="eastAsia" w:ascii="Times New Roman" w:hAnsi="Times New Roman" w:eastAsia="宋体" w:cs="Times New Roman"/>
                <w:color w:val="auto"/>
                <w:sz w:val="24"/>
                <w:lang w:val="en-US" w:eastAsia="zh-CN"/>
              </w:rPr>
              <w:t>中医务人员用水</w:t>
            </w:r>
            <w:r>
              <w:rPr>
                <w:rFonts w:hint="eastAsia" w:ascii="Times New Roman" w:hAnsi="Times New Roman" w:eastAsia="宋体"/>
                <w:color w:val="auto"/>
                <w:kern w:val="0"/>
                <w:sz w:val="24"/>
                <w:lang w:val="en-US" w:eastAsia="zh-CN"/>
              </w:rPr>
              <w:t>定额，评价</w:t>
            </w:r>
            <w:r>
              <w:rPr>
                <w:rFonts w:hint="default" w:ascii="Times New Roman" w:hAnsi="Times New Roman" w:eastAsia="宋体" w:cs="Times New Roman"/>
                <w:color w:val="auto"/>
                <w:kern w:val="0"/>
                <w:sz w:val="24"/>
                <w:szCs w:val="24"/>
                <w:lang w:val="en-US" w:eastAsia="zh-CN" w:bidi="ar"/>
              </w:rPr>
              <w:t>按150L/人·d计，</w:t>
            </w:r>
            <w:r>
              <w:rPr>
                <w:rFonts w:hint="eastAsia" w:ascii="Times New Roman" w:hAnsi="Times New Roman" w:eastAsia="宋体" w:cs="Times New Roman"/>
                <w:color w:val="auto"/>
                <w:kern w:val="0"/>
                <w:sz w:val="24"/>
                <w:szCs w:val="24"/>
                <w:lang w:val="en-US" w:eastAsia="zh-CN" w:bidi="ar"/>
              </w:rPr>
              <w:t>项目医务人员用水量3</w:t>
            </w:r>
            <w:r>
              <w:rPr>
                <w:rFonts w:ascii="Times New Roman" w:cs="Times New Roman"/>
                <w:color w:val="auto"/>
              </w:rPr>
              <w:t>m</w:t>
            </w:r>
            <w:r>
              <w:rPr>
                <w:rFonts w:ascii="Times New Roman" w:cs="Times New Roman"/>
                <w:color w:val="auto"/>
                <w:vertAlign w:val="superscript"/>
              </w:rPr>
              <w:t>3</w:t>
            </w:r>
            <w:r>
              <w:rPr>
                <w:rFonts w:ascii="Times New Roman" w:cs="Times New Roman"/>
                <w:color w:val="auto"/>
              </w:rPr>
              <w:t>/</w:t>
            </w:r>
            <w:r>
              <w:rPr>
                <w:rFonts w:hint="eastAsia" w:ascii="Times New Roman" w:hAnsi="Times New Roman" w:eastAsia="宋体" w:cs="Times New Roman"/>
                <w:color w:val="auto"/>
                <w:kern w:val="0"/>
                <w:sz w:val="24"/>
                <w:szCs w:val="24"/>
                <w:lang w:val="en-US" w:eastAsia="zh-CN" w:bidi="ar"/>
              </w:rPr>
              <w:t>/d，1095</w:t>
            </w:r>
            <w:r>
              <w:rPr>
                <w:rFonts w:ascii="Times New Roman" w:cs="Times New Roman"/>
                <w:color w:val="auto"/>
              </w:rPr>
              <w:t>m</w:t>
            </w:r>
            <w:r>
              <w:rPr>
                <w:rFonts w:ascii="Times New Roman" w:cs="Times New Roman"/>
                <w:color w:val="auto"/>
                <w:vertAlign w:val="superscript"/>
              </w:rPr>
              <w:t>3</w:t>
            </w:r>
            <w:r>
              <w:rPr>
                <w:rFonts w:ascii="Times New Roman" w:cs="Times New Roman"/>
                <w:color w:val="auto"/>
              </w:rPr>
              <w:t>/</w:t>
            </w:r>
            <w:r>
              <w:rPr>
                <w:rFonts w:hint="eastAsia" w:ascii="Times New Roman" w:hAnsi="Times New Roman" w:eastAsia="宋体" w:cs="Times New Roman"/>
                <w:color w:val="auto"/>
                <w:kern w:val="0"/>
                <w:sz w:val="24"/>
                <w:szCs w:val="24"/>
                <w:lang w:val="en-US" w:eastAsia="zh-CN" w:bidi="ar"/>
              </w:rPr>
              <w:t>/a。</w:t>
            </w:r>
          </w:p>
          <w:p w14:paraId="3E8D5C1D">
            <w:pPr>
              <w:pStyle w:val="29"/>
              <w:widowControl/>
              <w:adjustRightInd w:val="0"/>
              <w:ind w:firstLine="480"/>
              <w:rPr>
                <w:color w:val="auto"/>
                <w:szCs w:val="24"/>
              </w:rPr>
            </w:pPr>
            <w:r>
              <w:rPr>
                <w:rFonts w:hint="eastAsia"/>
                <w:color w:val="auto"/>
                <w:szCs w:val="24"/>
                <w:lang w:val="en-US" w:eastAsia="zh-CN"/>
              </w:rPr>
              <w:t>②</w:t>
            </w:r>
            <w:r>
              <w:rPr>
                <w:rFonts w:hint="eastAsia"/>
                <w:color w:val="auto"/>
                <w:szCs w:val="24"/>
              </w:rPr>
              <w:t>陪护人员用水</w:t>
            </w:r>
          </w:p>
          <w:p w14:paraId="3FB2A9AC">
            <w:pPr>
              <w:pStyle w:val="29"/>
              <w:widowControl/>
              <w:adjustRightInd w:val="0"/>
              <w:ind w:firstLine="480"/>
              <w:rPr>
                <w:rFonts w:hint="default"/>
                <w:b/>
                <w:bCs/>
                <w:color w:val="auto"/>
                <w:kern w:val="0"/>
                <w:sz w:val="24"/>
                <w:lang w:val="en-US" w:eastAsia="zh-CN"/>
              </w:rPr>
            </w:pPr>
            <w:r>
              <w:rPr>
                <w:rFonts w:hint="eastAsia"/>
                <w:color w:val="auto"/>
              </w:rPr>
              <w:t>本项目床位20张，</w:t>
            </w:r>
            <w:r>
              <w:rPr>
                <w:rFonts w:hint="eastAsia"/>
                <w:color w:val="auto"/>
                <w:lang w:val="en-US" w:eastAsia="zh-CN"/>
              </w:rPr>
              <w:t>陪护人员20人，</w:t>
            </w:r>
            <w:r>
              <w:rPr>
                <w:rFonts w:hint="eastAsia" w:ascii="Times New Roman" w:hAnsi="Times New Roman" w:eastAsia="宋体"/>
                <w:color w:val="auto"/>
                <w:sz w:val="24"/>
              </w:rPr>
              <w:t>根据</w:t>
            </w:r>
            <w:r>
              <w:rPr>
                <w:rFonts w:hint="eastAsia" w:ascii="Times New Roman" w:hAnsi="Times New Roman" w:eastAsia="宋体" w:cs="Times New Roman"/>
                <w:color w:val="auto"/>
                <w:sz w:val="24"/>
                <w:lang w:val="en-US" w:eastAsia="zh-CN"/>
              </w:rPr>
              <w:t>《综合医院建筑设计标准》（GB51039-2014）（</w:t>
            </w:r>
            <w:r>
              <w:rPr>
                <w:rFonts w:hint="default" w:ascii="Times New Roman" w:hAnsi="Times New Roman" w:eastAsia="宋体" w:cs="Times New Roman"/>
                <w:color w:val="auto"/>
                <w:sz w:val="24"/>
                <w:lang w:val="en-US" w:eastAsia="zh-CN"/>
              </w:rPr>
              <w:t>2024年)</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项目</w:t>
            </w:r>
            <w:r>
              <w:rPr>
                <w:rFonts w:hint="eastAsia" w:ascii="Times New Roman" w:hAnsi="Times New Roman" w:eastAsia="宋体"/>
                <w:color w:val="auto"/>
                <w:sz w:val="24"/>
                <w:lang w:val="en-US" w:eastAsia="zh-CN"/>
              </w:rPr>
              <w:t>陪护</w:t>
            </w:r>
            <w:r>
              <w:rPr>
                <w:rFonts w:hint="eastAsia" w:ascii="Times New Roman" w:hAnsi="Times New Roman" w:eastAsia="宋体"/>
                <w:color w:val="auto"/>
                <w:sz w:val="24"/>
              </w:rPr>
              <w:t>人员</w:t>
            </w:r>
            <w:r>
              <w:rPr>
                <w:rFonts w:hint="eastAsia" w:ascii="Times New Roman" w:hAnsi="Times New Roman" w:eastAsia="宋体"/>
                <w:color w:val="auto"/>
                <w:sz w:val="24"/>
                <w:lang w:eastAsia="zh-CN"/>
              </w:rPr>
              <w:t>在</w:t>
            </w:r>
            <w:r>
              <w:rPr>
                <w:rFonts w:hint="eastAsia" w:ascii="Times New Roman" w:hAnsi="Times New Roman" w:eastAsia="宋体"/>
                <w:color w:val="auto"/>
                <w:sz w:val="24"/>
                <w:lang w:val="en-US" w:eastAsia="zh-CN"/>
              </w:rPr>
              <w:t>按</w:t>
            </w:r>
            <w:r>
              <w:rPr>
                <w:rFonts w:hint="eastAsia" w:ascii="Times New Roman" w:hAnsi="Times New Roman" w:eastAsia="宋体"/>
                <w:color w:val="auto"/>
                <w:sz w:val="24"/>
              </w:rPr>
              <w:t>用水量以</w:t>
            </w:r>
            <w:r>
              <w:rPr>
                <w:rFonts w:hint="eastAsia" w:ascii="Times New Roman" w:hAnsi="Times New Roman" w:eastAsia="宋体"/>
                <w:color w:val="auto"/>
                <w:sz w:val="24"/>
                <w:lang w:val="en-US" w:eastAsia="zh-CN"/>
              </w:rPr>
              <w:t>5</w:t>
            </w:r>
            <w:r>
              <w:rPr>
                <w:rFonts w:hint="eastAsia" w:ascii="Times New Roman" w:hAnsi="Times New Roman" w:eastAsia="宋体"/>
                <w:color w:val="auto"/>
                <w:sz w:val="24"/>
              </w:rPr>
              <w:t>0L/</w:t>
            </w:r>
            <w:r>
              <w:rPr>
                <w:rFonts w:hint="eastAsia" w:ascii="Times New Roman" w:hAnsi="Times New Roman" w:eastAsia="宋体"/>
                <w:color w:val="auto"/>
                <w:sz w:val="24"/>
                <w:lang w:val="en-US" w:eastAsia="zh-CN"/>
              </w:rPr>
              <w:t>(</w:t>
            </w:r>
            <w:r>
              <w:rPr>
                <w:rFonts w:hint="eastAsia" w:ascii="Times New Roman" w:hAnsi="Times New Roman" w:eastAsia="宋体"/>
                <w:color w:val="auto"/>
                <w:sz w:val="24"/>
              </w:rPr>
              <w:t>人</w:t>
            </w:r>
            <w:r>
              <w:rPr>
                <w:rFonts w:hint="eastAsia" w:ascii="Times New Roman" w:hAnsi="Times New Roman" w:eastAsia="宋体" w:cs="宋体"/>
                <w:color w:val="auto"/>
                <w:sz w:val="24"/>
              </w:rPr>
              <w:t>•</w:t>
            </w:r>
            <w:r>
              <w:rPr>
                <w:rFonts w:hint="eastAsia" w:ascii="Times New Roman" w:hAnsi="Times New Roman" w:eastAsia="宋体"/>
                <w:color w:val="auto"/>
                <w:sz w:val="24"/>
                <w:lang w:val="en-US" w:eastAsia="zh-CN"/>
              </w:rPr>
              <w:t>d)</w:t>
            </w:r>
            <w:r>
              <w:rPr>
                <w:rFonts w:hint="eastAsia" w:ascii="Times New Roman" w:hAnsi="Times New Roman" w:eastAsia="宋体"/>
                <w:color w:val="auto"/>
                <w:sz w:val="24"/>
              </w:rPr>
              <w:t>计</w:t>
            </w:r>
            <w:r>
              <w:rPr>
                <w:rFonts w:hint="eastAsia" w:ascii="Times New Roman" w:hAnsi="Times New Roman" w:eastAsia="宋体"/>
                <w:color w:val="auto"/>
                <w:sz w:val="24"/>
                <w:lang w:val="en-US" w:eastAsia="zh-CN"/>
              </w:rPr>
              <w:t>，</w:t>
            </w:r>
            <w:r>
              <w:rPr>
                <w:rFonts w:hint="eastAsia" w:ascii="Times New Roman" w:hAnsi="Times New Roman" w:eastAsia="宋体"/>
                <w:color w:val="auto"/>
                <w:sz w:val="24"/>
              </w:rPr>
              <w:t>则</w:t>
            </w:r>
            <w:r>
              <w:rPr>
                <w:rFonts w:hint="eastAsia" w:ascii="Times New Roman" w:hAnsi="Times New Roman" w:eastAsia="宋体"/>
                <w:color w:val="auto"/>
                <w:sz w:val="24"/>
                <w:lang w:val="en-US" w:eastAsia="zh-CN"/>
              </w:rPr>
              <w:t>陪护人员</w:t>
            </w:r>
            <w:r>
              <w:rPr>
                <w:rFonts w:hint="eastAsia" w:ascii="Times New Roman" w:hAnsi="Times New Roman" w:eastAsia="宋体"/>
                <w:color w:val="auto"/>
                <w:sz w:val="24"/>
              </w:rPr>
              <w:t>用水量为</w:t>
            </w:r>
            <w:r>
              <w:rPr>
                <w:rFonts w:hint="eastAsia" w:ascii="Times New Roman" w:hAnsi="Times New Roman" w:eastAsia="宋体"/>
                <w:color w:val="auto"/>
                <w:sz w:val="24"/>
                <w:lang w:val="en-US" w:eastAsia="zh-CN"/>
              </w:rPr>
              <w:t>1</w:t>
            </w:r>
            <w:r>
              <w:rPr>
                <w:rFonts w:hint="eastAsia" w:ascii="Times New Roman" w:hAnsi="Times New Roman" w:eastAsia="宋体"/>
                <w:color w:val="auto"/>
                <w:sz w:val="24"/>
              </w:rPr>
              <w:t>m³/d，</w:t>
            </w:r>
            <w:r>
              <w:rPr>
                <w:rFonts w:hint="eastAsia" w:ascii="Times New Roman" w:hAnsi="Times New Roman" w:eastAsia="宋体"/>
                <w:color w:val="auto"/>
                <w:sz w:val="24"/>
                <w:lang w:val="en-US" w:eastAsia="zh-CN"/>
              </w:rPr>
              <w:t>365</w:t>
            </w:r>
            <w:r>
              <w:rPr>
                <w:rFonts w:hint="eastAsia" w:ascii="Times New Roman" w:hAnsi="Times New Roman" w:eastAsia="宋体"/>
                <w:color w:val="auto"/>
                <w:sz w:val="24"/>
              </w:rPr>
              <w:t>m³/a。</w:t>
            </w:r>
          </w:p>
          <w:p w14:paraId="10746D13">
            <w:pPr>
              <w:pStyle w:val="29"/>
              <w:widowControl/>
              <w:adjustRightInd w:val="0"/>
              <w:ind w:firstLine="480"/>
              <w:jc w:val="left"/>
              <w:rPr>
                <w:color w:val="auto"/>
                <w:szCs w:val="24"/>
              </w:rPr>
            </w:pPr>
            <w:r>
              <w:rPr>
                <w:rFonts w:hint="eastAsia"/>
                <w:color w:val="auto"/>
                <w:szCs w:val="24"/>
                <w:lang w:val="en-US" w:eastAsia="zh-CN"/>
              </w:rPr>
              <w:t>③</w:t>
            </w:r>
            <w:r>
              <w:rPr>
                <w:rFonts w:hint="eastAsia"/>
                <w:color w:val="auto"/>
                <w:szCs w:val="24"/>
              </w:rPr>
              <w:t>食堂用水</w:t>
            </w:r>
          </w:p>
          <w:p w14:paraId="5447CC84">
            <w:pPr>
              <w:pStyle w:val="29"/>
              <w:widowControl/>
              <w:adjustRightInd w:val="0"/>
              <w:ind w:firstLine="482"/>
              <w:jc w:val="both"/>
              <w:rPr>
                <w:rFonts w:hint="default" w:ascii="Times New Roman" w:hAnsi="Times New Roman" w:cs="Times New Roman"/>
                <w:b w:val="0"/>
                <w:bCs w:val="0"/>
                <w:color w:val="auto"/>
              </w:rPr>
            </w:pPr>
            <w:r>
              <w:rPr>
                <w:rFonts w:hint="default" w:ascii="Times New Roman" w:hAnsi="Times New Roman" w:cs="Times New Roman"/>
                <w:b w:val="0"/>
                <w:bCs w:val="0"/>
                <w:color w:val="auto"/>
                <w:szCs w:val="24"/>
              </w:rPr>
              <w:t>项目食堂用餐人数24人</w:t>
            </w:r>
            <w:r>
              <w:rPr>
                <w:rFonts w:hint="default" w:ascii="Times New Roman" w:hAnsi="Times New Roman" w:cs="Times New Roman"/>
                <w:b w:val="0"/>
                <w:bCs w:val="0"/>
                <w:color w:val="auto"/>
              </w:rPr>
              <w:t>，</w:t>
            </w:r>
            <w:r>
              <w:rPr>
                <w:rFonts w:hint="default" w:ascii="Times New Roman" w:hAnsi="Times New Roman" w:cs="Times New Roman"/>
                <w:b w:val="0"/>
                <w:bCs w:val="0"/>
                <w:color w:val="auto"/>
                <w:lang w:val="en-US" w:eastAsia="zh-CN"/>
              </w:rPr>
              <w:t>根据</w:t>
            </w:r>
            <w:r>
              <w:rPr>
                <w:rFonts w:hint="eastAsia" w:ascii="Times New Roman" w:hAnsi="Times New Roman" w:eastAsia="宋体" w:cs="Times New Roman"/>
                <w:color w:val="auto"/>
                <w:sz w:val="24"/>
                <w:lang w:val="en-US" w:eastAsia="zh-CN"/>
              </w:rPr>
              <w:t>《综合医院建筑设计标准》（GB51039-2014）（</w:t>
            </w:r>
            <w:r>
              <w:rPr>
                <w:rFonts w:hint="default" w:ascii="Times New Roman" w:hAnsi="Times New Roman" w:eastAsia="宋体" w:cs="Times New Roman"/>
                <w:color w:val="auto"/>
                <w:sz w:val="24"/>
                <w:lang w:val="en-US" w:eastAsia="zh-CN"/>
              </w:rPr>
              <w:t>2024年)</w:t>
            </w:r>
            <w:r>
              <w:rPr>
                <w:rFonts w:hint="default" w:ascii="Times New Roman" w:hAnsi="Times New Roman" w:eastAsia="Helvetica" w:cs="Times New Roman"/>
                <w:b w:val="0"/>
                <w:bCs w:val="0"/>
                <w:i w:val="0"/>
                <w:iCs w:val="0"/>
                <w:caps w:val="0"/>
                <w:color w:val="auto"/>
                <w:spacing w:val="0"/>
                <w:sz w:val="24"/>
                <w:szCs w:val="24"/>
                <w:shd w:val="clear" w:fill="FFFFFF"/>
              </w:rPr>
              <w:t>食堂用水定额</w:t>
            </w:r>
            <w:r>
              <w:rPr>
                <w:rFonts w:hint="default" w:ascii="Times New Roman" w:hAnsi="Times New Roman" w:cs="Times New Roman"/>
                <w:b w:val="0"/>
                <w:bCs w:val="0"/>
                <w:i w:val="0"/>
                <w:iCs w:val="0"/>
                <w:caps w:val="0"/>
                <w:color w:val="auto"/>
                <w:spacing w:val="0"/>
                <w:sz w:val="24"/>
                <w:szCs w:val="24"/>
                <w:shd w:val="clear" w:fill="FFFFFF"/>
                <w:lang w:val="en-US" w:eastAsia="zh-CN"/>
              </w:rPr>
              <w:t>为20-25L/人·次，</w:t>
            </w:r>
            <w:r>
              <w:rPr>
                <w:rFonts w:hint="default" w:ascii="Times New Roman" w:hAnsi="Times New Roman" w:eastAsia="Helvetica" w:cs="Times New Roman"/>
                <w:b w:val="0"/>
                <w:bCs w:val="0"/>
                <w:i w:val="0"/>
                <w:iCs w:val="0"/>
                <w:caps w:val="0"/>
                <w:color w:val="auto"/>
                <w:spacing w:val="0"/>
                <w:sz w:val="24"/>
                <w:szCs w:val="24"/>
                <w:shd w:val="clear" w:fill="FFFFFF"/>
              </w:rPr>
              <w:t>取2</w:t>
            </w:r>
            <w:r>
              <w:rPr>
                <w:rFonts w:hint="default" w:ascii="Times New Roman" w:hAnsi="Times New Roman" w:cs="Times New Roman"/>
                <w:b w:val="0"/>
                <w:bCs w:val="0"/>
                <w:i w:val="0"/>
                <w:iCs w:val="0"/>
                <w:caps w:val="0"/>
                <w:color w:val="auto"/>
                <w:spacing w:val="0"/>
                <w:sz w:val="24"/>
                <w:szCs w:val="24"/>
                <w:shd w:val="clear" w:fill="FFFFFF"/>
                <w:lang w:val="en-US" w:eastAsia="zh-CN"/>
              </w:rPr>
              <w:t>5</w:t>
            </w:r>
            <w:r>
              <w:rPr>
                <w:rFonts w:hint="default" w:ascii="Times New Roman" w:hAnsi="Times New Roman" w:eastAsia="Helvetica" w:cs="Times New Roman"/>
                <w:b w:val="0"/>
                <w:bCs w:val="0"/>
                <w:i w:val="0"/>
                <w:iCs w:val="0"/>
                <w:caps w:val="0"/>
                <w:color w:val="auto"/>
                <w:spacing w:val="0"/>
                <w:sz w:val="24"/>
                <w:szCs w:val="24"/>
                <w:shd w:val="clear" w:fill="FFFFFF"/>
              </w:rPr>
              <w:t>升/人·次</w:t>
            </w:r>
            <w:r>
              <w:rPr>
                <w:rFonts w:hint="default" w:ascii="Times New Roman" w:hAnsi="Times New Roman" w:cs="Times New Roman"/>
                <w:b w:val="0"/>
                <w:bCs w:val="0"/>
                <w:i w:val="0"/>
                <w:iCs w:val="0"/>
                <w:caps w:val="0"/>
                <w:color w:val="auto"/>
                <w:spacing w:val="0"/>
                <w:sz w:val="24"/>
                <w:szCs w:val="24"/>
                <w:shd w:val="clear" w:fill="FFFFFF"/>
                <w:lang w:eastAsia="zh-CN"/>
              </w:rPr>
              <w:t>，</w:t>
            </w:r>
            <w:r>
              <w:rPr>
                <w:rFonts w:hint="default" w:ascii="Times New Roman" w:hAnsi="Times New Roman" w:cs="Times New Roman"/>
                <w:b w:val="0"/>
                <w:bCs w:val="0"/>
                <w:color w:val="auto"/>
              </w:rPr>
              <w:t>则食堂现有用水量为</w:t>
            </w:r>
            <w:r>
              <w:rPr>
                <w:rFonts w:hint="default" w:ascii="Times New Roman" w:hAnsi="Times New Roman" w:cs="Times New Roman"/>
                <w:b w:val="0"/>
                <w:bCs w:val="0"/>
                <w:color w:val="auto"/>
                <w:lang w:val="en-US" w:eastAsia="zh-CN"/>
              </w:rPr>
              <w:t>1.8</w:t>
            </w:r>
            <w:r>
              <w:rPr>
                <w:rFonts w:hint="default" w:ascii="Times New Roman" w:hAnsi="Times New Roman" w:cs="Times New Roman"/>
                <w:b w:val="0"/>
                <w:bCs w:val="0"/>
                <w:color w:val="auto"/>
              </w:rPr>
              <w:t>m</w:t>
            </w:r>
            <w:r>
              <w:rPr>
                <w:rFonts w:hint="default" w:ascii="Times New Roman" w:hAnsi="Times New Roman" w:cs="Times New Roman"/>
                <w:b w:val="0"/>
                <w:bCs w:val="0"/>
                <w:color w:val="auto"/>
                <w:vertAlign w:val="superscript"/>
              </w:rPr>
              <w:t>3</w:t>
            </w:r>
            <w:r>
              <w:rPr>
                <w:rFonts w:hint="default" w:ascii="Times New Roman" w:hAnsi="Times New Roman" w:cs="Times New Roman"/>
                <w:b w:val="0"/>
                <w:bCs w:val="0"/>
                <w:color w:val="auto"/>
              </w:rPr>
              <w:t>/d，</w:t>
            </w:r>
            <w:r>
              <w:rPr>
                <w:rFonts w:hint="default" w:ascii="Times New Roman" w:hAnsi="Times New Roman" w:cs="Times New Roman"/>
                <w:b w:val="0"/>
                <w:bCs w:val="0"/>
                <w:color w:val="auto"/>
                <w:lang w:val="en-US" w:eastAsia="zh-CN"/>
              </w:rPr>
              <w:t>657</w:t>
            </w:r>
            <w:r>
              <w:rPr>
                <w:rFonts w:hint="default" w:ascii="Times New Roman" w:hAnsi="Times New Roman" w:cs="Times New Roman"/>
                <w:b w:val="0"/>
                <w:bCs w:val="0"/>
                <w:color w:val="auto"/>
              </w:rPr>
              <w:t>m</w:t>
            </w:r>
            <w:r>
              <w:rPr>
                <w:rFonts w:hint="default" w:ascii="Times New Roman" w:hAnsi="Times New Roman" w:cs="Times New Roman"/>
                <w:b w:val="0"/>
                <w:bCs w:val="0"/>
                <w:color w:val="auto"/>
                <w:vertAlign w:val="superscript"/>
              </w:rPr>
              <w:t>3</w:t>
            </w:r>
            <w:r>
              <w:rPr>
                <w:rFonts w:hint="default" w:ascii="Times New Roman" w:hAnsi="Times New Roman" w:cs="Times New Roman"/>
                <w:b w:val="0"/>
                <w:bCs w:val="0"/>
                <w:color w:val="auto"/>
              </w:rPr>
              <w:t>/a。</w:t>
            </w:r>
          </w:p>
          <w:p w14:paraId="5B86DDBF">
            <w:pPr>
              <w:widowControl/>
              <w:spacing w:line="360" w:lineRule="auto"/>
              <w:ind w:firstLine="480" w:firstLineChars="200"/>
              <w:jc w:val="left"/>
              <w:rPr>
                <w:color w:val="auto"/>
                <w:kern w:val="0"/>
                <w:sz w:val="24"/>
              </w:rPr>
            </w:pPr>
            <w:r>
              <w:rPr>
                <w:rFonts w:hint="eastAsia"/>
                <w:color w:val="auto"/>
                <w:kern w:val="0"/>
                <w:sz w:val="24"/>
                <w:lang w:val="en-US" w:eastAsia="zh-CN"/>
              </w:rPr>
              <w:t>④</w:t>
            </w:r>
            <w:r>
              <w:rPr>
                <w:rFonts w:hint="eastAsia"/>
                <w:color w:val="auto"/>
                <w:kern w:val="0"/>
                <w:sz w:val="24"/>
              </w:rPr>
              <w:t>中药煎煮用水</w:t>
            </w:r>
          </w:p>
          <w:p w14:paraId="362D7EF4">
            <w:pPr>
              <w:widowControl/>
              <w:spacing w:line="360" w:lineRule="auto"/>
              <w:ind w:firstLine="480" w:firstLineChars="200"/>
              <w:jc w:val="left"/>
              <w:rPr>
                <w:color w:val="auto"/>
                <w:kern w:val="0"/>
                <w:sz w:val="24"/>
              </w:rPr>
            </w:pPr>
            <w:r>
              <w:rPr>
                <w:rFonts w:hint="eastAsia"/>
                <w:color w:val="auto"/>
                <w:kern w:val="0"/>
                <w:sz w:val="24"/>
              </w:rPr>
              <w:t>本项目中药科室为病人提供中药煎煮服务，根据建设单位提供资料，</w:t>
            </w:r>
            <w:r>
              <w:rPr>
                <w:rFonts w:hint="eastAsia"/>
                <w:color w:val="auto"/>
                <w:kern w:val="0"/>
                <w:sz w:val="24"/>
                <w:lang w:val="en-US" w:eastAsia="zh-CN"/>
              </w:rPr>
              <w:t>煎药机规格为20L，煎药壶规格为6L，</w:t>
            </w:r>
            <w:r>
              <w:rPr>
                <w:rFonts w:hint="eastAsia"/>
                <w:color w:val="auto"/>
                <w:kern w:val="0"/>
                <w:sz w:val="24"/>
              </w:rPr>
              <w:t>中药馆平均煎药1-2次/月，取2次/月，</w:t>
            </w:r>
            <w:r>
              <w:rPr>
                <w:rFonts w:hint="eastAsia"/>
                <w:color w:val="auto"/>
                <w:kern w:val="0"/>
                <w:sz w:val="24"/>
                <w:lang w:val="en-US" w:eastAsia="zh-CN"/>
              </w:rPr>
              <w:t>一次用</w:t>
            </w:r>
            <w:r>
              <w:rPr>
                <w:rFonts w:hint="eastAsia"/>
                <w:color w:val="auto"/>
                <w:kern w:val="0"/>
                <w:sz w:val="24"/>
              </w:rPr>
              <w:t>水量</w:t>
            </w:r>
            <w:r>
              <w:rPr>
                <w:rFonts w:hint="eastAsia"/>
                <w:color w:val="auto"/>
                <w:kern w:val="0"/>
                <w:sz w:val="24"/>
                <w:lang w:eastAsia="zh-CN"/>
              </w:rPr>
              <w:t>（</w:t>
            </w:r>
            <w:r>
              <w:rPr>
                <w:rFonts w:hint="eastAsia"/>
                <w:color w:val="auto"/>
                <w:kern w:val="0"/>
                <w:sz w:val="24"/>
                <w:lang w:val="en-US" w:eastAsia="zh-CN"/>
              </w:rPr>
              <w:t>清洗中药、煎药用水、洗涤煎药仪器</w:t>
            </w:r>
            <w:r>
              <w:rPr>
                <w:rFonts w:hint="eastAsia"/>
                <w:color w:val="auto"/>
                <w:kern w:val="0"/>
                <w:sz w:val="24"/>
                <w:lang w:eastAsia="zh-CN"/>
              </w:rPr>
              <w:t>）</w:t>
            </w:r>
            <w:r>
              <w:rPr>
                <w:rFonts w:hint="eastAsia"/>
                <w:color w:val="auto"/>
                <w:kern w:val="0"/>
                <w:sz w:val="24"/>
                <w:lang w:val="en-US" w:eastAsia="zh-CN"/>
              </w:rPr>
              <w:t>取60L，则</w:t>
            </w:r>
            <w:r>
              <w:rPr>
                <w:rFonts w:hint="eastAsia"/>
                <w:color w:val="auto"/>
                <w:kern w:val="0"/>
                <w:sz w:val="24"/>
              </w:rPr>
              <w:t>中药煎煮用水</w:t>
            </w:r>
            <w:r>
              <w:rPr>
                <w:rFonts w:hint="eastAsia"/>
                <w:color w:val="auto"/>
                <w:kern w:val="0"/>
                <w:sz w:val="24"/>
                <w:lang w:val="en-US" w:eastAsia="zh-CN"/>
              </w:rPr>
              <w:t>约</w:t>
            </w:r>
            <w:r>
              <w:rPr>
                <w:rFonts w:hint="eastAsia"/>
                <w:color w:val="auto"/>
                <w:kern w:val="0"/>
                <w:sz w:val="24"/>
              </w:rPr>
              <w:t>为</w:t>
            </w:r>
            <w:r>
              <w:rPr>
                <w:rFonts w:hint="eastAsia"/>
                <w:color w:val="auto"/>
                <w:kern w:val="0"/>
                <w:sz w:val="24"/>
                <w:lang w:val="en-US" w:eastAsia="zh-CN"/>
              </w:rPr>
              <w:t>0.0040</w:t>
            </w:r>
            <w:r>
              <w:rPr>
                <w:color w:val="auto"/>
                <w:kern w:val="0"/>
                <w:sz w:val="24"/>
              </w:rPr>
              <w:t>m</w:t>
            </w:r>
            <w:r>
              <w:rPr>
                <w:color w:val="auto"/>
                <w:kern w:val="0"/>
                <w:sz w:val="24"/>
                <w:vertAlign w:val="superscript"/>
              </w:rPr>
              <w:t>3</w:t>
            </w:r>
            <w:r>
              <w:rPr>
                <w:color w:val="auto"/>
                <w:kern w:val="0"/>
                <w:sz w:val="24"/>
              </w:rPr>
              <w:t xml:space="preserve"> /</w:t>
            </w:r>
            <w:r>
              <w:rPr>
                <w:rFonts w:hint="eastAsia"/>
                <w:color w:val="auto"/>
                <w:kern w:val="0"/>
                <w:sz w:val="24"/>
              </w:rPr>
              <w:t>d、</w:t>
            </w:r>
            <w:r>
              <w:rPr>
                <w:rFonts w:hint="eastAsia"/>
                <w:color w:val="auto"/>
                <w:kern w:val="0"/>
                <w:sz w:val="24"/>
                <w:lang w:val="en-US" w:eastAsia="zh-CN"/>
              </w:rPr>
              <w:t>1.44</w:t>
            </w:r>
            <w:r>
              <w:rPr>
                <w:color w:val="auto"/>
                <w:kern w:val="0"/>
                <w:sz w:val="24"/>
              </w:rPr>
              <w:t>m</w:t>
            </w:r>
            <w:r>
              <w:rPr>
                <w:color w:val="auto"/>
                <w:kern w:val="0"/>
                <w:sz w:val="24"/>
                <w:vertAlign w:val="superscript"/>
              </w:rPr>
              <w:t>3</w:t>
            </w:r>
            <w:r>
              <w:rPr>
                <w:color w:val="auto"/>
                <w:kern w:val="0"/>
                <w:sz w:val="24"/>
              </w:rPr>
              <w:t xml:space="preserve"> /a</w:t>
            </w:r>
            <w:r>
              <w:rPr>
                <w:rFonts w:hint="eastAsia"/>
                <w:color w:val="auto"/>
                <w:kern w:val="0"/>
                <w:sz w:val="24"/>
              </w:rPr>
              <w:t>。</w:t>
            </w:r>
          </w:p>
          <w:p w14:paraId="189FF984">
            <w:pPr>
              <w:keepNext w:val="0"/>
              <w:keepLines w:val="0"/>
              <w:pageBreakBefore w:val="0"/>
              <w:kinsoku/>
              <w:wordWrap/>
              <w:overflowPunct/>
              <w:topLinePunct w:val="0"/>
              <w:autoSpaceDE/>
              <w:autoSpaceDN/>
              <w:bidi w:val="0"/>
              <w:adjustRightInd w:val="0"/>
              <w:spacing w:line="360" w:lineRule="auto"/>
              <w:ind w:firstLine="480" w:firstLineChars="200"/>
              <w:jc w:val="both"/>
              <w:textAlignment w:val="auto"/>
              <w:outlineLvl w:val="9"/>
              <w:rPr>
                <w:rFonts w:hint="eastAsia" w:ascii="Times New Roman" w:hAnsi="Times New Roman" w:eastAsia="宋体"/>
                <w:color w:val="auto"/>
                <w:sz w:val="24"/>
              </w:rPr>
            </w:pPr>
            <w:r>
              <w:rPr>
                <w:rFonts w:hint="eastAsia" w:ascii="Times New Roman" w:hAnsi="Times New Roman" w:eastAsia="宋体" w:cs="微软雅黑"/>
                <w:color w:val="auto"/>
                <w:sz w:val="24"/>
                <w:lang w:val="en-US" w:eastAsia="zh-CN"/>
              </w:rPr>
              <w:t>⑤</w:t>
            </w:r>
            <w:r>
              <w:rPr>
                <w:rFonts w:hint="eastAsia" w:ascii="Times New Roman" w:hAnsi="Times New Roman" w:eastAsia="宋体"/>
                <w:color w:val="auto"/>
                <w:sz w:val="24"/>
              </w:rPr>
              <w:t>行政人员用水</w:t>
            </w:r>
          </w:p>
          <w:p w14:paraId="72844B59">
            <w:pPr>
              <w:keepNext w:val="0"/>
              <w:keepLines w:val="0"/>
              <w:pageBreakBefore w:val="0"/>
              <w:kinsoku/>
              <w:wordWrap/>
              <w:overflowPunct/>
              <w:topLinePunct w:val="0"/>
              <w:autoSpaceDE/>
              <w:autoSpaceDN/>
              <w:bidi w:val="0"/>
              <w:adjustRightInd w:val="0"/>
              <w:spacing w:line="360" w:lineRule="auto"/>
              <w:ind w:firstLine="480" w:firstLineChars="200"/>
              <w:jc w:val="both"/>
              <w:textAlignment w:val="auto"/>
              <w:outlineLvl w:val="9"/>
              <w:rPr>
                <w:rFonts w:hint="eastAsia" w:ascii="Times New Roman" w:hAnsi="Times New Roman" w:eastAsia="宋体"/>
                <w:color w:val="auto"/>
                <w:sz w:val="24"/>
              </w:rPr>
            </w:pPr>
            <w:r>
              <w:rPr>
                <w:rFonts w:hint="eastAsia" w:ascii="Times New Roman" w:hAnsi="Times New Roman" w:eastAsia="宋体"/>
                <w:color w:val="auto"/>
                <w:sz w:val="24"/>
                <w:lang w:val="en-US" w:eastAsia="zh-CN"/>
              </w:rPr>
              <w:t>项目行政人员4人，</w:t>
            </w:r>
            <w:r>
              <w:rPr>
                <w:color w:val="auto"/>
                <w:kern w:val="0"/>
                <w:sz w:val="24"/>
              </w:rPr>
              <w:t>根据《</w:t>
            </w:r>
            <w:r>
              <w:rPr>
                <w:rFonts w:hint="eastAsia"/>
                <w:color w:val="auto"/>
                <w:kern w:val="0"/>
                <w:sz w:val="24"/>
                <w:lang w:val="en-US" w:eastAsia="zh-CN"/>
              </w:rPr>
              <w:t>建筑给水排水设计标准</w:t>
            </w:r>
            <w:r>
              <w:rPr>
                <w:color w:val="auto"/>
                <w:kern w:val="0"/>
                <w:sz w:val="24"/>
              </w:rPr>
              <w:t>》（</w:t>
            </w:r>
            <w:r>
              <w:rPr>
                <w:rFonts w:hint="eastAsia"/>
                <w:color w:val="auto"/>
                <w:kern w:val="0"/>
                <w:sz w:val="24"/>
                <w:lang w:val="en-US" w:eastAsia="zh-CN"/>
              </w:rPr>
              <w:t>GB 50015-2019</w:t>
            </w:r>
            <w:r>
              <w:rPr>
                <w:color w:val="auto"/>
                <w:kern w:val="0"/>
                <w:sz w:val="24"/>
              </w:rPr>
              <w:t>），</w:t>
            </w:r>
            <w:r>
              <w:rPr>
                <w:rFonts w:hint="eastAsia"/>
                <w:color w:val="auto"/>
                <w:kern w:val="0"/>
                <w:sz w:val="24"/>
                <w:lang w:val="en-US" w:eastAsia="zh-CN"/>
              </w:rPr>
              <w:t>员工最高日用水定额为每人40L~60L，本环评</w:t>
            </w:r>
            <w:r>
              <w:rPr>
                <w:color w:val="auto"/>
                <w:kern w:val="0"/>
                <w:sz w:val="24"/>
              </w:rPr>
              <w:t>取</w:t>
            </w:r>
            <w:r>
              <w:rPr>
                <w:rFonts w:hint="eastAsia"/>
                <w:color w:val="auto"/>
                <w:kern w:val="0"/>
                <w:sz w:val="24"/>
                <w:lang w:val="en-US" w:eastAsia="zh-CN"/>
              </w:rPr>
              <w:t xml:space="preserve">50 </w:t>
            </w:r>
            <w:r>
              <w:rPr>
                <w:color w:val="auto"/>
                <w:kern w:val="0"/>
                <w:sz w:val="24"/>
              </w:rPr>
              <w:t>L/人d</w:t>
            </w:r>
            <w:r>
              <w:rPr>
                <w:rFonts w:hint="eastAsia" w:ascii="Times New Roman" w:hAnsi="Times New Roman" w:eastAsia="宋体"/>
                <w:color w:val="auto"/>
                <w:sz w:val="24"/>
                <w:lang w:val="en-US" w:eastAsia="zh-CN"/>
              </w:rPr>
              <w:t>，</w:t>
            </w:r>
            <w:r>
              <w:rPr>
                <w:rFonts w:hint="eastAsia" w:ascii="Times New Roman" w:hAnsi="Times New Roman" w:eastAsia="宋体"/>
                <w:color w:val="auto"/>
                <w:sz w:val="24"/>
              </w:rPr>
              <w:t>则</w:t>
            </w:r>
            <w:r>
              <w:rPr>
                <w:rFonts w:hint="eastAsia" w:ascii="Times New Roman" w:hAnsi="Times New Roman" w:eastAsia="宋体"/>
                <w:color w:val="auto"/>
                <w:sz w:val="24"/>
                <w:lang w:val="en-US" w:eastAsia="zh-CN"/>
              </w:rPr>
              <w:t>行政人员</w:t>
            </w:r>
            <w:r>
              <w:rPr>
                <w:rFonts w:hint="eastAsia" w:ascii="Times New Roman" w:hAnsi="Times New Roman" w:eastAsia="宋体"/>
                <w:color w:val="auto"/>
                <w:sz w:val="24"/>
              </w:rPr>
              <w:t>用水量为</w:t>
            </w:r>
            <w:r>
              <w:rPr>
                <w:rFonts w:hint="eastAsia" w:ascii="Times New Roman" w:hAnsi="Times New Roman" w:eastAsia="宋体"/>
                <w:color w:val="auto"/>
                <w:sz w:val="24"/>
                <w:lang w:val="en-US" w:eastAsia="zh-CN"/>
              </w:rPr>
              <w:t>0.2</w:t>
            </w:r>
            <w:r>
              <w:rPr>
                <w:rFonts w:hint="eastAsia" w:ascii="Times New Roman" w:hAnsi="Times New Roman" w:eastAsia="宋体"/>
                <w:color w:val="auto"/>
                <w:sz w:val="24"/>
              </w:rPr>
              <w:t>m³/d，</w:t>
            </w:r>
            <w:r>
              <w:rPr>
                <w:rFonts w:hint="eastAsia" w:ascii="Times New Roman" w:hAnsi="Times New Roman" w:eastAsia="宋体"/>
                <w:color w:val="auto"/>
                <w:sz w:val="24"/>
                <w:lang w:val="en-US" w:eastAsia="zh-CN"/>
              </w:rPr>
              <w:t xml:space="preserve">73 </w:t>
            </w:r>
            <w:r>
              <w:rPr>
                <w:rFonts w:hint="eastAsia" w:ascii="Times New Roman" w:hAnsi="Times New Roman" w:eastAsia="宋体"/>
                <w:color w:val="auto"/>
                <w:sz w:val="24"/>
              </w:rPr>
              <w:t>m³/a。</w:t>
            </w:r>
          </w:p>
          <w:p w14:paraId="2CF852CF">
            <w:pPr>
              <w:snapToGrid w:val="0"/>
              <w:jc w:val="center"/>
              <w:rPr>
                <w:b/>
                <w:color w:val="auto"/>
                <w:szCs w:val="21"/>
                <w:lang w:val="zh-CN"/>
              </w:rPr>
            </w:pPr>
            <w:r>
              <w:rPr>
                <w:rFonts w:hint="eastAsia"/>
                <w:b/>
                <w:color w:val="auto"/>
                <w:szCs w:val="21"/>
                <w:lang w:val="zh-CN"/>
              </w:rPr>
              <w:t>表2-</w:t>
            </w:r>
            <w:r>
              <w:rPr>
                <w:rFonts w:hint="eastAsia"/>
                <w:b/>
                <w:color w:val="auto"/>
                <w:szCs w:val="21"/>
                <w:lang w:val="en-US" w:eastAsia="zh-CN"/>
              </w:rPr>
              <w:t>5</w:t>
            </w:r>
            <w:r>
              <w:rPr>
                <w:rFonts w:hint="eastAsia"/>
                <w:b/>
                <w:color w:val="auto"/>
                <w:szCs w:val="21"/>
                <w:lang w:val="zh-CN"/>
              </w:rPr>
              <w:t xml:space="preserve">   用水量一览表</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449"/>
              <w:gridCol w:w="1591"/>
              <w:gridCol w:w="1888"/>
              <w:gridCol w:w="1468"/>
              <w:gridCol w:w="1473"/>
            </w:tblGrid>
            <w:tr w14:paraId="6B7ED9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14" w:type="pct"/>
                  <w:vAlign w:val="center"/>
                </w:tcPr>
                <w:p w14:paraId="3C3070A7">
                  <w:pPr>
                    <w:pStyle w:val="28"/>
                    <w:spacing w:before="24" w:after="24" w:line="240" w:lineRule="auto"/>
                    <w:rPr>
                      <w:rFonts w:ascii="Times New Roman"/>
                      <w:b/>
                      <w:bCs/>
                      <w:color w:val="auto"/>
                      <w:szCs w:val="21"/>
                    </w:rPr>
                  </w:pPr>
                  <w:r>
                    <w:rPr>
                      <w:rFonts w:ascii="Times New Roman"/>
                      <w:b/>
                      <w:bCs/>
                      <w:color w:val="auto"/>
                      <w:szCs w:val="21"/>
                    </w:rPr>
                    <w:t>序号</w:t>
                  </w:r>
                </w:p>
              </w:tc>
              <w:tc>
                <w:tcPr>
                  <w:tcW w:w="863" w:type="pct"/>
                  <w:vAlign w:val="center"/>
                </w:tcPr>
                <w:p w14:paraId="314920A4">
                  <w:pPr>
                    <w:pStyle w:val="28"/>
                    <w:spacing w:before="24" w:after="24" w:line="240" w:lineRule="auto"/>
                    <w:rPr>
                      <w:rFonts w:ascii="Times New Roman"/>
                      <w:b/>
                      <w:bCs/>
                      <w:color w:val="auto"/>
                      <w:szCs w:val="21"/>
                    </w:rPr>
                  </w:pPr>
                  <w:r>
                    <w:rPr>
                      <w:rFonts w:hint="eastAsia" w:ascii="Times New Roman"/>
                      <w:b/>
                      <w:bCs/>
                      <w:color w:val="auto"/>
                      <w:szCs w:val="21"/>
                    </w:rPr>
                    <w:t>项目</w:t>
                  </w:r>
                </w:p>
              </w:tc>
              <w:tc>
                <w:tcPr>
                  <w:tcW w:w="947" w:type="pct"/>
                  <w:vAlign w:val="center"/>
                </w:tcPr>
                <w:p w14:paraId="2B959BCD">
                  <w:pPr>
                    <w:pStyle w:val="28"/>
                    <w:spacing w:before="24" w:after="24" w:line="240" w:lineRule="auto"/>
                    <w:rPr>
                      <w:rFonts w:ascii="Times New Roman"/>
                      <w:b/>
                      <w:bCs/>
                      <w:color w:val="auto"/>
                      <w:szCs w:val="21"/>
                    </w:rPr>
                  </w:pPr>
                  <w:r>
                    <w:rPr>
                      <w:rFonts w:hint="eastAsia" w:ascii="Times New Roman"/>
                      <w:b/>
                      <w:bCs/>
                      <w:color w:val="auto"/>
                      <w:szCs w:val="21"/>
                    </w:rPr>
                    <w:t>规模</w:t>
                  </w:r>
                </w:p>
              </w:tc>
              <w:tc>
                <w:tcPr>
                  <w:tcW w:w="1123" w:type="pct"/>
                  <w:vAlign w:val="center"/>
                </w:tcPr>
                <w:p w14:paraId="42715D30">
                  <w:pPr>
                    <w:pStyle w:val="28"/>
                    <w:spacing w:before="24" w:after="24" w:line="240" w:lineRule="auto"/>
                    <w:rPr>
                      <w:rFonts w:ascii="Times New Roman"/>
                      <w:b/>
                      <w:bCs/>
                      <w:color w:val="auto"/>
                      <w:szCs w:val="21"/>
                    </w:rPr>
                  </w:pPr>
                  <w:r>
                    <w:rPr>
                      <w:rFonts w:hint="eastAsia" w:ascii="Times New Roman"/>
                      <w:b/>
                      <w:bCs/>
                      <w:color w:val="auto"/>
                      <w:szCs w:val="21"/>
                    </w:rPr>
                    <w:t>用水标准</w:t>
                  </w:r>
                </w:p>
              </w:tc>
              <w:tc>
                <w:tcPr>
                  <w:tcW w:w="874" w:type="pct"/>
                  <w:vAlign w:val="center"/>
                </w:tcPr>
                <w:p w14:paraId="0D3FCC78">
                  <w:pPr>
                    <w:pStyle w:val="28"/>
                    <w:spacing w:before="24" w:after="24" w:line="240" w:lineRule="auto"/>
                    <w:rPr>
                      <w:rFonts w:ascii="Times New Roman"/>
                      <w:b/>
                      <w:bCs/>
                      <w:color w:val="auto"/>
                      <w:szCs w:val="21"/>
                    </w:rPr>
                  </w:pPr>
                  <w:r>
                    <w:rPr>
                      <w:rFonts w:hint="eastAsia" w:ascii="Times New Roman"/>
                      <w:b/>
                      <w:bCs/>
                      <w:color w:val="auto"/>
                      <w:szCs w:val="21"/>
                    </w:rPr>
                    <w:t>用水量（m</w:t>
                  </w:r>
                  <w:r>
                    <w:rPr>
                      <w:rFonts w:ascii="Times New Roman"/>
                      <w:b/>
                      <w:bCs/>
                      <w:color w:val="auto"/>
                      <w:szCs w:val="21"/>
                      <w:vertAlign w:val="superscript"/>
                    </w:rPr>
                    <w:t>3</w:t>
                  </w:r>
                  <w:r>
                    <w:rPr>
                      <w:rFonts w:ascii="Times New Roman"/>
                      <w:b/>
                      <w:bCs/>
                      <w:color w:val="auto"/>
                      <w:szCs w:val="21"/>
                    </w:rPr>
                    <w:t>/</w:t>
                  </w:r>
                  <w:r>
                    <w:rPr>
                      <w:rFonts w:hint="eastAsia" w:ascii="Times New Roman"/>
                      <w:b/>
                      <w:bCs/>
                      <w:color w:val="auto"/>
                      <w:szCs w:val="21"/>
                    </w:rPr>
                    <w:t>d）</w:t>
                  </w:r>
                </w:p>
              </w:tc>
              <w:tc>
                <w:tcPr>
                  <w:tcW w:w="877" w:type="pct"/>
                  <w:vAlign w:val="center"/>
                </w:tcPr>
                <w:p w14:paraId="6A2A9C3D">
                  <w:pPr>
                    <w:pStyle w:val="28"/>
                    <w:spacing w:before="24" w:after="24" w:line="240" w:lineRule="auto"/>
                    <w:rPr>
                      <w:rFonts w:ascii="Times New Roman"/>
                      <w:b/>
                      <w:bCs/>
                      <w:color w:val="auto"/>
                      <w:szCs w:val="21"/>
                    </w:rPr>
                  </w:pPr>
                  <w:r>
                    <w:rPr>
                      <w:rFonts w:hint="eastAsia" w:ascii="Times New Roman"/>
                      <w:b/>
                      <w:bCs/>
                      <w:color w:val="auto"/>
                      <w:szCs w:val="21"/>
                    </w:rPr>
                    <w:t>用水量（m</w:t>
                  </w:r>
                  <w:r>
                    <w:rPr>
                      <w:rFonts w:ascii="Times New Roman"/>
                      <w:b/>
                      <w:bCs/>
                      <w:color w:val="auto"/>
                      <w:szCs w:val="21"/>
                      <w:vertAlign w:val="superscript"/>
                    </w:rPr>
                    <w:t>3</w:t>
                  </w:r>
                  <w:r>
                    <w:rPr>
                      <w:rFonts w:ascii="Times New Roman"/>
                      <w:b/>
                      <w:bCs/>
                      <w:color w:val="auto"/>
                      <w:szCs w:val="21"/>
                    </w:rPr>
                    <w:t>/</w:t>
                  </w:r>
                  <w:r>
                    <w:rPr>
                      <w:rFonts w:hint="eastAsia" w:ascii="Times New Roman"/>
                      <w:b/>
                      <w:bCs/>
                      <w:color w:val="auto"/>
                      <w:szCs w:val="21"/>
                    </w:rPr>
                    <w:t>a）</w:t>
                  </w:r>
                </w:p>
              </w:tc>
            </w:tr>
            <w:tr w14:paraId="32CA15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14" w:type="pct"/>
                  <w:vMerge w:val="restart"/>
                  <w:vAlign w:val="center"/>
                </w:tcPr>
                <w:p w14:paraId="07D72D8B">
                  <w:pPr>
                    <w:pStyle w:val="28"/>
                    <w:spacing w:before="24" w:after="24" w:line="240" w:lineRule="auto"/>
                    <w:rPr>
                      <w:rFonts w:hint="default" w:ascii="Times New Roman" w:eastAsia="宋体"/>
                      <w:color w:val="auto"/>
                      <w:szCs w:val="21"/>
                      <w:lang w:val="en-US" w:eastAsia="zh-CN"/>
                    </w:rPr>
                  </w:pPr>
                  <w:r>
                    <w:rPr>
                      <w:rFonts w:hint="eastAsia" w:ascii="Times New Roman"/>
                      <w:color w:val="auto"/>
                      <w:szCs w:val="21"/>
                      <w:lang w:val="en-US" w:eastAsia="zh-CN"/>
                    </w:rPr>
                    <w:t>病区用水</w:t>
                  </w:r>
                </w:p>
              </w:tc>
              <w:tc>
                <w:tcPr>
                  <w:tcW w:w="863" w:type="pct"/>
                  <w:vAlign w:val="center"/>
                </w:tcPr>
                <w:p w14:paraId="376D78E0">
                  <w:pPr>
                    <w:pStyle w:val="28"/>
                    <w:spacing w:before="24" w:after="24" w:line="240" w:lineRule="auto"/>
                    <w:rPr>
                      <w:rFonts w:hint="eastAsia" w:ascii="Times New Roman" w:eastAsia="宋体"/>
                      <w:b w:val="0"/>
                      <w:bCs w:val="0"/>
                      <w:color w:val="auto"/>
                      <w:szCs w:val="21"/>
                      <w:lang w:val="en-US" w:eastAsia="zh-CN"/>
                    </w:rPr>
                  </w:pPr>
                  <w:r>
                    <w:rPr>
                      <w:rFonts w:hint="eastAsia" w:ascii="Times New Roman"/>
                      <w:b w:val="0"/>
                      <w:bCs w:val="0"/>
                      <w:color w:val="auto"/>
                      <w:szCs w:val="21"/>
                    </w:rPr>
                    <w:t>门诊</w:t>
                  </w:r>
                  <w:r>
                    <w:rPr>
                      <w:rFonts w:hint="eastAsia" w:ascii="Times New Roman"/>
                      <w:b w:val="0"/>
                      <w:bCs w:val="0"/>
                      <w:color w:val="auto"/>
                      <w:szCs w:val="21"/>
                      <w:lang w:val="en-US" w:eastAsia="zh-CN"/>
                    </w:rPr>
                    <w:t>检验</w:t>
                  </w:r>
                </w:p>
              </w:tc>
              <w:tc>
                <w:tcPr>
                  <w:tcW w:w="947" w:type="pct"/>
                  <w:vAlign w:val="center"/>
                </w:tcPr>
                <w:p w14:paraId="5C19A9CA">
                  <w:pPr>
                    <w:pStyle w:val="28"/>
                    <w:spacing w:before="24" w:after="24" w:line="240" w:lineRule="auto"/>
                    <w:rPr>
                      <w:rFonts w:ascii="Times New Roman"/>
                      <w:color w:val="auto"/>
                      <w:szCs w:val="21"/>
                    </w:rPr>
                  </w:pPr>
                  <w:r>
                    <w:rPr>
                      <w:rFonts w:hint="eastAsia" w:ascii="Times New Roman"/>
                      <w:color w:val="auto"/>
                      <w:szCs w:val="21"/>
                    </w:rPr>
                    <w:t>2</w:t>
                  </w:r>
                  <w:r>
                    <w:rPr>
                      <w:rFonts w:ascii="Times New Roman"/>
                      <w:color w:val="auto"/>
                      <w:szCs w:val="21"/>
                    </w:rPr>
                    <w:t>5</w:t>
                  </w:r>
                  <w:r>
                    <w:rPr>
                      <w:rFonts w:hint="eastAsia" w:ascii="Times New Roman"/>
                      <w:color w:val="auto"/>
                      <w:szCs w:val="21"/>
                    </w:rPr>
                    <w:t>人次/d</w:t>
                  </w:r>
                </w:p>
              </w:tc>
              <w:tc>
                <w:tcPr>
                  <w:tcW w:w="1123" w:type="pct"/>
                  <w:vAlign w:val="center"/>
                </w:tcPr>
                <w:p w14:paraId="54980CF4">
                  <w:pPr>
                    <w:pStyle w:val="28"/>
                    <w:spacing w:before="24" w:after="24" w:line="240" w:lineRule="auto"/>
                    <w:rPr>
                      <w:rFonts w:hint="eastAsia" w:ascii="Times New Roman" w:eastAsia="宋体"/>
                      <w:color w:val="auto"/>
                      <w:szCs w:val="21"/>
                      <w:lang w:val="en-US" w:eastAsia="zh-CN"/>
                    </w:rPr>
                  </w:pPr>
                  <w:r>
                    <w:rPr>
                      <w:rFonts w:hint="eastAsia" w:ascii="Times New Roman"/>
                      <w:color w:val="auto"/>
                      <w:szCs w:val="21"/>
                    </w:rPr>
                    <w:t>10</w:t>
                  </w:r>
                  <w:r>
                    <w:rPr>
                      <w:rFonts w:ascii="Times New Roman"/>
                      <w:color w:val="auto"/>
                      <w:szCs w:val="21"/>
                    </w:rPr>
                    <w:t>L/</w:t>
                  </w:r>
                  <w:r>
                    <w:rPr>
                      <w:rFonts w:hint="eastAsia" w:ascii="Times New Roman"/>
                      <w:color w:val="auto"/>
                      <w:szCs w:val="21"/>
                    </w:rPr>
                    <w:t>人·</w:t>
                  </w:r>
                  <w:r>
                    <w:rPr>
                      <w:rFonts w:hint="eastAsia" w:ascii="Times New Roman"/>
                      <w:color w:val="auto"/>
                      <w:szCs w:val="21"/>
                      <w:lang w:val="en-US" w:eastAsia="zh-CN"/>
                    </w:rPr>
                    <w:t>次</w:t>
                  </w:r>
                </w:p>
              </w:tc>
              <w:tc>
                <w:tcPr>
                  <w:tcW w:w="874" w:type="pct"/>
                  <w:vAlign w:val="center"/>
                </w:tcPr>
                <w:p w14:paraId="15E3AE3B">
                  <w:pPr>
                    <w:pStyle w:val="28"/>
                    <w:spacing w:before="24" w:after="24" w:line="240" w:lineRule="auto"/>
                    <w:rPr>
                      <w:rFonts w:ascii="Times New Roman"/>
                      <w:color w:val="auto"/>
                      <w:szCs w:val="21"/>
                    </w:rPr>
                  </w:pPr>
                  <w:r>
                    <w:rPr>
                      <w:rFonts w:hint="eastAsia" w:ascii="Times New Roman"/>
                      <w:color w:val="auto"/>
                      <w:szCs w:val="21"/>
                    </w:rPr>
                    <w:t>0.25</w:t>
                  </w:r>
                </w:p>
              </w:tc>
              <w:tc>
                <w:tcPr>
                  <w:tcW w:w="877" w:type="pct"/>
                  <w:vAlign w:val="center"/>
                </w:tcPr>
                <w:p w14:paraId="63C0325B">
                  <w:pPr>
                    <w:pStyle w:val="28"/>
                    <w:spacing w:before="24" w:after="24" w:line="240" w:lineRule="auto"/>
                    <w:rPr>
                      <w:rFonts w:ascii="Times New Roman"/>
                      <w:color w:val="auto"/>
                      <w:szCs w:val="21"/>
                    </w:rPr>
                  </w:pPr>
                  <w:r>
                    <w:rPr>
                      <w:rFonts w:hint="eastAsia" w:ascii="Times New Roman"/>
                      <w:color w:val="auto"/>
                      <w:szCs w:val="21"/>
                    </w:rPr>
                    <w:t>91.25</w:t>
                  </w:r>
                </w:p>
              </w:tc>
            </w:tr>
            <w:tr w14:paraId="419911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314" w:type="pct"/>
                  <w:vMerge w:val="continue"/>
                  <w:vAlign w:val="center"/>
                </w:tcPr>
                <w:p w14:paraId="74AE0FB4">
                  <w:pPr>
                    <w:pStyle w:val="28"/>
                    <w:spacing w:before="24" w:after="24" w:line="240" w:lineRule="auto"/>
                    <w:rPr>
                      <w:rFonts w:ascii="Times New Roman"/>
                      <w:color w:val="auto"/>
                      <w:szCs w:val="21"/>
                    </w:rPr>
                  </w:pPr>
                </w:p>
              </w:tc>
              <w:tc>
                <w:tcPr>
                  <w:tcW w:w="863" w:type="pct"/>
                  <w:vAlign w:val="center"/>
                </w:tcPr>
                <w:p w14:paraId="04A7C65C">
                  <w:pPr>
                    <w:pStyle w:val="28"/>
                    <w:spacing w:before="24" w:after="24" w:line="240" w:lineRule="auto"/>
                    <w:rPr>
                      <w:rFonts w:ascii="Times New Roman"/>
                      <w:b w:val="0"/>
                      <w:bCs w:val="0"/>
                      <w:color w:val="auto"/>
                      <w:szCs w:val="21"/>
                    </w:rPr>
                  </w:pPr>
                  <w:r>
                    <w:rPr>
                      <w:rFonts w:hint="eastAsia" w:ascii="Times New Roman"/>
                      <w:b w:val="0"/>
                      <w:bCs w:val="0"/>
                      <w:color w:val="auto"/>
                      <w:szCs w:val="21"/>
                    </w:rPr>
                    <w:t>住院病床</w:t>
                  </w:r>
                </w:p>
              </w:tc>
              <w:tc>
                <w:tcPr>
                  <w:tcW w:w="947" w:type="pct"/>
                  <w:vAlign w:val="center"/>
                </w:tcPr>
                <w:p w14:paraId="2B99CAB8">
                  <w:pPr>
                    <w:pStyle w:val="28"/>
                    <w:spacing w:before="24" w:after="24" w:line="240" w:lineRule="auto"/>
                    <w:rPr>
                      <w:rFonts w:ascii="Times New Roman"/>
                      <w:color w:val="auto"/>
                      <w:szCs w:val="21"/>
                    </w:rPr>
                  </w:pPr>
                  <w:r>
                    <w:rPr>
                      <w:rFonts w:hint="eastAsia" w:ascii="Times New Roman"/>
                      <w:color w:val="auto"/>
                      <w:szCs w:val="21"/>
                    </w:rPr>
                    <w:t>20人</w:t>
                  </w:r>
                </w:p>
              </w:tc>
              <w:tc>
                <w:tcPr>
                  <w:tcW w:w="1123" w:type="pct"/>
                  <w:vAlign w:val="center"/>
                </w:tcPr>
                <w:p w14:paraId="01397597">
                  <w:pPr>
                    <w:pStyle w:val="28"/>
                    <w:spacing w:before="24" w:after="24" w:line="240" w:lineRule="auto"/>
                    <w:rPr>
                      <w:rFonts w:ascii="Times New Roman"/>
                      <w:color w:val="auto"/>
                      <w:szCs w:val="21"/>
                    </w:rPr>
                  </w:pPr>
                  <w:r>
                    <w:rPr>
                      <w:rFonts w:hint="eastAsia" w:ascii="Times New Roman"/>
                      <w:color w:val="auto"/>
                      <w:szCs w:val="21"/>
                      <w:lang w:val="en-US" w:eastAsia="zh-CN"/>
                    </w:rPr>
                    <w:t>200</w:t>
                  </w:r>
                  <w:r>
                    <w:rPr>
                      <w:rFonts w:ascii="Times New Roman"/>
                      <w:color w:val="auto"/>
                      <w:szCs w:val="21"/>
                    </w:rPr>
                    <w:t>L/</w:t>
                  </w:r>
                  <w:r>
                    <w:rPr>
                      <w:rFonts w:hint="eastAsia" w:ascii="Times New Roman"/>
                      <w:color w:val="auto"/>
                      <w:szCs w:val="21"/>
                    </w:rPr>
                    <w:t>人·d</w:t>
                  </w:r>
                </w:p>
              </w:tc>
              <w:tc>
                <w:tcPr>
                  <w:tcW w:w="874" w:type="pct"/>
                  <w:vAlign w:val="center"/>
                </w:tcPr>
                <w:p w14:paraId="7077EB82">
                  <w:pPr>
                    <w:pStyle w:val="28"/>
                    <w:spacing w:before="24" w:after="24" w:line="240" w:lineRule="auto"/>
                    <w:rPr>
                      <w:rFonts w:hint="eastAsia" w:ascii="Times New Roman" w:eastAsia="宋体"/>
                      <w:color w:val="auto"/>
                      <w:szCs w:val="21"/>
                      <w:lang w:eastAsia="zh-CN"/>
                    </w:rPr>
                  </w:pPr>
                  <w:r>
                    <w:rPr>
                      <w:rFonts w:hint="eastAsia" w:ascii="Times New Roman"/>
                      <w:color w:val="auto"/>
                      <w:szCs w:val="21"/>
                      <w:lang w:val="en-US" w:eastAsia="zh-CN"/>
                    </w:rPr>
                    <w:t>4</w:t>
                  </w:r>
                </w:p>
              </w:tc>
              <w:tc>
                <w:tcPr>
                  <w:tcW w:w="877" w:type="pct"/>
                  <w:vAlign w:val="center"/>
                </w:tcPr>
                <w:p w14:paraId="6968D992">
                  <w:pPr>
                    <w:pStyle w:val="28"/>
                    <w:spacing w:before="24" w:after="24" w:line="240" w:lineRule="auto"/>
                    <w:rPr>
                      <w:rFonts w:hint="default" w:ascii="Times New Roman" w:eastAsia="宋体"/>
                      <w:color w:val="auto"/>
                      <w:szCs w:val="21"/>
                      <w:lang w:val="en-US" w:eastAsia="zh-CN"/>
                    </w:rPr>
                  </w:pPr>
                  <w:r>
                    <w:rPr>
                      <w:rFonts w:hint="eastAsia" w:ascii="Times New Roman"/>
                      <w:color w:val="auto"/>
                      <w:szCs w:val="21"/>
                      <w:lang w:val="en-US" w:eastAsia="zh-CN"/>
                    </w:rPr>
                    <w:t>1460</w:t>
                  </w:r>
                </w:p>
              </w:tc>
            </w:tr>
            <w:tr w14:paraId="3B5D1A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314" w:type="pct"/>
                  <w:vMerge w:val="continue"/>
                  <w:vAlign w:val="center"/>
                </w:tcPr>
                <w:p w14:paraId="4B90F872">
                  <w:pPr>
                    <w:pStyle w:val="28"/>
                    <w:spacing w:before="24" w:after="24" w:line="240" w:lineRule="auto"/>
                    <w:rPr>
                      <w:rFonts w:ascii="Times New Roman"/>
                      <w:color w:val="auto"/>
                      <w:szCs w:val="21"/>
                    </w:rPr>
                  </w:pPr>
                </w:p>
              </w:tc>
              <w:tc>
                <w:tcPr>
                  <w:tcW w:w="863" w:type="pct"/>
                  <w:vAlign w:val="center"/>
                </w:tcPr>
                <w:p w14:paraId="5B21678D">
                  <w:pPr>
                    <w:pStyle w:val="28"/>
                    <w:spacing w:before="24" w:after="24" w:line="240" w:lineRule="auto"/>
                    <w:rPr>
                      <w:rFonts w:ascii="Times New Roman"/>
                      <w:b w:val="0"/>
                      <w:bCs w:val="0"/>
                      <w:color w:val="auto"/>
                      <w:szCs w:val="21"/>
                    </w:rPr>
                  </w:pPr>
                  <w:r>
                    <w:rPr>
                      <w:rFonts w:hint="eastAsia" w:ascii="Times New Roman"/>
                      <w:b w:val="0"/>
                      <w:bCs w:val="0"/>
                      <w:color w:val="auto"/>
                      <w:szCs w:val="21"/>
                    </w:rPr>
                    <w:t>病床床品洗涤</w:t>
                  </w:r>
                </w:p>
              </w:tc>
              <w:tc>
                <w:tcPr>
                  <w:tcW w:w="947" w:type="pct"/>
                  <w:vAlign w:val="center"/>
                </w:tcPr>
                <w:p w14:paraId="64E3C6B2">
                  <w:pPr>
                    <w:pStyle w:val="28"/>
                    <w:spacing w:before="24" w:after="24" w:line="240" w:lineRule="auto"/>
                    <w:rPr>
                      <w:rFonts w:hint="default" w:ascii="Times New Roman" w:eastAsia="宋体"/>
                      <w:color w:val="auto"/>
                      <w:szCs w:val="21"/>
                      <w:lang w:val="en-US" w:eastAsia="zh-CN"/>
                    </w:rPr>
                  </w:pPr>
                  <w:r>
                    <w:rPr>
                      <w:rFonts w:hint="eastAsia" w:ascii="Times New Roman"/>
                      <w:color w:val="auto"/>
                      <w:szCs w:val="21"/>
                      <w:lang w:val="en-US" w:eastAsia="zh-CN"/>
                    </w:rPr>
                    <w:t>20套</w:t>
                  </w:r>
                </w:p>
              </w:tc>
              <w:tc>
                <w:tcPr>
                  <w:tcW w:w="1123" w:type="pct"/>
                  <w:vAlign w:val="center"/>
                </w:tcPr>
                <w:p w14:paraId="6698D6FD">
                  <w:pPr>
                    <w:pStyle w:val="28"/>
                    <w:spacing w:before="24" w:after="24" w:line="240" w:lineRule="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60L/kg</w:t>
                  </w:r>
                </w:p>
                <w:p w14:paraId="6F2BFF17">
                  <w:pPr>
                    <w:pStyle w:val="28"/>
                    <w:spacing w:before="24" w:after="24" w:line="240" w:lineRule="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单套床品约2kg，年清洗52次，</w:t>
                  </w:r>
                </w:p>
              </w:tc>
              <w:tc>
                <w:tcPr>
                  <w:tcW w:w="874" w:type="pct"/>
                  <w:vAlign w:val="center"/>
                </w:tcPr>
                <w:p w14:paraId="27ECA7B5">
                  <w:pPr>
                    <w:pStyle w:val="28"/>
                    <w:spacing w:before="24" w:after="24" w:line="240" w:lineRule="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0.35</w:t>
                  </w:r>
                </w:p>
              </w:tc>
              <w:tc>
                <w:tcPr>
                  <w:tcW w:w="877" w:type="pct"/>
                  <w:vAlign w:val="center"/>
                </w:tcPr>
                <w:p w14:paraId="26D13BDD">
                  <w:pPr>
                    <w:pStyle w:val="28"/>
                    <w:spacing w:before="24" w:after="24" w:line="240" w:lineRule="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124.8</w:t>
                  </w:r>
                </w:p>
              </w:tc>
            </w:tr>
            <w:tr w14:paraId="273A8E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14" w:type="pct"/>
                  <w:vMerge w:val="restart"/>
                  <w:vAlign w:val="center"/>
                </w:tcPr>
                <w:p w14:paraId="68D6D3F4">
                  <w:pPr>
                    <w:pStyle w:val="28"/>
                    <w:spacing w:before="24" w:after="24" w:line="240" w:lineRule="auto"/>
                    <w:rPr>
                      <w:rFonts w:ascii="Times New Roman"/>
                      <w:color w:val="auto"/>
                      <w:szCs w:val="21"/>
                    </w:rPr>
                  </w:pPr>
                  <w:r>
                    <w:rPr>
                      <w:rFonts w:hint="eastAsia" w:ascii="Times New Roman"/>
                      <w:color w:val="auto"/>
                      <w:szCs w:val="21"/>
                      <w:lang w:val="en-US" w:eastAsia="zh-CN"/>
                    </w:rPr>
                    <w:t>非病区用水</w:t>
                  </w:r>
                </w:p>
              </w:tc>
              <w:tc>
                <w:tcPr>
                  <w:tcW w:w="863" w:type="pct"/>
                  <w:vAlign w:val="center"/>
                </w:tcPr>
                <w:p w14:paraId="4C5DB825">
                  <w:pPr>
                    <w:pStyle w:val="28"/>
                    <w:spacing w:before="24" w:after="24" w:line="240" w:lineRule="auto"/>
                    <w:rPr>
                      <w:rFonts w:hint="eastAsia" w:ascii="Times New Roman" w:eastAsia="宋体"/>
                      <w:b w:val="0"/>
                      <w:bCs w:val="0"/>
                      <w:color w:val="auto"/>
                      <w:szCs w:val="21"/>
                      <w:lang w:eastAsia="zh-CN"/>
                    </w:rPr>
                  </w:pPr>
                  <w:r>
                    <w:rPr>
                      <w:rFonts w:hint="eastAsia" w:ascii="Times New Roman"/>
                      <w:b w:val="0"/>
                      <w:bCs w:val="0"/>
                      <w:color w:val="auto"/>
                      <w:szCs w:val="21"/>
                      <w:lang w:val="en-US" w:eastAsia="zh-CN"/>
                    </w:rPr>
                    <w:t>医务人员</w:t>
                  </w:r>
                </w:p>
              </w:tc>
              <w:tc>
                <w:tcPr>
                  <w:tcW w:w="947" w:type="pct"/>
                  <w:vAlign w:val="center"/>
                </w:tcPr>
                <w:p w14:paraId="4A8315B1">
                  <w:pPr>
                    <w:pStyle w:val="28"/>
                    <w:spacing w:before="24" w:after="24" w:line="240" w:lineRule="auto"/>
                    <w:rPr>
                      <w:rFonts w:hint="default" w:ascii="Times New Roman" w:eastAsia="宋体"/>
                      <w:color w:val="auto"/>
                      <w:szCs w:val="21"/>
                      <w:lang w:val="en-US" w:eastAsia="zh-CN"/>
                    </w:rPr>
                  </w:pPr>
                  <w:r>
                    <w:rPr>
                      <w:rFonts w:hint="eastAsia" w:ascii="Times New Roman"/>
                      <w:color w:val="auto"/>
                      <w:szCs w:val="21"/>
                      <w:lang w:val="en-US" w:eastAsia="zh-CN"/>
                    </w:rPr>
                    <w:t>20人</w:t>
                  </w:r>
                </w:p>
              </w:tc>
              <w:tc>
                <w:tcPr>
                  <w:tcW w:w="1123" w:type="pct"/>
                  <w:vAlign w:val="center"/>
                </w:tcPr>
                <w:p w14:paraId="198594A5">
                  <w:pPr>
                    <w:pStyle w:val="28"/>
                    <w:spacing w:before="24" w:after="24" w:line="240" w:lineRule="auto"/>
                    <w:rPr>
                      <w:rFonts w:hint="eastAsia" w:ascii="Times New Roman"/>
                      <w:color w:val="auto"/>
                      <w:szCs w:val="21"/>
                    </w:rPr>
                  </w:pPr>
                  <w:r>
                    <w:rPr>
                      <w:rFonts w:hint="eastAsia" w:ascii="Times New Roman"/>
                      <w:color w:val="auto"/>
                      <w:szCs w:val="21"/>
                      <w:lang w:val="en-US" w:eastAsia="zh-CN"/>
                    </w:rPr>
                    <w:t>150</w:t>
                  </w:r>
                  <w:r>
                    <w:rPr>
                      <w:rFonts w:ascii="Times New Roman"/>
                      <w:color w:val="auto"/>
                      <w:szCs w:val="21"/>
                    </w:rPr>
                    <w:t>L/</w:t>
                  </w:r>
                  <w:r>
                    <w:rPr>
                      <w:rFonts w:hint="eastAsia" w:ascii="Times New Roman"/>
                      <w:color w:val="auto"/>
                      <w:szCs w:val="21"/>
                    </w:rPr>
                    <w:t>人·d</w:t>
                  </w:r>
                </w:p>
              </w:tc>
              <w:tc>
                <w:tcPr>
                  <w:tcW w:w="874" w:type="pct"/>
                  <w:vAlign w:val="center"/>
                </w:tcPr>
                <w:p w14:paraId="4C8290E4">
                  <w:pPr>
                    <w:pStyle w:val="28"/>
                    <w:spacing w:before="24" w:after="24" w:line="240" w:lineRule="auto"/>
                    <w:rPr>
                      <w:rFonts w:hint="eastAsia" w:ascii="Times New Roman" w:eastAsia="宋体"/>
                      <w:color w:val="auto"/>
                      <w:szCs w:val="21"/>
                      <w:lang w:val="en-US" w:eastAsia="zh-CN"/>
                    </w:rPr>
                  </w:pPr>
                  <w:r>
                    <w:rPr>
                      <w:rFonts w:hint="eastAsia" w:ascii="Times New Roman"/>
                      <w:color w:val="auto"/>
                      <w:szCs w:val="21"/>
                      <w:lang w:val="en-US" w:eastAsia="zh-CN"/>
                    </w:rPr>
                    <w:t>3</w:t>
                  </w:r>
                </w:p>
              </w:tc>
              <w:tc>
                <w:tcPr>
                  <w:tcW w:w="877" w:type="pct"/>
                  <w:vAlign w:val="center"/>
                </w:tcPr>
                <w:p w14:paraId="2D6EBE9F">
                  <w:pPr>
                    <w:pStyle w:val="28"/>
                    <w:spacing w:before="24" w:after="24" w:line="240" w:lineRule="auto"/>
                    <w:rPr>
                      <w:rFonts w:hint="default" w:ascii="Times New Roman" w:eastAsia="宋体"/>
                      <w:color w:val="auto"/>
                      <w:szCs w:val="21"/>
                      <w:lang w:val="en-US" w:eastAsia="zh-CN"/>
                    </w:rPr>
                  </w:pPr>
                  <w:r>
                    <w:rPr>
                      <w:rFonts w:hint="eastAsia" w:ascii="Times New Roman"/>
                      <w:color w:val="auto"/>
                      <w:szCs w:val="21"/>
                      <w:lang w:val="en-US" w:eastAsia="zh-CN"/>
                    </w:rPr>
                    <w:t>1095</w:t>
                  </w:r>
                </w:p>
              </w:tc>
            </w:tr>
            <w:tr w14:paraId="529BDA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314" w:type="pct"/>
                  <w:vMerge w:val="continue"/>
                  <w:vAlign w:val="center"/>
                </w:tcPr>
                <w:p w14:paraId="4DD3BCF1">
                  <w:pPr>
                    <w:pStyle w:val="28"/>
                    <w:spacing w:before="24" w:after="24" w:line="240" w:lineRule="auto"/>
                    <w:rPr>
                      <w:rFonts w:hint="eastAsia" w:ascii="Times New Roman"/>
                      <w:color w:val="auto"/>
                      <w:szCs w:val="21"/>
                      <w:lang w:val="en-US" w:eastAsia="zh-CN"/>
                    </w:rPr>
                  </w:pPr>
                </w:p>
              </w:tc>
              <w:tc>
                <w:tcPr>
                  <w:tcW w:w="863" w:type="pct"/>
                  <w:vAlign w:val="center"/>
                </w:tcPr>
                <w:p w14:paraId="63AEC36A">
                  <w:pPr>
                    <w:pStyle w:val="28"/>
                    <w:spacing w:before="24" w:after="24" w:line="240" w:lineRule="auto"/>
                    <w:rPr>
                      <w:rFonts w:hint="default" w:ascii="Times New Roman"/>
                      <w:b w:val="0"/>
                      <w:bCs w:val="0"/>
                      <w:color w:val="auto"/>
                      <w:szCs w:val="21"/>
                      <w:lang w:val="en-US" w:eastAsia="zh-CN"/>
                    </w:rPr>
                  </w:pPr>
                  <w:r>
                    <w:rPr>
                      <w:rFonts w:hint="eastAsia" w:ascii="Times New Roman"/>
                      <w:b w:val="0"/>
                      <w:bCs w:val="0"/>
                      <w:color w:val="auto"/>
                      <w:szCs w:val="21"/>
                      <w:lang w:val="en-US" w:eastAsia="zh-CN"/>
                    </w:rPr>
                    <w:t>行政人员</w:t>
                  </w:r>
                </w:p>
              </w:tc>
              <w:tc>
                <w:tcPr>
                  <w:tcW w:w="947" w:type="pct"/>
                  <w:vAlign w:val="center"/>
                </w:tcPr>
                <w:p w14:paraId="331AA5C7">
                  <w:pPr>
                    <w:pStyle w:val="28"/>
                    <w:spacing w:before="24" w:after="24" w:line="240" w:lineRule="auto"/>
                    <w:rPr>
                      <w:rFonts w:hint="default" w:ascii="Times New Roman"/>
                      <w:color w:val="auto"/>
                      <w:szCs w:val="21"/>
                      <w:lang w:val="en-US" w:eastAsia="zh-CN"/>
                    </w:rPr>
                  </w:pPr>
                  <w:r>
                    <w:rPr>
                      <w:rFonts w:hint="eastAsia" w:ascii="Times New Roman"/>
                      <w:color w:val="auto"/>
                      <w:szCs w:val="21"/>
                      <w:lang w:val="en-US" w:eastAsia="zh-CN"/>
                    </w:rPr>
                    <w:t>4人</w:t>
                  </w:r>
                </w:p>
              </w:tc>
              <w:tc>
                <w:tcPr>
                  <w:tcW w:w="1123" w:type="pct"/>
                  <w:vAlign w:val="center"/>
                </w:tcPr>
                <w:p w14:paraId="0F6A42BA">
                  <w:pPr>
                    <w:pStyle w:val="28"/>
                    <w:spacing w:before="24" w:after="24" w:line="240" w:lineRule="auto"/>
                    <w:rPr>
                      <w:rFonts w:hint="eastAsia" w:ascii="Times New Roman"/>
                      <w:color w:val="auto"/>
                      <w:szCs w:val="21"/>
                      <w:lang w:val="en-US" w:eastAsia="zh-CN"/>
                    </w:rPr>
                  </w:pPr>
                  <w:r>
                    <w:rPr>
                      <w:rFonts w:hint="eastAsia" w:ascii="Times New Roman"/>
                      <w:color w:val="auto"/>
                      <w:szCs w:val="21"/>
                      <w:lang w:val="en-US" w:eastAsia="zh-CN"/>
                    </w:rPr>
                    <w:t>50</w:t>
                  </w:r>
                  <w:r>
                    <w:rPr>
                      <w:rFonts w:ascii="Times New Roman"/>
                      <w:color w:val="auto"/>
                      <w:szCs w:val="21"/>
                    </w:rPr>
                    <w:t>L/</w:t>
                  </w:r>
                  <w:r>
                    <w:rPr>
                      <w:rFonts w:hint="eastAsia" w:ascii="Times New Roman"/>
                      <w:color w:val="auto"/>
                      <w:szCs w:val="21"/>
                    </w:rPr>
                    <w:t>人·d</w:t>
                  </w:r>
                </w:p>
              </w:tc>
              <w:tc>
                <w:tcPr>
                  <w:tcW w:w="874" w:type="pct"/>
                  <w:vAlign w:val="center"/>
                </w:tcPr>
                <w:p w14:paraId="1323C11D">
                  <w:pPr>
                    <w:pStyle w:val="28"/>
                    <w:spacing w:before="24" w:after="24" w:line="240" w:lineRule="auto"/>
                    <w:rPr>
                      <w:rFonts w:hint="default" w:ascii="Times New Roman"/>
                      <w:color w:val="auto"/>
                      <w:szCs w:val="21"/>
                      <w:lang w:val="en-US" w:eastAsia="zh-CN"/>
                    </w:rPr>
                  </w:pPr>
                  <w:r>
                    <w:rPr>
                      <w:rFonts w:hint="eastAsia" w:ascii="Times New Roman"/>
                      <w:color w:val="auto"/>
                      <w:szCs w:val="21"/>
                      <w:lang w:val="en-US" w:eastAsia="zh-CN"/>
                    </w:rPr>
                    <w:t>0.2</w:t>
                  </w:r>
                </w:p>
              </w:tc>
              <w:tc>
                <w:tcPr>
                  <w:tcW w:w="877" w:type="pct"/>
                  <w:vAlign w:val="center"/>
                </w:tcPr>
                <w:p w14:paraId="4DCCD6A6">
                  <w:pPr>
                    <w:pStyle w:val="28"/>
                    <w:spacing w:before="24" w:after="24" w:line="240" w:lineRule="auto"/>
                    <w:rPr>
                      <w:rFonts w:hint="default" w:ascii="Times New Roman"/>
                      <w:color w:val="auto"/>
                      <w:szCs w:val="21"/>
                      <w:lang w:val="en-US" w:eastAsia="zh-CN"/>
                    </w:rPr>
                  </w:pPr>
                  <w:r>
                    <w:rPr>
                      <w:rFonts w:hint="eastAsia" w:ascii="Times New Roman"/>
                      <w:color w:val="auto"/>
                      <w:szCs w:val="21"/>
                      <w:lang w:val="en-US" w:eastAsia="zh-CN"/>
                    </w:rPr>
                    <w:t>73</w:t>
                  </w:r>
                </w:p>
              </w:tc>
            </w:tr>
            <w:tr w14:paraId="0F07C1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314" w:type="pct"/>
                  <w:vMerge w:val="continue"/>
                  <w:vAlign w:val="center"/>
                </w:tcPr>
                <w:p w14:paraId="42134D4A">
                  <w:pPr>
                    <w:pStyle w:val="28"/>
                    <w:spacing w:before="24" w:after="24" w:line="240" w:lineRule="auto"/>
                    <w:rPr>
                      <w:rFonts w:ascii="Times New Roman"/>
                      <w:color w:val="auto"/>
                      <w:szCs w:val="21"/>
                    </w:rPr>
                  </w:pPr>
                </w:p>
              </w:tc>
              <w:tc>
                <w:tcPr>
                  <w:tcW w:w="863" w:type="pct"/>
                  <w:vAlign w:val="center"/>
                </w:tcPr>
                <w:p w14:paraId="35D32372">
                  <w:pPr>
                    <w:pStyle w:val="28"/>
                    <w:spacing w:before="24" w:after="24" w:line="240" w:lineRule="auto"/>
                    <w:rPr>
                      <w:rFonts w:hint="default" w:ascii="Times New Roman" w:eastAsia="宋体"/>
                      <w:b w:val="0"/>
                      <w:bCs w:val="0"/>
                      <w:color w:val="auto"/>
                      <w:szCs w:val="21"/>
                      <w:lang w:val="en-US" w:eastAsia="zh-CN"/>
                    </w:rPr>
                  </w:pPr>
                  <w:r>
                    <w:rPr>
                      <w:rFonts w:hint="eastAsia" w:ascii="Times New Roman"/>
                      <w:b w:val="0"/>
                      <w:bCs w:val="0"/>
                      <w:color w:val="auto"/>
                      <w:szCs w:val="21"/>
                      <w:lang w:val="en-US" w:eastAsia="zh-CN"/>
                    </w:rPr>
                    <w:t>陪护人员</w:t>
                  </w:r>
                </w:p>
              </w:tc>
              <w:tc>
                <w:tcPr>
                  <w:tcW w:w="947" w:type="pct"/>
                  <w:vAlign w:val="center"/>
                </w:tcPr>
                <w:p w14:paraId="186A8D90">
                  <w:pPr>
                    <w:pStyle w:val="28"/>
                    <w:spacing w:before="24" w:after="24" w:line="240" w:lineRule="auto"/>
                    <w:rPr>
                      <w:rFonts w:hint="eastAsia" w:ascii="Times New Roman" w:eastAsia="宋体"/>
                      <w:color w:val="auto"/>
                      <w:szCs w:val="21"/>
                      <w:lang w:eastAsia="zh-CN"/>
                    </w:rPr>
                  </w:pPr>
                  <w:r>
                    <w:rPr>
                      <w:rFonts w:hint="eastAsia" w:ascii="Times New Roman"/>
                      <w:color w:val="auto"/>
                      <w:szCs w:val="21"/>
                    </w:rPr>
                    <w:t>20</w:t>
                  </w:r>
                  <w:r>
                    <w:rPr>
                      <w:rFonts w:hint="eastAsia" w:ascii="Times New Roman"/>
                      <w:color w:val="auto"/>
                      <w:szCs w:val="21"/>
                      <w:lang w:eastAsia="zh-CN"/>
                    </w:rPr>
                    <w:t>人</w:t>
                  </w:r>
                </w:p>
              </w:tc>
              <w:tc>
                <w:tcPr>
                  <w:tcW w:w="1123" w:type="pct"/>
                  <w:vAlign w:val="center"/>
                </w:tcPr>
                <w:p w14:paraId="66C44CC8">
                  <w:pPr>
                    <w:pStyle w:val="28"/>
                    <w:spacing w:before="24" w:after="24" w:line="240" w:lineRule="auto"/>
                    <w:rPr>
                      <w:rFonts w:ascii="Times New Roman"/>
                      <w:color w:val="auto"/>
                      <w:szCs w:val="21"/>
                    </w:rPr>
                  </w:pPr>
                  <w:r>
                    <w:rPr>
                      <w:rFonts w:hint="eastAsia" w:ascii="Times New Roman"/>
                      <w:color w:val="auto"/>
                      <w:szCs w:val="21"/>
                      <w:lang w:val="en-US" w:eastAsia="zh-CN"/>
                    </w:rPr>
                    <w:t>50</w:t>
                  </w:r>
                  <w:r>
                    <w:rPr>
                      <w:rFonts w:ascii="Times New Roman"/>
                      <w:color w:val="auto"/>
                      <w:szCs w:val="21"/>
                    </w:rPr>
                    <w:t>L/</w:t>
                  </w:r>
                  <w:r>
                    <w:rPr>
                      <w:rFonts w:hint="eastAsia" w:ascii="Times New Roman"/>
                      <w:color w:val="auto"/>
                      <w:szCs w:val="21"/>
                    </w:rPr>
                    <w:t>人·d</w:t>
                  </w:r>
                </w:p>
              </w:tc>
              <w:tc>
                <w:tcPr>
                  <w:tcW w:w="874" w:type="pct"/>
                  <w:vAlign w:val="center"/>
                </w:tcPr>
                <w:p w14:paraId="08FCE537">
                  <w:pPr>
                    <w:pStyle w:val="28"/>
                    <w:spacing w:before="24" w:after="24" w:line="240" w:lineRule="auto"/>
                    <w:rPr>
                      <w:rFonts w:hint="eastAsia" w:ascii="Times New Roman" w:eastAsia="宋体"/>
                      <w:color w:val="auto"/>
                      <w:szCs w:val="21"/>
                      <w:lang w:eastAsia="zh-CN"/>
                    </w:rPr>
                  </w:pPr>
                  <w:r>
                    <w:rPr>
                      <w:rFonts w:hint="eastAsia" w:ascii="Times New Roman"/>
                      <w:color w:val="auto"/>
                      <w:szCs w:val="21"/>
                      <w:lang w:val="en-US" w:eastAsia="zh-CN"/>
                    </w:rPr>
                    <w:t>1</w:t>
                  </w:r>
                </w:p>
              </w:tc>
              <w:tc>
                <w:tcPr>
                  <w:tcW w:w="877" w:type="pct"/>
                  <w:vAlign w:val="center"/>
                </w:tcPr>
                <w:p w14:paraId="470F8134">
                  <w:pPr>
                    <w:pStyle w:val="28"/>
                    <w:spacing w:before="24" w:after="24" w:line="240" w:lineRule="auto"/>
                    <w:rPr>
                      <w:rFonts w:hint="default" w:ascii="Times New Roman" w:eastAsia="宋体"/>
                      <w:color w:val="auto"/>
                      <w:szCs w:val="21"/>
                      <w:lang w:val="en-US" w:eastAsia="zh-CN"/>
                    </w:rPr>
                  </w:pPr>
                  <w:r>
                    <w:rPr>
                      <w:rFonts w:hint="eastAsia" w:ascii="Times New Roman"/>
                      <w:color w:val="auto"/>
                      <w:szCs w:val="21"/>
                      <w:lang w:val="en-US" w:eastAsia="zh-CN"/>
                    </w:rPr>
                    <w:t>365</w:t>
                  </w:r>
                </w:p>
              </w:tc>
            </w:tr>
            <w:tr w14:paraId="5DADC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314" w:type="pct"/>
                  <w:vMerge w:val="continue"/>
                  <w:vAlign w:val="center"/>
                </w:tcPr>
                <w:p w14:paraId="52E0B442">
                  <w:pPr>
                    <w:pStyle w:val="28"/>
                    <w:spacing w:before="24" w:after="24" w:line="240" w:lineRule="auto"/>
                    <w:rPr>
                      <w:rFonts w:ascii="Times New Roman"/>
                      <w:color w:val="auto"/>
                      <w:szCs w:val="21"/>
                    </w:rPr>
                  </w:pPr>
                </w:p>
              </w:tc>
              <w:tc>
                <w:tcPr>
                  <w:tcW w:w="863" w:type="pct"/>
                  <w:vAlign w:val="center"/>
                </w:tcPr>
                <w:p w14:paraId="7B3BEDB8">
                  <w:pPr>
                    <w:pStyle w:val="28"/>
                    <w:spacing w:before="24" w:after="24" w:line="240" w:lineRule="auto"/>
                    <w:rPr>
                      <w:rFonts w:ascii="Times New Roman"/>
                      <w:b w:val="0"/>
                      <w:bCs w:val="0"/>
                      <w:color w:val="auto"/>
                      <w:szCs w:val="21"/>
                    </w:rPr>
                  </w:pPr>
                  <w:r>
                    <w:rPr>
                      <w:rFonts w:hint="eastAsia" w:ascii="Times New Roman"/>
                      <w:b w:val="0"/>
                      <w:bCs w:val="0"/>
                      <w:color w:val="auto"/>
                      <w:szCs w:val="21"/>
                    </w:rPr>
                    <w:t>食堂</w:t>
                  </w:r>
                </w:p>
              </w:tc>
              <w:tc>
                <w:tcPr>
                  <w:tcW w:w="947" w:type="pct"/>
                  <w:vAlign w:val="center"/>
                </w:tcPr>
                <w:p w14:paraId="18A30D12">
                  <w:pPr>
                    <w:pStyle w:val="28"/>
                    <w:spacing w:before="24" w:after="24" w:line="240" w:lineRule="auto"/>
                    <w:rPr>
                      <w:rFonts w:hint="eastAsia" w:ascii="Times New Roman" w:eastAsia="宋体"/>
                      <w:color w:val="auto"/>
                      <w:szCs w:val="21"/>
                      <w:lang w:eastAsia="zh-CN"/>
                    </w:rPr>
                  </w:pPr>
                  <w:r>
                    <w:rPr>
                      <w:rFonts w:hint="eastAsia" w:ascii="Times New Roman"/>
                      <w:color w:val="auto"/>
                      <w:szCs w:val="21"/>
                    </w:rPr>
                    <w:t>24</w:t>
                  </w:r>
                  <w:r>
                    <w:rPr>
                      <w:rFonts w:hint="eastAsia" w:ascii="Times New Roman"/>
                      <w:color w:val="auto"/>
                      <w:szCs w:val="21"/>
                      <w:lang w:eastAsia="zh-CN"/>
                    </w:rPr>
                    <w:t>人</w:t>
                  </w:r>
                </w:p>
              </w:tc>
              <w:tc>
                <w:tcPr>
                  <w:tcW w:w="1123" w:type="pct"/>
                  <w:vAlign w:val="center"/>
                </w:tcPr>
                <w:p w14:paraId="1FCFBD87">
                  <w:pPr>
                    <w:pStyle w:val="28"/>
                    <w:spacing w:before="24" w:after="24" w:line="240" w:lineRule="auto"/>
                    <w:rPr>
                      <w:rFonts w:hint="default" w:ascii="Times New Roman" w:eastAsia="宋体"/>
                      <w:color w:val="auto"/>
                      <w:szCs w:val="21"/>
                      <w:lang w:val="en-US" w:eastAsia="zh-CN"/>
                    </w:rPr>
                  </w:pPr>
                  <w:r>
                    <w:rPr>
                      <w:rFonts w:hint="eastAsia" w:ascii="Times New Roman"/>
                      <w:color w:val="auto"/>
                      <w:szCs w:val="21"/>
                    </w:rPr>
                    <w:t>25L/人</w:t>
                  </w:r>
                  <w:r>
                    <w:rPr>
                      <w:rFonts w:hint="eastAsia" w:ascii="Times New Roman"/>
                      <w:color w:val="auto"/>
                      <w:szCs w:val="21"/>
                      <w:lang w:val="en-US" w:eastAsia="zh-CN"/>
                    </w:rPr>
                    <w:t>·次</w:t>
                  </w:r>
                </w:p>
              </w:tc>
              <w:tc>
                <w:tcPr>
                  <w:tcW w:w="874" w:type="pct"/>
                  <w:vAlign w:val="center"/>
                </w:tcPr>
                <w:p w14:paraId="1536E20A">
                  <w:pPr>
                    <w:pStyle w:val="28"/>
                    <w:spacing w:before="24" w:after="24" w:line="240" w:lineRule="auto"/>
                    <w:rPr>
                      <w:rFonts w:hint="default" w:ascii="Times New Roman" w:eastAsia="宋体"/>
                      <w:color w:val="auto"/>
                      <w:szCs w:val="21"/>
                      <w:lang w:val="en-US" w:eastAsia="zh-CN"/>
                    </w:rPr>
                  </w:pPr>
                  <w:r>
                    <w:rPr>
                      <w:rFonts w:hint="eastAsia" w:ascii="Times New Roman"/>
                      <w:color w:val="auto"/>
                      <w:szCs w:val="21"/>
                      <w:lang w:val="en-US" w:eastAsia="zh-CN"/>
                    </w:rPr>
                    <w:t>1.8</w:t>
                  </w:r>
                </w:p>
              </w:tc>
              <w:tc>
                <w:tcPr>
                  <w:tcW w:w="877" w:type="pct"/>
                  <w:vAlign w:val="center"/>
                </w:tcPr>
                <w:p w14:paraId="5BD97EF1">
                  <w:pPr>
                    <w:pStyle w:val="28"/>
                    <w:spacing w:before="24" w:after="24" w:line="240" w:lineRule="auto"/>
                    <w:rPr>
                      <w:rFonts w:hint="default" w:ascii="Times New Roman" w:eastAsia="宋体"/>
                      <w:color w:val="auto"/>
                      <w:szCs w:val="21"/>
                      <w:lang w:val="en-US" w:eastAsia="zh-CN"/>
                    </w:rPr>
                  </w:pPr>
                  <w:r>
                    <w:rPr>
                      <w:rFonts w:hint="eastAsia" w:ascii="Times New Roman"/>
                      <w:color w:val="auto"/>
                      <w:szCs w:val="21"/>
                      <w:lang w:val="en-US" w:eastAsia="zh-CN"/>
                    </w:rPr>
                    <w:t>657</w:t>
                  </w:r>
                </w:p>
              </w:tc>
            </w:tr>
            <w:tr w14:paraId="48EAD8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14" w:type="pct"/>
                  <w:vMerge w:val="continue"/>
                  <w:vAlign w:val="center"/>
                </w:tcPr>
                <w:p w14:paraId="5A7F4625">
                  <w:pPr>
                    <w:pStyle w:val="28"/>
                    <w:spacing w:before="24" w:after="24" w:line="240" w:lineRule="auto"/>
                    <w:rPr>
                      <w:rFonts w:ascii="Times New Roman"/>
                      <w:color w:val="auto"/>
                      <w:szCs w:val="21"/>
                    </w:rPr>
                  </w:pPr>
                </w:p>
              </w:tc>
              <w:tc>
                <w:tcPr>
                  <w:tcW w:w="863" w:type="pct"/>
                  <w:shd w:val="clear" w:color="auto" w:fill="auto"/>
                  <w:vAlign w:val="center"/>
                </w:tcPr>
                <w:p w14:paraId="66EC5852">
                  <w:pPr>
                    <w:pStyle w:val="28"/>
                    <w:spacing w:before="24" w:after="24" w:line="240" w:lineRule="auto"/>
                    <w:rPr>
                      <w:rFonts w:ascii="Times New Roman"/>
                      <w:b w:val="0"/>
                      <w:bCs w:val="0"/>
                      <w:color w:val="auto"/>
                      <w:szCs w:val="21"/>
                    </w:rPr>
                  </w:pPr>
                  <w:r>
                    <w:rPr>
                      <w:rFonts w:hint="eastAsia" w:ascii="Times New Roman"/>
                      <w:b w:val="0"/>
                      <w:bCs w:val="0"/>
                      <w:color w:val="auto"/>
                      <w:szCs w:val="21"/>
                    </w:rPr>
                    <w:t>中医药煎煮</w:t>
                  </w:r>
                </w:p>
              </w:tc>
              <w:tc>
                <w:tcPr>
                  <w:tcW w:w="947" w:type="pct"/>
                  <w:shd w:val="clear" w:color="auto" w:fill="auto"/>
                  <w:vAlign w:val="center"/>
                </w:tcPr>
                <w:p w14:paraId="29F2EB85">
                  <w:pPr>
                    <w:pStyle w:val="28"/>
                    <w:spacing w:before="24" w:after="24" w:line="240" w:lineRule="auto"/>
                    <w:rPr>
                      <w:rFonts w:ascii="Times New Roman"/>
                      <w:color w:val="auto"/>
                      <w:szCs w:val="21"/>
                    </w:rPr>
                  </w:pPr>
                  <w:r>
                    <w:rPr>
                      <w:rFonts w:hint="eastAsia" w:ascii="Times New Roman"/>
                      <w:color w:val="auto"/>
                      <w:szCs w:val="21"/>
                    </w:rPr>
                    <w:t>2次/月</w:t>
                  </w:r>
                </w:p>
              </w:tc>
              <w:tc>
                <w:tcPr>
                  <w:tcW w:w="1123" w:type="pct"/>
                  <w:shd w:val="clear" w:color="auto" w:fill="auto"/>
                  <w:vAlign w:val="center"/>
                </w:tcPr>
                <w:p w14:paraId="0F6C5CB7">
                  <w:pPr>
                    <w:pStyle w:val="28"/>
                    <w:spacing w:before="24" w:after="24" w:line="240" w:lineRule="auto"/>
                    <w:rPr>
                      <w:rFonts w:ascii="Times New Roman"/>
                      <w:color w:val="auto"/>
                      <w:szCs w:val="21"/>
                    </w:rPr>
                  </w:pPr>
                  <w:r>
                    <w:rPr>
                      <w:rFonts w:hint="eastAsia" w:ascii="Times New Roman"/>
                      <w:color w:val="auto"/>
                      <w:szCs w:val="21"/>
                      <w:lang w:val="en-US" w:eastAsia="zh-CN"/>
                    </w:rPr>
                    <w:t>60L/</w:t>
                  </w:r>
                  <w:r>
                    <w:rPr>
                      <w:rFonts w:hint="eastAsia" w:ascii="Times New Roman"/>
                      <w:color w:val="auto"/>
                      <w:szCs w:val="21"/>
                    </w:rPr>
                    <w:t>次</w:t>
                  </w:r>
                </w:p>
              </w:tc>
              <w:tc>
                <w:tcPr>
                  <w:tcW w:w="874" w:type="pct"/>
                  <w:shd w:val="clear" w:color="auto" w:fill="auto"/>
                  <w:vAlign w:val="center"/>
                </w:tcPr>
                <w:p w14:paraId="171CD9A5">
                  <w:pPr>
                    <w:pStyle w:val="28"/>
                    <w:spacing w:before="24" w:after="24" w:line="240" w:lineRule="auto"/>
                    <w:rPr>
                      <w:rFonts w:hint="default" w:ascii="Times New Roman" w:eastAsia="宋体"/>
                      <w:color w:val="auto"/>
                      <w:szCs w:val="21"/>
                      <w:lang w:val="en-US" w:eastAsia="zh-CN"/>
                    </w:rPr>
                  </w:pPr>
                  <w:r>
                    <w:rPr>
                      <w:rFonts w:hint="eastAsia" w:ascii="Times New Roman"/>
                      <w:color w:val="auto"/>
                      <w:szCs w:val="21"/>
                      <w:lang w:val="en-US" w:eastAsia="zh-CN"/>
                    </w:rPr>
                    <w:t>0.0040</w:t>
                  </w:r>
                </w:p>
              </w:tc>
              <w:tc>
                <w:tcPr>
                  <w:tcW w:w="877" w:type="pct"/>
                  <w:shd w:val="clear" w:color="auto" w:fill="auto"/>
                  <w:vAlign w:val="center"/>
                </w:tcPr>
                <w:p w14:paraId="27FBC81D">
                  <w:pPr>
                    <w:pStyle w:val="28"/>
                    <w:spacing w:before="24" w:after="24" w:line="240" w:lineRule="auto"/>
                    <w:rPr>
                      <w:rFonts w:hint="default" w:ascii="Times New Roman" w:eastAsia="宋体"/>
                      <w:color w:val="auto"/>
                      <w:szCs w:val="21"/>
                      <w:lang w:val="en-US" w:eastAsia="zh-CN"/>
                    </w:rPr>
                  </w:pPr>
                  <w:r>
                    <w:rPr>
                      <w:rFonts w:hint="eastAsia" w:ascii="Times New Roman"/>
                      <w:color w:val="auto"/>
                      <w:szCs w:val="21"/>
                      <w:lang w:val="en-US" w:eastAsia="zh-CN"/>
                    </w:rPr>
                    <w:t>1.44</w:t>
                  </w:r>
                </w:p>
              </w:tc>
            </w:tr>
            <w:tr w14:paraId="3C4EF8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48" w:type="pct"/>
                  <w:gridSpan w:val="4"/>
                  <w:vAlign w:val="center"/>
                </w:tcPr>
                <w:p w14:paraId="728FAC5E">
                  <w:pPr>
                    <w:pStyle w:val="28"/>
                    <w:spacing w:before="24" w:after="24" w:line="240" w:lineRule="auto"/>
                    <w:rPr>
                      <w:rFonts w:ascii="Times New Roman"/>
                      <w:color w:val="auto"/>
                      <w:szCs w:val="21"/>
                    </w:rPr>
                  </w:pPr>
                  <w:r>
                    <w:rPr>
                      <w:rFonts w:hint="eastAsia" w:ascii="Times New Roman"/>
                      <w:color w:val="auto"/>
                      <w:szCs w:val="21"/>
                    </w:rPr>
                    <w:t>合计</w:t>
                  </w:r>
                </w:p>
              </w:tc>
              <w:tc>
                <w:tcPr>
                  <w:tcW w:w="874" w:type="pct"/>
                  <w:vAlign w:val="center"/>
                </w:tcPr>
                <w:p w14:paraId="2257EA95">
                  <w:pPr>
                    <w:pStyle w:val="28"/>
                    <w:spacing w:before="24" w:after="24" w:line="240" w:lineRule="auto"/>
                    <w:rPr>
                      <w:rFonts w:hint="default" w:ascii="Times New Roman" w:eastAsia="宋体"/>
                      <w:color w:val="auto"/>
                      <w:szCs w:val="21"/>
                      <w:lang w:val="en-US" w:eastAsia="zh-CN"/>
                    </w:rPr>
                  </w:pPr>
                  <w:r>
                    <w:rPr>
                      <w:rFonts w:hint="eastAsia" w:ascii="Times New Roman"/>
                      <w:color w:val="auto"/>
                      <w:szCs w:val="21"/>
                      <w:lang w:val="en-US" w:eastAsia="zh-CN"/>
                    </w:rPr>
                    <w:t>10.604</w:t>
                  </w:r>
                </w:p>
              </w:tc>
              <w:tc>
                <w:tcPr>
                  <w:tcW w:w="877" w:type="pct"/>
                  <w:vAlign w:val="center"/>
                </w:tcPr>
                <w:p w14:paraId="0F8B5DC5">
                  <w:pPr>
                    <w:pStyle w:val="28"/>
                    <w:spacing w:before="24" w:after="24" w:line="240" w:lineRule="auto"/>
                    <w:rPr>
                      <w:rFonts w:hint="default" w:ascii="Times New Roman" w:eastAsia="宋体"/>
                      <w:color w:val="auto"/>
                      <w:szCs w:val="21"/>
                      <w:lang w:val="en-US" w:eastAsia="zh-CN"/>
                    </w:rPr>
                  </w:pPr>
                  <w:r>
                    <w:rPr>
                      <w:rFonts w:hint="eastAsia" w:ascii="Times New Roman"/>
                      <w:color w:val="auto"/>
                      <w:szCs w:val="21"/>
                      <w:lang w:val="en-US" w:eastAsia="zh-CN"/>
                    </w:rPr>
                    <w:t>3867.49</w:t>
                  </w:r>
                </w:p>
              </w:tc>
            </w:tr>
          </w:tbl>
          <w:p w14:paraId="3745E931">
            <w:pPr>
              <w:pStyle w:val="29"/>
              <w:widowControl/>
              <w:adjustRightInd w:val="0"/>
              <w:ind w:firstLine="480"/>
              <w:jc w:val="left"/>
              <w:rPr>
                <w:color w:val="auto"/>
                <w:szCs w:val="24"/>
              </w:rPr>
            </w:pPr>
            <w:r>
              <w:rPr>
                <w:rFonts w:hint="eastAsia"/>
                <w:color w:val="auto"/>
                <w:szCs w:val="24"/>
              </w:rPr>
              <w:t>（2）排水</w:t>
            </w:r>
          </w:p>
          <w:p w14:paraId="3E1ADA31">
            <w:pPr>
              <w:pStyle w:val="29"/>
              <w:widowControl/>
              <w:adjustRightInd w:val="0"/>
              <w:ind w:firstLine="480"/>
              <w:rPr>
                <w:color w:val="auto"/>
                <w:szCs w:val="24"/>
              </w:rPr>
            </w:pPr>
            <w:r>
              <w:rPr>
                <w:color w:val="auto"/>
              </w:rPr>
              <w:t>项目排水实行雨污分流制，雨水排入市政雨水管网</w:t>
            </w:r>
            <w:r>
              <w:rPr>
                <w:rFonts w:hint="eastAsia"/>
                <w:color w:val="auto"/>
              </w:rPr>
              <w:t>。综合医疗废水</w:t>
            </w:r>
            <w:r>
              <w:rPr>
                <w:color w:val="auto"/>
              </w:rPr>
              <w:t>作为医院的特殊性</w:t>
            </w:r>
            <w:r>
              <w:rPr>
                <w:rFonts w:hint="eastAsia"/>
                <w:color w:val="auto"/>
              </w:rPr>
              <w:t>废水</w:t>
            </w:r>
            <w:r>
              <w:rPr>
                <w:color w:val="auto"/>
              </w:rPr>
              <w:t>，按国家规定必须经处理达到国家《医疗机构水污染物排放标准》（GB18466-2005）后才能排放</w:t>
            </w:r>
            <w:r>
              <w:rPr>
                <w:rFonts w:hint="eastAsia"/>
                <w:color w:val="auto"/>
              </w:rPr>
              <w:t>。本项目外排废水经相应设施（化粪池、隔油池、中和桶）预处理后统一汇入</w:t>
            </w:r>
            <w:r>
              <w:rPr>
                <w:color w:val="auto"/>
              </w:rPr>
              <w:t>院内自建污水处理站进行处理，污水处理</w:t>
            </w:r>
            <w:r>
              <w:rPr>
                <w:rFonts w:hint="eastAsia"/>
                <w:color w:val="auto"/>
              </w:rPr>
              <w:t>站</w:t>
            </w:r>
            <w:r>
              <w:rPr>
                <w:color w:val="auto"/>
              </w:rPr>
              <w:t>采用</w:t>
            </w:r>
            <w:r>
              <w:rPr>
                <w:rFonts w:hint="eastAsia"/>
                <w:color w:val="auto"/>
              </w:rPr>
              <w:t>“生化+MBR膜处理”</w:t>
            </w:r>
            <w:r>
              <w:rPr>
                <w:color w:val="auto"/>
              </w:rPr>
              <w:t>处理工艺，经处理达《医疗机构水污染物排放标准（GB18466-2005）》</w:t>
            </w:r>
            <w:r>
              <w:rPr>
                <w:rFonts w:hint="eastAsia"/>
                <w:color w:val="auto"/>
                <w:szCs w:val="24"/>
              </w:rPr>
              <w:t>表2规定的预处理标准及华林镇集镇污水处理厂接管标准后（从严执行）</w:t>
            </w:r>
            <w:r>
              <w:rPr>
                <w:color w:val="auto"/>
                <w:szCs w:val="24"/>
              </w:rPr>
              <w:t>，排入市政污水管道，再排入</w:t>
            </w:r>
            <w:r>
              <w:rPr>
                <w:rFonts w:hint="eastAsia"/>
                <w:color w:val="auto"/>
                <w:szCs w:val="24"/>
              </w:rPr>
              <w:t>华林镇集镇污水处理厂</w:t>
            </w:r>
            <w:r>
              <w:rPr>
                <w:color w:val="auto"/>
                <w:szCs w:val="24"/>
              </w:rPr>
              <w:t>处理，经处理后达《城镇污水处理厂污染物排放标准》（GB18918-2002）中一级A标准</w:t>
            </w:r>
            <w:r>
              <w:rPr>
                <w:rFonts w:hint="eastAsia"/>
                <w:color w:val="auto"/>
                <w:szCs w:val="24"/>
              </w:rPr>
              <w:t>后，最终汇入鄱阳湖。</w:t>
            </w:r>
          </w:p>
          <w:p w14:paraId="2ACC29CB">
            <w:pPr>
              <w:pStyle w:val="29"/>
              <w:widowControl/>
              <w:adjustRightInd w:val="0"/>
              <w:ind w:firstLine="480"/>
              <w:rPr>
                <w:rFonts w:hint="eastAsia"/>
                <w:b w:val="0"/>
                <w:bCs w:val="0"/>
                <w:color w:val="auto"/>
                <w:szCs w:val="24"/>
              </w:rPr>
            </w:pPr>
            <w:r>
              <w:rPr>
                <w:rFonts w:hint="eastAsia"/>
                <w:b w:val="0"/>
                <w:bCs w:val="0"/>
                <w:color w:val="auto"/>
                <w:szCs w:val="24"/>
              </w:rPr>
              <w:t>卫生院现用新鲜水用量</w:t>
            </w:r>
            <w:r>
              <w:rPr>
                <w:rFonts w:hint="eastAsia"/>
                <w:b w:val="0"/>
                <w:bCs w:val="0"/>
                <w:color w:val="auto"/>
                <w:szCs w:val="24"/>
                <w:lang w:val="en-US" w:eastAsia="zh-CN"/>
              </w:rPr>
              <w:t>10.604</w:t>
            </w:r>
            <w:r>
              <w:rPr>
                <w:rFonts w:hint="eastAsia"/>
                <w:b w:val="0"/>
                <w:bCs w:val="0"/>
                <w:color w:val="auto"/>
                <w:szCs w:val="24"/>
              </w:rPr>
              <w:t>m</w:t>
            </w:r>
            <w:r>
              <w:rPr>
                <w:rFonts w:hint="eastAsia"/>
                <w:b w:val="0"/>
                <w:bCs w:val="0"/>
                <w:color w:val="auto"/>
                <w:szCs w:val="24"/>
                <w:vertAlign w:val="superscript"/>
              </w:rPr>
              <w:t>3</w:t>
            </w:r>
            <w:r>
              <w:rPr>
                <w:rFonts w:hint="eastAsia"/>
                <w:b w:val="0"/>
                <w:bCs w:val="0"/>
                <w:color w:val="auto"/>
                <w:szCs w:val="24"/>
              </w:rPr>
              <w:t>/d</w:t>
            </w:r>
            <w:r>
              <w:rPr>
                <w:rFonts w:hint="eastAsia"/>
                <w:b w:val="0"/>
                <w:bCs w:val="0"/>
                <w:color w:val="auto"/>
                <w:szCs w:val="24"/>
                <w:lang w:eastAsia="zh-CN"/>
              </w:rPr>
              <w:t>，</w:t>
            </w:r>
            <w:r>
              <w:rPr>
                <w:rFonts w:hint="eastAsia"/>
                <w:b w:val="0"/>
                <w:bCs w:val="0"/>
                <w:color w:val="auto"/>
                <w:szCs w:val="24"/>
              </w:rPr>
              <w:t>根据《医院污水处理工程技术规范》</w:t>
            </w:r>
            <w:r>
              <w:rPr>
                <w:b w:val="0"/>
                <w:bCs w:val="0"/>
                <w:color w:val="auto"/>
                <w:szCs w:val="24"/>
              </w:rPr>
              <w:t>(HJ2029—2013)</w:t>
            </w:r>
            <w:r>
              <w:rPr>
                <w:rFonts w:hint="eastAsia"/>
                <w:b w:val="0"/>
                <w:bCs w:val="0"/>
                <w:color w:val="auto"/>
                <w:szCs w:val="24"/>
              </w:rPr>
              <w:t>规定新建污水处理量按用水量的85%-95%，本次以</w:t>
            </w:r>
            <w:r>
              <w:rPr>
                <w:rFonts w:hint="eastAsia"/>
                <w:b w:val="0"/>
                <w:bCs w:val="0"/>
                <w:color w:val="auto"/>
                <w:szCs w:val="24"/>
                <w:lang w:val="en-US" w:eastAsia="zh-CN"/>
              </w:rPr>
              <w:t>90</w:t>
            </w:r>
            <w:r>
              <w:rPr>
                <w:rFonts w:hint="eastAsia"/>
                <w:b w:val="0"/>
                <w:bCs w:val="0"/>
                <w:color w:val="auto"/>
                <w:szCs w:val="24"/>
              </w:rPr>
              <w:t>%计，则医院现有废水量为</w:t>
            </w:r>
            <w:r>
              <w:rPr>
                <w:rFonts w:hint="eastAsia"/>
                <w:b w:val="0"/>
                <w:bCs w:val="0"/>
                <w:color w:val="auto"/>
                <w:szCs w:val="24"/>
                <w:lang w:val="en-US" w:eastAsia="zh-CN"/>
              </w:rPr>
              <w:t>9.5436</w:t>
            </w:r>
            <w:r>
              <w:rPr>
                <w:rFonts w:hint="eastAsia"/>
                <w:b w:val="0"/>
                <w:bCs w:val="0"/>
                <w:color w:val="auto"/>
                <w:szCs w:val="24"/>
              </w:rPr>
              <w:t>m</w:t>
            </w:r>
            <w:r>
              <w:rPr>
                <w:rFonts w:hint="eastAsia"/>
                <w:b w:val="0"/>
                <w:bCs w:val="0"/>
                <w:color w:val="auto"/>
                <w:szCs w:val="24"/>
                <w:vertAlign w:val="superscript"/>
              </w:rPr>
              <w:t>3</w:t>
            </w:r>
            <w:r>
              <w:rPr>
                <w:rFonts w:hint="eastAsia"/>
                <w:b w:val="0"/>
                <w:bCs w:val="0"/>
                <w:color w:val="auto"/>
                <w:szCs w:val="24"/>
              </w:rPr>
              <w:t>/d。</w:t>
            </w:r>
          </w:p>
          <w:p w14:paraId="7E81D4EC">
            <w:pPr>
              <w:pStyle w:val="29"/>
              <w:widowControl/>
              <w:adjustRightInd w:val="0"/>
              <w:ind w:firstLine="480"/>
              <w:rPr>
                <w:rFonts w:hint="eastAsia"/>
                <w:b w:val="0"/>
                <w:bCs w:val="0"/>
                <w:color w:val="auto"/>
                <w:szCs w:val="24"/>
              </w:rPr>
            </w:pPr>
          </w:p>
          <w:p w14:paraId="45C5AAD0">
            <w:pPr>
              <w:pStyle w:val="29"/>
              <w:widowControl/>
              <w:adjustRightInd w:val="0"/>
              <w:ind w:firstLine="480"/>
              <w:rPr>
                <w:rFonts w:hint="eastAsia"/>
                <w:b w:val="0"/>
                <w:bCs w:val="0"/>
                <w:color w:val="auto"/>
                <w:szCs w:val="24"/>
              </w:rPr>
            </w:pPr>
          </w:p>
          <w:p w14:paraId="1CC21952">
            <w:pPr>
              <w:pStyle w:val="29"/>
              <w:widowControl/>
              <w:adjustRightInd w:val="0"/>
              <w:ind w:firstLine="480"/>
              <w:rPr>
                <w:rFonts w:hint="eastAsia"/>
                <w:b w:val="0"/>
                <w:bCs w:val="0"/>
                <w:color w:val="auto"/>
                <w:szCs w:val="24"/>
              </w:rPr>
            </w:pPr>
          </w:p>
          <w:p w14:paraId="448662A8">
            <w:pPr>
              <w:pStyle w:val="29"/>
              <w:widowControl/>
              <w:adjustRightInd w:val="0"/>
              <w:ind w:firstLine="480"/>
              <w:rPr>
                <w:rFonts w:hint="eastAsia"/>
                <w:b w:val="0"/>
                <w:bCs w:val="0"/>
                <w:color w:val="auto"/>
                <w:szCs w:val="24"/>
              </w:rPr>
            </w:pPr>
          </w:p>
          <w:p w14:paraId="4E38E81D">
            <w:pPr>
              <w:pStyle w:val="29"/>
              <w:widowControl/>
              <w:adjustRightInd w:val="0"/>
              <w:ind w:firstLine="480"/>
              <w:rPr>
                <w:rFonts w:hint="eastAsia"/>
                <w:b w:val="0"/>
                <w:bCs w:val="0"/>
                <w:color w:val="auto"/>
                <w:szCs w:val="24"/>
              </w:rPr>
            </w:pPr>
          </w:p>
          <w:p w14:paraId="2B3E4D98">
            <w:pPr>
              <w:pStyle w:val="30"/>
              <w:tabs>
                <w:tab w:val="left" w:pos="2894"/>
                <w:tab w:val="left" w:pos="4580"/>
              </w:tabs>
              <w:adjustRightInd w:val="0"/>
              <w:snapToGrid w:val="0"/>
              <w:spacing w:line="360" w:lineRule="auto"/>
              <w:jc w:val="center"/>
              <w:rPr>
                <w:rFonts w:hint="eastAsia" w:eastAsia="宋体"/>
                <w:b/>
                <w:color w:val="auto"/>
                <w:sz w:val="24"/>
                <w:lang w:eastAsia="zh-CN"/>
              </w:rPr>
            </w:pPr>
            <w:r>
              <w:rPr>
                <w:rFonts w:hint="eastAsia" w:eastAsia="宋体"/>
                <w:b/>
                <w:color w:val="auto"/>
                <w:sz w:val="24"/>
                <w:lang w:eastAsia="zh-CN"/>
              </w:rPr>
              <w:drawing>
                <wp:inline distT="0" distB="0" distL="114300" distR="114300">
                  <wp:extent cx="5328920" cy="3008630"/>
                  <wp:effectExtent l="0" t="0" r="5080" b="1270"/>
                  <wp:docPr id="5" name="图片 5" descr="华林卫生院水平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华林卫生院水平衡图"/>
                          <pic:cNvPicPr>
                            <a:picLocks noChangeAspect="1"/>
                          </pic:cNvPicPr>
                        </pic:nvPicPr>
                        <pic:blipFill>
                          <a:blip r:embed="rId9"/>
                          <a:stretch>
                            <a:fillRect/>
                          </a:stretch>
                        </pic:blipFill>
                        <pic:spPr>
                          <a:xfrm>
                            <a:off x="0" y="0"/>
                            <a:ext cx="5328920" cy="3008630"/>
                          </a:xfrm>
                          <a:prstGeom prst="rect">
                            <a:avLst/>
                          </a:prstGeom>
                        </pic:spPr>
                      </pic:pic>
                    </a:graphicData>
                  </a:graphic>
                </wp:inline>
              </w:drawing>
            </w:r>
          </w:p>
          <w:p w14:paraId="0E4BED58">
            <w:pPr>
              <w:pStyle w:val="30"/>
              <w:tabs>
                <w:tab w:val="left" w:pos="2894"/>
                <w:tab w:val="left" w:pos="4580"/>
              </w:tabs>
              <w:adjustRightInd w:val="0"/>
              <w:snapToGrid w:val="0"/>
              <w:spacing w:line="360" w:lineRule="auto"/>
              <w:jc w:val="center"/>
              <w:rPr>
                <w:b/>
                <w:color w:val="auto"/>
                <w:szCs w:val="21"/>
              </w:rPr>
            </w:pPr>
            <w:r>
              <w:rPr>
                <w:rFonts w:hint="eastAsia"/>
                <w:b/>
                <w:color w:val="auto"/>
                <w:szCs w:val="21"/>
              </w:rPr>
              <w:t>图2</w:t>
            </w:r>
            <w:r>
              <w:rPr>
                <w:b/>
                <w:color w:val="auto"/>
                <w:szCs w:val="21"/>
              </w:rPr>
              <w:t xml:space="preserve">-1  </w:t>
            </w:r>
            <w:r>
              <w:rPr>
                <w:rFonts w:hint="eastAsia"/>
                <w:b/>
                <w:color w:val="auto"/>
                <w:szCs w:val="21"/>
              </w:rPr>
              <w:t>水平衡图</w:t>
            </w:r>
            <w:r>
              <w:rPr>
                <w:b/>
                <w:color w:val="auto"/>
                <w:szCs w:val="21"/>
              </w:rPr>
              <w:t xml:space="preserve">    </w:t>
            </w:r>
            <w:r>
              <w:rPr>
                <w:rFonts w:hint="eastAsia"/>
                <w:b/>
                <w:color w:val="auto"/>
                <w:szCs w:val="21"/>
              </w:rPr>
              <w:t>单位（</w:t>
            </w:r>
            <w:r>
              <w:rPr>
                <w:b/>
                <w:color w:val="auto"/>
                <w:position w:val="1"/>
                <w:szCs w:val="21"/>
              </w:rPr>
              <w:t>m</w:t>
            </w:r>
            <w:r>
              <w:rPr>
                <w:b/>
                <w:color w:val="auto"/>
                <w:position w:val="1"/>
                <w:szCs w:val="21"/>
                <w:vertAlign w:val="superscript"/>
              </w:rPr>
              <w:t>3</w:t>
            </w:r>
            <w:r>
              <w:rPr>
                <w:b/>
                <w:color w:val="auto"/>
                <w:position w:val="1"/>
                <w:szCs w:val="21"/>
              </w:rPr>
              <w:t>/d</w:t>
            </w:r>
            <w:r>
              <w:rPr>
                <w:rFonts w:hint="eastAsia"/>
                <w:b/>
                <w:color w:val="auto"/>
                <w:szCs w:val="21"/>
              </w:rPr>
              <w:t>）</w:t>
            </w:r>
          </w:p>
          <w:bookmarkEnd w:id="15"/>
          <w:p w14:paraId="197EC1C2">
            <w:pPr>
              <w:autoSpaceDE w:val="0"/>
              <w:autoSpaceDN w:val="0"/>
              <w:adjustRightInd w:val="0"/>
              <w:spacing w:line="360" w:lineRule="auto"/>
              <w:ind w:firstLine="480" w:firstLineChars="200"/>
              <w:jc w:val="left"/>
              <w:rPr>
                <w:color w:val="auto"/>
                <w:kern w:val="0"/>
                <w:sz w:val="24"/>
              </w:rPr>
            </w:pPr>
            <w:r>
              <w:rPr>
                <w:color w:val="auto"/>
                <w:kern w:val="0"/>
                <w:sz w:val="24"/>
              </w:rPr>
              <w:t>（3）供电</w:t>
            </w:r>
          </w:p>
          <w:p w14:paraId="7EA72CD7">
            <w:pPr>
              <w:autoSpaceDE w:val="0"/>
              <w:autoSpaceDN w:val="0"/>
              <w:adjustRightInd w:val="0"/>
              <w:spacing w:line="360" w:lineRule="auto"/>
              <w:ind w:firstLine="480" w:firstLineChars="200"/>
              <w:jc w:val="left"/>
              <w:rPr>
                <w:color w:val="auto"/>
                <w:sz w:val="24"/>
              </w:rPr>
            </w:pPr>
            <w:r>
              <w:rPr>
                <w:color w:val="auto"/>
                <w:sz w:val="24"/>
              </w:rPr>
              <w:t>项目不设锅炉及焚烧炉，热水采用电作为能源，项目用电依托</w:t>
            </w:r>
            <w:r>
              <w:rPr>
                <w:rFonts w:hint="eastAsia"/>
                <w:color w:val="auto"/>
                <w:sz w:val="24"/>
              </w:rPr>
              <w:t>市政</w:t>
            </w:r>
            <w:r>
              <w:rPr>
                <w:color w:val="auto"/>
                <w:sz w:val="24"/>
              </w:rPr>
              <w:t>供电系统。</w:t>
            </w:r>
          </w:p>
          <w:p w14:paraId="7D2CB011">
            <w:pPr>
              <w:autoSpaceDE w:val="0"/>
              <w:autoSpaceDN w:val="0"/>
              <w:adjustRightInd w:val="0"/>
              <w:spacing w:line="360" w:lineRule="auto"/>
              <w:ind w:firstLine="482" w:firstLineChars="200"/>
              <w:jc w:val="left"/>
              <w:rPr>
                <w:b/>
                <w:color w:val="auto"/>
                <w:sz w:val="24"/>
              </w:rPr>
            </w:pPr>
            <w:r>
              <w:rPr>
                <w:rFonts w:hint="eastAsia"/>
                <w:b/>
                <w:color w:val="auto"/>
                <w:sz w:val="24"/>
              </w:rPr>
              <w:t>6</w:t>
            </w:r>
            <w:r>
              <w:rPr>
                <w:b/>
                <w:color w:val="auto"/>
                <w:sz w:val="24"/>
              </w:rPr>
              <w:t>、劳动定员及工作制度</w:t>
            </w:r>
          </w:p>
          <w:p w14:paraId="04B4CF8B">
            <w:pPr>
              <w:autoSpaceDE w:val="0"/>
              <w:autoSpaceDN w:val="0"/>
              <w:adjustRightInd w:val="0"/>
              <w:spacing w:line="360" w:lineRule="auto"/>
              <w:ind w:firstLine="480" w:firstLineChars="200"/>
              <w:jc w:val="left"/>
              <w:rPr>
                <w:color w:val="auto"/>
                <w:kern w:val="0"/>
                <w:sz w:val="24"/>
              </w:rPr>
            </w:pPr>
            <w:r>
              <w:rPr>
                <w:rFonts w:hint="eastAsia" w:ascii="Times New Roman" w:hAnsi="Times New Roman" w:eastAsia="宋体" w:cs="Times New Roman"/>
                <w:b w:val="0"/>
                <w:bCs/>
                <w:color w:val="auto"/>
                <w:sz w:val="24"/>
                <w:szCs w:val="24"/>
                <w:highlight w:val="none"/>
                <w:lang w:val="en-US" w:eastAsia="zh-CN"/>
              </w:rPr>
              <w:t>本项目员工总数</w:t>
            </w:r>
            <w:r>
              <w:rPr>
                <w:rFonts w:hint="eastAsia" w:cs="Times New Roman"/>
                <w:b w:val="0"/>
                <w:bCs/>
                <w:color w:val="auto"/>
                <w:sz w:val="24"/>
                <w:szCs w:val="24"/>
                <w:highlight w:val="none"/>
                <w:lang w:val="en-US" w:eastAsia="zh-CN"/>
              </w:rPr>
              <w:t>24</w:t>
            </w:r>
            <w:r>
              <w:rPr>
                <w:rFonts w:hint="eastAsia" w:ascii="Times New Roman" w:hAnsi="Times New Roman" w:eastAsia="宋体" w:cs="Times New Roman"/>
                <w:b w:val="0"/>
                <w:bCs/>
                <w:color w:val="auto"/>
                <w:sz w:val="24"/>
                <w:szCs w:val="24"/>
                <w:highlight w:val="none"/>
                <w:lang w:val="en-US" w:eastAsia="zh-CN"/>
              </w:rPr>
              <w:t>人，</w:t>
            </w:r>
            <w:r>
              <w:rPr>
                <w:rFonts w:hint="eastAsia" w:cs="Times New Roman"/>
                <w:b w:val="0"/>
                <w:bCs/>
                <w:color w:val="auto"/>
                <w:sz w:val="24"/>
                <w:szCs w:val="24"/>
                <w:highlight w:val="none"/>
                <w:lang w:val="en-US" w:eastAsia="zh-CN"/>
              </w:rPr>
              <w:t>20人为医务人员，4人为行政人员，</w:t>
            </w:r>
            <w:r>
              <w:rPr>
                <w:color w:val="auto"/>
                <w:sz w:val="24"/>
              </w:rPr>
              <w:t>年运营天数365天，</w:t>
            </w:r>
          </w:p>
          <w:p w14:paraId="1C906174">
            <w:pPr>
              <w:spacing w:line="360" w:lineRule="auto"/>
              <w:rPr>
                <w:color w:val="auto"/>
                <w:kern w:val="0"/>
                <w:sz w:val="24"/>
              </w:rPr>
            </w:pPr>
            <w:r>
              <w:rPr>
                <w:rFonts w:hint="eastAsia" w:cs="Times New Roman"/>
                <w:b w:val="0"/>
                <w:bCs/>
                <w:color w:val="auto"/>
                <w:sz w:val="24"/>
                <w:szCs w:val="24"/>
                <w:highlight w:val="none"/>
                <w:lang w:val="en-US" w:eastAsia="zh-CN"/>
              </w:rPr>
              <w:t>医务人员</w:t>
            </w:r>
            <w:r>
              <w:rPr>
                <w:rFonts w:hint="eastAsia" w:ascii="Times New Roman" w:hAnsi="Times New Roman" w:eastAsia="宋体" w:cs="Times New Roman"/>
                <w:b w:val="0"/>
                <w:bCs/>
                <w:color w:val="auto"/>
                <w:sz w:val="24"/>
                <w:szCs w:val="24"/>
                <w:highlight w:val="none"/>
                <w:lang w:val="en-US" w:eastAsia="zh-CN"/>
              </w:rPr>
              <w:t>中9人实行24小时轮班制，每天3人；其余15</w:t>
            </w:r>
            <w:r>
              <w:rPr>
                <w:rFonts w:hint="eastAsia" w:cs="Times New Roman"/>
                <w:b w:val="0"/>
                <w:bCs/>
                <w:color w:val="auto"/>
                <w:sz w:val="24"/>
                <w:szCs w:val="24"/>
                <w:highlight w:val="none"/>
                <w:lang w:val="en-US" w:eastAsia="zh-CN"/>
              </w:rPr>
              <w:t>位医务人员和行政人员</w:t>
            </w:r>
            <w:r>
              <w:rPr>
                <w:rFonts w:hint="eastAsia" w:ascii="Times New Roman" w:hAnsi="Times New Roman" w:eastAsia="宋体" w:cs="Times New Roman"/>
                <w:b w:val="0"/>
                <w:bCs/>
                <w:color w:val="auto"/>
                <w:sz w:val="24"/>
                <w:szCs w:val="24"/>
                <w:highlight w:val="none"/>
                <w:lang w:val="en-US" w:eastAsia="zh-CN"/>
              </w:rPr>
              <w:t>上行政班，每天工作8h，</w:t>
            </w:r>
            <w:r>
              <w:rPr>
                <w:rFonts w:hint="eastAsia" w:cs="Times New Roman"/>
                <w:b w:val="0"/>
                <w:bCs/>
                <w:color w:val="auto"/>
                <w:sz w:val="24"/>
                <w:szCs w:val="24"/>
                <w:highlight w:val="none"/>
                <w:lang w:val="en-US" w:eastAsia="zh-CN"/>
              </w:rPr>
              <w:t>项目</w:t>
            </w:r>
            <w:r>
              <w:rPr>
                <w:rFonts w:hint="eastAsia" w:ascii="Times New Roman" w:hAnsi="Times New Roman" w:eastAsia="宋体" w:cs="Times New Roman"/>
                <w:b w:val="0"/>
                <w:bCs/>
                <w:color w:val="auto"/>
                <w:sz w:val="24"/>
                <w:szCs w:val="24"/>
                <w:highlight w:val="none"/>
                <w:lang w:val="en-US" w:eastAsia="zh-CN"/>
              </w:rPr>
              <w:t>年工作365天。</w:t>
            </w:r>
          </w:p>
          <w:p w14:paraId="655EEAE8">
            <w:pPr>
              <w:autoSpaceDE w:val="0"/>
              <w:autoSpaceDN w:val="0"/>
              <w:adjustRightInd w:val="0"/>
              <w:spacing w:line="360" w:lineRule="auto"/>
              <w:ind w:firstLine="482" w:firstLineChars="200"/>
              <w:jc w:val="left"/>
              <w:rPr>
                <w:b/>
                <w:color w:val="auto"/>
                <w:sz w:val="24"/>
              </w:rPr>
            </w:pPr>
            <w:r>
              <w:rPr>
                <w:rFonts w:hint="eastAsia"/>
                <w:b/>
                <w:color w:val="auto"/>
                <w:sz w:val="24"/>
              </w:rPr>
              <w:t>7、</w:t>
            </w:r>
            <w:r>
              <w:rPr>
                <w:b/>
                <w:color w:val="auto"/>
                <w:sz w:val="24"/>
              </w:rPr>
              <w:t>项目总平面布置</w:t>
            </w:r>
          </w:p>
          <w:p w14:paraId="55FE1405">
            <w:pPr>
              <w:spacing w:line="360" w:lineRule="auto"/>
              <w:ind w:firstLine="482" w:firstLineChars="200"/>
              <w:jc w:val="left"/>
              <w:rPr>
                <w:b/>
                <w:bCs/>
                <w:color w:val="auto"/>
                <w:kern w:val="24"/>
                <w:sz w:val="24"/>
              </w:rPr>
            </w:pPr>
            <w:r>
              <w:rPr>
                <w:b/>
                <w:bCs/>
                <w:color w:val="auto"/>
                <w:kern w:val="24"/>
                <w:sz w:val="24"/>
              </w:rPr>
              <w:t>①总平面布置的环境合理性分析</w:t>
            </w:r>
          </w:p>
          <w:p w14:paraId="070D0DB6">
            <w:pPr>
              <w:pStyle w:val="31"/>
              <w:jc w:val="left"/>
              <w:rPr>
                <w:color w:val="auto"/>
              </w:rPr>
            </w:pPr>
            <w:bookmarkStart w:id="16" w:name="_Toc293478891"/>
            <w:bookmarkStart w:id="17" w:name="_Toc225766928"/>
            <w:r>
              <w:rPr>
                <w:rFonts w:hint="eastAsia"/>
                <w:color w:val="auto"/>
              </w:rPr>
              <w:t>本项目包含四座主要建筑物，分别为门诊综合楼、医技楼、中医馆大楼以及计划免疫大楼。在院区的布局中，中医馆大楼与计划免疫大楼位于左侧，而门诊综合楼与医技楼则位于北侧。四大功能区在保持相对独立的同时，通过合理布局实现了相互之间的有效连接，共同构成了一个功能明确、布局完整的医院环境。在院区的平面布置上，充分考虑了环保因素，对设施的布置进行了精心规划，以最大限度地减少各设施之间的相互影响，确保了布局的合理性。</w:t>
            </w:r>
          </w:p>
          <w:p w14:paraId="54A7BB32">
            <w:pPr>
              <w:pStyle w:val="31"/>
              <w:ind w:firstLine="482"/>
              <w:jc w:val="left"/>
              <w:rPr>
                <w:rFonts w:cs="Times New Roman"/>
                <w:b/>
                <w:bCs/>
                <w:color w:val="auto"/>
              </w:rPr>
            </w:pPr>
            <w:r>
              <w:rPr>
                <w:rFonts w:cs="Times New Roman"/>
                <w:b/>
                <w:bCs/>
                <w:color w:val="auto"/>
              </w:rPr>
              <w:t>②污水处理站布局的合理性</w:t>
            </w:r>
            <w:bookmarkEnd w:id="16"/>
            <w:bookmarkEnd w:id="17"/>
          </w:p>
          <w:p w14:paraId="37222300">
            <w:pPr>
              <w:pStyle w:val="31"/>
              <w:rPr>
                <w:rFonts w:cs="Times New Roman"/>
                <w:color w:val="auto"/>
              </w:rPr>
            </w:pPr>
            <w:r>
              <w:rPr>
                <w:rFonts w:hint="eastAsia" w:cs="Times New Roman"/>
                <w:color w:val="auto"/>
              </w:rPr>
              <w:t>项目医院污水处理站为地埋式，处理达标后排入市政管网。项目医院污水处理站的布置与《医疗机构污水处理工程技术标准》（GB51459-2024）、《医院污水处理技术指南》(环发[2003]197号)、《医院污水处理工程技术规范》(HJ2029-2013)中相关要求的符合性分析见下表。</w:t>
            </w:r>
          </w:p>
          <w:p w14:paraId="17B4C91D">
            <w:pPr>
              <w:pStyle w:val="30"/>
              <w:tabs>
                <w:tab w:val="left" w:pos="2894"/>
                <w:tab w:val="left" w:pos="4580"/>
              </w:tabs>
              <w:adjustRightInd w:val="0"/>
              <w:snapToGrid w:val="0"/>
              <w:spacing w:line="360" w:lineRule="auto"/>
              <w:jc w:val="center"/>
              <w:rPr>
                <w:b/>
                <w:color w:val="auto"/>
                <w:szCs w:val="21"/>
              </w:rPr>
            </w:pPr>
            <w:r>
              <w:rPr>
                <w:rFonts w:hint="eastAsia"/>
                <w:b/>
                <w:color w:val="auto"/>
                <w:szCs w:val="21"/>
              </w:rPr>
              <w:t>表2-</w:t>
            </w:r>
            <w:r>
              <w:rPr>
                <w:rFonts w:hint="eastAsia"/>
                <w:b/>
                <w:color w:val="auto"/>
                <w:szCs w:val="21"/>
                <w:lang w:val="en-US" w:eastAsia="zh-CN"/>
              </w:rPr>
              <w:t>6</w:t>
            </w:r>
            <w:r>
              <w:rPr>
                <w:rFonts w:hint="eastAsia"/>
                <w:b/>
                <w:color w:val="auto"/>
                <w:szCs w:val="21"/>
              </w:rPr>
              <w:t xml:space="preserve">    医院污水处理站布置与相关要求对比表</w:t>
            </w:r>
          </w:p>
          <w:tbl>
            <w:tblPr>
              <w:tblStyle w:val="17"/>
              <w:tblW w:w="4998"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645"/>
              <w:gridCol w:w="3385"/>
              <w:gridCol w:w="3385"/>
              <w:gridCol w:w="981"/>
            </w:tblGrid>
            <w:tr w14:paraId="7BD573BF">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40" w:hRule="atLeast"/>
                <w:jc w:val="center"/>
              </w:trPr>
              <w:tc>
                <w:tcPr>
                  <w:tcW w:w="645" w:type="dxa"/>
                  <w:tcBorders>
                    <w:top w:val="single" w:color="auto" w:sz="12" w:space="0"/>
                  </w:tcBorders>
                  <w:vAlign w:val="center"/>
                </w:tcPr>
                <w:p w14:paraId="0CE08BB9">
                  <w:pPr>
                    <w:pStyle w:val="34"/>
                    <w:snapToGrid w:val="0"/>
                    <w:spacing w:line="240" w:lineRule="auto"/>
                    <w:ind w:left="0"/>
                    <w:rPr>
                      <w:rFonts w:ascii="Times New Roman" w:hAnsi="Times New Roman" w:cs="Times New Roman"/>
                      <w:b/>
                      <w:bCs/>
                      <w:color w:val="auto"/>
                    </w:rPr>
                  </w:pPr>
                  <w:r>
                    <w:rPr>
                      <w:rFonts w:ascii="Times New Roman" w:hAnsi="Times New Roman" w:cs="Times New Roman"/>
                      <w:b/>
                      <w:bCs/>
                      <w:color w:val="auto"/>
                    </w:rPr>
                    <w:t>序号</w:t>
                  </w:r>
                </w:p>
              </w:tc>
              <w:tc>
                <w:tcPr>
                  <w:tcW w:w="3385" w:type="dxa"/>
                  <w:tcBorders>
                    <w:top w:val="single" w:color="auto" w:sz="12" w:space="0"/>
                  </w:tcBorders>
                  <w:vAlign w:val="center"/>
                </w:tcPr>
                <w:p w14:paraId="12B2AA33">
                  <w:pPr>
                    <w:pStyle w:val="34"/>
                    <w:snapToGrid w:val="0"/>
                    <w:spacing w:line="240" w:lineRule="auto"/>
                    <w:ind w:left="0"/>
                    <w:rPr>
                      <w:rFonts w:ascii="Times New Roman" w:hAnsi="Times New Roman" w:cs="Times New Roman"/>
                      <w:b/>
                      <w:bCs/>
                      <w:color w:val="auto"/>
                    </w:rPr>
                  </w:pPr>
                  <w:r>
                    <w:rPr>
                      <w:rFonts w:ascii="Times New Roman" w:hAnsi="Times New Roman" w:cs="Times New Roman"/>
                      <w:b/>
                      <w:bCs/>
                      <w:color w:val="auto"/>
                    </w:rPr>
                    <w:t>医院污水处理站布置相关要求</w:t>
                  </w:r>
                </w:p>
              </w:tc>
              <w:tc>
                <w:tcPr>
                  <w:tcW w:w="3385" w:type="dxa"/>
                  <w:tcBorders>
                    <w:top w:val="single" w:color="auto" w:sz="12" w:space="0"/>
                  </w:tcBorders>
                  <w:vAlign w:val="center"/>
                </w:tcPr>
                <w:p w14:paraId="6826F211">
                  <w:pPr>
                    <w:pStyle w:val="34"/>
                    <w:snapToGrid w:val="0"/>
                    <w:spacing w:line="240" w:lineRule="auto"/>
                    <w:ind w:left="0"/>
                    <w:rPr>
                      <w:rFonts w:ascii="Times New Roman" w:hAnsi="Times New Roman" w:cs="Times New Roman"/>
                      <w:b/>
                      <w:bCs/>
                      <w:color w:val="auto"/>
                    </w:rPr>
                  </w:pPr>
                  <w:r>
                    <w:rPr>
                      <w:rFonts w:ascii="Times New Roman" w:hAnsi="Times New Roman" w:cs="Times New Roman"/>
                      <w:b/>
                      <w:bCs/>
                      <w:color w:val="auto"/>
                    </w:rPr>
                    <w:t>医院污水处理站布置情况</w:t>
                  </w:r>
                </w:p>
              </w:tc>
              <w:tc>
                <w:tcPr>
                  <w:tcW w:w="981" w:type="dxa"/>
                  <w:tcBorders>
                    <w:top w:val="single" w:color="auto" w:sz="12" w:space="0"/>
                  </w:tcBorders>
                  <w:vAlign w:val="center"/>
                </w:tcPr>
                <w:p w14:paraId="098442D8">
                  <w:pPr>
                    <w:pStyle w:val="34"/>
                    <w:snapToGrid w:val="0"/>
                    <w:spacing w:line="240" w:lineRule="auto"/>
                    <w:ind w:left="0"/>
                    <w:rPr>
                      <w:rFonts w:ascii="Times New Roman" w:hAnsi="Times New Roman" w:cs="Times New Roman"/>
                      <w:b/>
                      <w:bCs/>
                      <w:color w:val="auto"/>
                    </w:rPr>
                  </w:pPr>
                  <w:r>
                    <w:rPr>
                      <w:rFonts w:ascii="Times New Roman" w:hAnsi="Times New Roman" w:cs="Times New Roman"/>
                      <w:b/>
                      <w:bCs/>
                      <w:color w:val="auto"/>
                    </w:rPr>
                    <w:t>符合情况</w:t>
                  </w:r>
                </w:p>
              </w:tc>
            </w:tr>
            <w:tr w14:paraId="6044171B">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35" w:hRule="atLeast"/>
                <w:jc w:val="center"/>
              </w:trPr>
              <w:tc>
                <w:tcPr>
                  <w:tcW w:w="8396" w:type="dxa"/>
                  <w:gridSpan w:val="4"/>
                  <w:vAlign w:val="center"/>
                </w:tcPr>
                <w:p w14:paraId="24D89C48">
                  <w:pPr>
                    <w:pStyle w:val="34"/>
                    <w:snapToGrid w:val="0"/>
                    <w:spacing w:line="240" w:lineRule="auto"/>
                    <w:ind w:left="0"/>
                    <w:rPr>
                      <w:rFonts w:ascii="Times New Roman" w:hAnsi="Times New Roman" w:cs="Times New Roman"/>
                      <w:b/>
                      <w:bCs/>
                      <w:color w:val="auto"/>
                    </w:rPr>
                  </w:pPr>
                  <w:r>
                    <w:rPr>
                      <w:rFonts w:ascii="Times New Roman" w:hAnsi="Times New Roman" w:cs="Times New Roman"/>
                      <w:b/>
                      <w:bCs/>
                      <w:color w:val="auto"/>
                    </w:rPr>
                    <w:t>一、与</w:t>
                  </w:r>
                  <w:r>
                    <w:rPr>
                      <w:rFonts w:hint="eastAsia" w:cs="Times New Roman"/>
                      <w:b/>
                      <w:bCs/>
                      <w:color w:val="auto"/>
                    </w:rPr>
                    <w:t>《医疗机构污水处理工程技术标准》</w:t>
                  </w:r>
                  <w:r>
                    <w:rPr>
                      <w:rFonts w:ascii="Times New Roman" w:hAnsi="Times New Roman" w:cs="Times New Roman"/>
                      <w:b/>
                      <w:bCs/>
                      <w:color w:val="auto"/>
                    </w:rPr>
                    <w:t>中对医院污水处理站布置相关要求的一致性分析</w:t>
                  </w:r>
                </w:p>
              </w:tc>
            </w:tr>
            <w:tr w14:paraId="4B4B232D">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211" w:hRule="atLeast"/>
                <w:jc w:val="center"/>
              </w:trPr>
              <w:tc>
                <w:tcPr>
                  <w:tcW w:w="645" w:type="dxa"/>
                  <w:vAlign w:val="center"/>
                </w:tcPr>
                <w:p w14:paraId="1D0E9D58">
                  <w:pPr>
                    <w:pStyle w:val="34"/>
                    <w:snapToGrid w:val="0"/>
                    <w:spacing w:line="240" w:lineRule="auto"/>
                    <w:ind w:left="0"/>
                    <w:rPr>
                      <w:rFonts w:ascii="Times New Roman" w:hAnsi="Times New Roman" w:cs="Times New Roman"/>
                      <w:color w:val="auto"/>
                    </w:rPr>
                  </w:pPr>
                  <w:r>
                    <w:rPr>
                      <w:rFonts w:ascii="Times New Roman" w:hAnsi="Times New Roman" w:cs="Times New Roman"/>
                      <w:color w:val="auto"/>
                    </w:rPr>
                    <w:t>1.1</w:t>
                  </w:r>
                </w:p>
              </w:tc>
              <w:tc>
                <w:tcPr>
                  <w:tcW w:w="3385" w:type="dxa"/>
                  <w:vAlign w:val="center"/>
                </w:tcPr>
                <w:p w14:paraId="6406CA67">
                  <w:pPr>
                    <w:pStyle w:val="34"/>
                    <w:snapToGrid w:val="0"/>
                    <w:spacing w:line="240" w:lineRule="auto"/>
                    <w:ind w:left="0"/>
                    <w:rPr>
                      <w:rFonts w:ascii="Times New Roman" w:hAnsi="Times New Roman" w:cs="Times New Roman"/>
                      <w:color w:val="auto"/>
                    </w:rPr>
                  </w:pPr>
                  <w:r>
                    <w:rPr>
                      <w:rFonts w:hint="eastAsia" w:ascii="Times New Roman" w:hAnsi="Times New Roman" w:cs="Times New Roman"/>
                      <w:color w:val="auto"/>
                    </w:rPr>
                    <w:t>非传染病医疗机构污水处理站与病房、居民区建筑物的距离不宜小于10m；</w:t>
                  </w:r>
                </w:p>
              </w:tc>
              <w:tc>
                <w:tcPr>
                  <w:tcW w:w="3385" w:type="dxa"/>
                  <w:vAlign w:val="center"/>
                </w:tcPr>
                <w:p w14:paraId="06355633">
                  <w:pPr>
                    <w:pStyle w:val="34"/>
                    <w:snapToGrid w:val="0"/>
                    <w:spacing w:line="240" w:lineRule="auto"/>
                    <w:ind w:left="0"/>
                    <w:rPr>
                      <w:rFonts w:ascii="Times New Roman" w:hAnsi="Times New Roman" w:cs="Times New Roman"/>
                      <w:color w:val="auto"/>
                    </w:rPr>
                  </w:pPr>
                  <w:r>
                    <w:rPr>
                      <w:rFonts w:hint="eastAsia" w:ascii="Times New Roman" w:hAnsi="Times New Roman" w:cs="Times New Roman"/>
                      <w:color w:val="auto"/>
                      <w:lang w:val="en-US" w:eastAsia="zh-CN"/>
                    </w:rPr>
                    <w:t>污水处理站</w:t>
                  </w:r>
                  <w:r>
                    <w:rPr>
                      <w:rFonts w:ascii="Times New Roman" w:hAnsi="Times New Roman" w:cs="Times New Roman"/>
                      <w:color w:val="auto"/>
                    </w:rPr>
                    <w:t>与病房</w:t>
                  </w:r>
                  <w:r>
                    <w:rPr>
                      <w:rFonts w:hint="eastAsia" w:ascii="Times New Roman" w:hAnsi="Times New Roman" w:cs="Times New Roman"/>
                      <w:color w:val="auto"/>
                    </w:rPr>
                    <w:t>距离约</w:t>
                  </w:r>
                  <w:r>
                    <w:rPr>
                      <w:rFonts w:ascii="Times New Roman" w:hAnsi="Times New Roman" w:cs="Times New Roman"/>
                      <w:color w:val="auto"/>
                    </w:rPr>
                    <w:t>为</w:t>
                  </w:r>
                  <w:r>
                    <w:rPr>
                      <w:rFonts w:hint="eastAsia" w:ascii="Times New Roman" w:hAnsi="Times New Roman" w:cs="Times New Roman"/>
                      <w:color w:val="auto"/>
                      <w:lang w:val="en-US" w:eastAsia="zh-CN"/>
                    </w:rPr>
                    <w:t>28</w:t>
                  </w:r>
                  <w:r>
                    <w:rPr>
                      <w:rFonts w:ascii="Times New Roman" w:hAnsi="Times New Roman" w:cs="Times New Roman"/>
                      <w:color w:val="auto"/>
                    </w:rPr>
                    <w:t>m，与最近</w:t>
                  </w:r>
                  <w:r>
                    <w:rPr>
                      <w:rFonts w:hint="eastAsia" w:ascii="Times New Roman" w:hAnsi="Times New Roman" w:cs="Times New Roman"/>
                      <w:color w:val="auto"/>
                    </w:rPr>
                    <w:t>学校</w:t>
                  </w:r>
                  <w:r>
                    <w:rPr>
                      <w:rFonts w:ascii="Times New Roman" w:hAnsi="Times New Roman" w:cs="Times New Roman"/>
                      <w:color w:val="auto"/>
                    </w:rPr>
                    <w:t>建筑物相距</w:t>
                  </w:r>
                  <w:r>
                    <w:rPr>
                      <w:rFonts w:hint="eastAsia" w:ascii="Times New Roman" w:hAnsi="Times New Roman" w:cs="Times New Roman"/>
                      <w:color w:val="auto"/>
                    </w:rPr>
                    <w:t>约</w:t>
                  </w:r>
                  <w:r>
                    <w:rPr>
                      <w:rFonts w:hint="eastAsia" w:ascii="Times New Roman" w:hAnsi="Times New Roman" w:cs="Times New Roman"/>
                      <w:color w:val="auto"/>
                      <w:lang w:val="en-US" w:eastAsia="zh-CN"/>
                    </w:rPr>
                    <w:t>11</w:t>
                  </w:r>
                  <w:r>
                    <w:rPr>
                      <w:rFonts w:ascii="Times New Roman" w:hAnsi="Times New Roman" w:cs="Times New Roman"/>
                      <w:color w:val="auto"/>
                    </w:rPr>
                    <w:t>m</w:t>
                  </w:r>
                  <w:r>
                    <w:rPr>
                      <w:rFonts w:hint="eastAsia" w:ascii="Times New Roman" w:hAnsi="Times New Roman" w:cs="Times New Roman"/>
                      <w:color w:val="auto"/>
                    </w:rPr>
                    <w:t>，设有绿化防护带。</w:t>
                  </w:r>
                </w:p>
              </w:tc>
              <w:tc>
                <w:tcPr>
                  <w:tcW w:w="981" w:type="dxa"/>
                  <w:vAlign w:val="center"/>
                </w:tcPr>
                <w:p w14:paraId="2851F5F3">
                  <w:pPr>
                    <w:pStyle w:val="34"/>
                    <w:snapToGrid w:val="0"/>
                    <w:spacing w:line="240" w:lineRule="auto"/>
                    <w:ind w:left="0"/>
                    <w:rPr>
                      <w:rFonts w:ascii="Times New Roman" w:hAnsi="Times New Roman" w:cs="Times New Roman"/>
                      <w:color w:val="auto"/>
                    </w:rPr>
                  </w:pPr>
                  <w:r>
                    <w:rPr>
                      <w:rFonts w:ascii="Times New Roman" w:hAnsi="Times New Roman" w:cs="Times New Roman"/>
                      <w:color w:val="auto"/>
                    </w:rPr>
                    <w:t>符合</w:t>
                  </w:r>
                </w:p>
              </w:tc>
            </w:tr>
            <w:tr w14:paraId="1C43E401">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709" w:hRule="atLeast"/>
                <w:jc w:val="center"/>
              </w:trPr>
              <w:tc>
                <w:tcPr>
                  <w:tcW w:w="645" w:type="dxa"/>
                  <w:vAlign w:val="center"/>
                </w:tcPr>
                <w:p w14:paraId="17032CB6">
                  <w:pPr>
                    <w:pStyle w:val="34"/>
                    <w:snapToGrid w:val="0"/>
                    <w:spacing w:line="240" w:lineRule="auto"/>
                    <w:ind w:left="0"/>
                    <w:rPr>
                      <w:rFonts w:ascii="Times New Roman" w:hAnsi="Times New Roman" w:cs="Times New Roman"/>
                      <w:color w:val="auto"/>
                    </w:rPr>
                  </w:pPr>
                  <w:r>
                    <w:rPr>
                      <w:rFonts w:ascii="Times New Roman" w:hAnsi="Times New Roman" w:cs="Times New Roman"/>
                      <w:color w:val="auto"/>
                    </w:rPr>
                    <w:t>1.2</w:t>
                  </w:r>
                </w:p>
              </w:tc>
              <w:tc>
                <w:tcPr>
                  <w:tcW w:w="3385" w:type="dxa"/>
                  <w:vAlign w:val="center"/>
                </w:tcPr>
                <w:p w14:paraId="2683E7EE">
                  <w:pPr>
                    <w:pStyle w:val="34"/>
                    <w:snapToGrid w:val="0"/>
                    <w:spacing w:line="240" w:lineRule="auto"/>
                    <w:ind w:left="0"/>
                    <w:rPr>
                      <w:rFonts w:ascii="Times New Roman" w:hAnsi="Times New Roman" w:cs="Times New Roman"/>
                      <w:color w:val="auto"/>
                    </w:rPr>
                  </w:pPr>
                  <w:r>
                    <w:rPr>
                      <w:rFonts w:hint="eastAsia" w:ascii="Times New Roman" w:hAnsi="Times New Roman" w:cs="Times New Roman"/>
                      <w:color w:val="auto"/>
                    </w:rPr>
                    <w:t>污水处理站区域宜设置围栏高度不宜小于2m。</w:t>
                  </w:r>
                </w:p>
              </w:tc>
              <w:tc>
                <w:tcPr>
                  <w:tcW w:w="3385" w:type="dxa"/>
                  <w:vAlign w:val="center"/>
                </w:tcPr>
                <w:p w14:paraId="7CBB24AB">
                  <w:pPr>
                    <w:pStyle w:val="34"/>
                    <w:snapToGrid w:val="0"/>
                    <w:spacing w:line="240" w:lineRule="auto"/>
                    <w:ind w:left="0"/>
                    <w:rPr>
                      <w:rFonts w:ascii="Times New Roman" w:hAnsi="Times New Roman" w:cs="Times New Roman"/>
                      <w:color w:val="auto"/>
                    </w:rPr>
                  </w:pPr>
                  <w:r>
                    <w:rPr>
                      <w:rFonts w:hint="eastAsia" w:ascii="Times New Roman" w:hAnsi="Times New Roman" w:cs="Times New Roman"/>
                      <w:color w:val="auto"/>
                    </w:rPr>
                    <w:t>院区设有围栏，围栏高度为2m。</w:t>
                  </w:r>
                </w:p>
              </w:tc>
              <w:tc>
                <w:tcPr>
                  <w:tcW w:w="981" w:type="dxa"/>
                  <w:vAlign w:val="center"/>
                </w:tcPr>
                <w:p w14:paraId="4AE54F8F">
                  <w:pPr>
                    <w:pStyle w:val="34"/>
                    <w:snapToGrid w:val="0"/>
                    <w:spacing w:line="240" w:lineRule="auto"/>
                    <w:ind w:left="0"/>
                    <w:rPr>
                      <w:rFonts w:ascii="Times New Roman" w:hAnsi="Times New Roman" w:cs="Times New Roman"/>
                      <w:color w:val="auto"/>
                    </w:rPr>
                  </w:pPr>
                  <w:r>
                    <w:rPr>
                      <w:rFonts w:ascii="Times New Roman" w:hAnsi="Times New Roman" w:cs="Times New Roman"/>
                      <w:color w:val="auto"/>
                    </w:rPr>
                    <w:t>符合</w:t>
                  </w:r>
                </w:p>
              </w:tc>
            </w:tr>
            <w:tr w14:paraId="0C83A74A">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95" w:hRule="atLeast"/>
                <w:jc w:val="center"/>
              </w:trPr>
              <w:tc>
                <w:tcPr>
                  <w:tcW w:w="8396" w:type="dxa"/>
                  <w:gridSpan w:val="4"/>
                  <w:vAlign w:val="center"/>
                </w:tcPr>
                <w:p w14:paraId="431A158B">
                  <w:pPr>
                    <w:pStyle w:val="34"/>
                    <w:snapToGrid w:val="0"/>
                    <w:spacing w:line="240" w:lineRule="auto"/>
                    <w:ind w:left="0"/>
                    <w:rPr>
                      <w:rFonts w:ascii="Times New Roman" w:hAnsi="Times New Roman" w:cs="Times New Roman"/>
                      <w:b/>
                      <w:bCs/>
                      <w:color w:val="auto"/>
                    </w:rPr>
                  </w:pPr>
                  <w:r>
                    <w:rPr>
                      <w:rFonts w:ascii="Times New Roman" w:hAnsi="Times New Roman" w:cs="Times New Roman"/>
                      <w:b/>
                      <w:bCs/>
                      <w:color w:val="auto"/>
                    </w:rPr>
                    <w:t>二、与《医院污水处理技术指南》中对医院污水处理站布置相关要求的一致性分析</w:t>
                  </w:r>
                </w:p>
              </w:tc>
            </w:tr>
            <w:tr w14:paraId="064F3F35">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72" w:hRule="atLeast"/>
                <w:jc w:val="center"/>
              </w:trPr>
              <w:tc>
                <w:tcPr>
                  <w:tcW w:w="645" w:type="dxa"/>
                  <w:vAlign w:val="center"/>
                </w:tcPr>
                <w:p w14:paraId="114F2B4B">
                  <w:pPr>
                    <w:pStyle w:val="34"/>
                    <w:snapToGrid w:val="0"/>
                    <w:spacing w:line="240" w:lineRule="auto"/>
                    <w:ind w:left="0"/>
                    <w:rPr>
                      <w:rFonts w:ascii="Times New Roman" w:hAnsi="Times New Roman" w:cs="Times New Roman"/>
                      <w:color w:val="auto"/>
                    </w:rPr>
                  </w:pPr>
                  <w:r>
                    <w:rPr>
                      <w:rFonts w:ascii="Times New Roman" w:hAnsi="Times New Roman" w:cs="Times New Roman"/>
                      <w:color w:val="auto"/>
                    </w:rPr>
                    <w:t>2.1</w:t>
                  </w:r>
                </w:p>
              </w:tc>
              <w:tc>
                <w:tcPr>
                  <w:tcW w:w="3385" w:type="dxa"/>
                  <w:vAlign w:val="center"/>
                </w:tcPr>
                <w:p w14:paraId="6B9B018D">
                  <w:pPr>
                    <w:pStyle w:val="34"/>
                    <w:snapToGrid w:val="0"/>
                    <w:spacing w:line="240" w:lineRule="auto"/>
                    <w:ind w:left="0"/>
                    <w:rPr>
                      <w:rFonts w:ascii="Times New Roman" w:hAnsi="Times New Roman" w:cs="Times New Roman"/>
                      <w:color w:val="auto"/>
                    </w:rPr>
                  </w:pPr>
                  <w:r>
                    <w:rPr>
                      <w:rFonts w:hint="eastAsia" w:ascii="Times New Roman" w:hAnsi="Times New Roman" w:cs="Times New Roman"/>
                      <w:color w:val="auto"/>
                    </w:rPr>
                    <w:t>医院污水处理构筑物的位置宜设在医院建筑物当地夏季主导风向的下风向。</w:t>
                  </w:r>
                </w:p>
              </w:tc>
              <w:tc>
                <w:tcPr>
                  <w:tcW w:w="3385" w:type="dxa"/>
                  <w:vAlign w:val="center"/>
                </w:tcPr>
                <w:p w14:paraId="46DD6069">
                  <w:pPr>
                    <w:pStyle w:val="34"/>
                    <w:snapToGrid w:val="0"/>
                    <w:spacing w:line="240" w:lineRule="auto"/>
                    <w:ind w:left="0"/>
                    <w:rPr>
                      <w:rFonts w:ascii="Times New Roman" w:hAnsi="Times New Roman" w:cs="Times New Roman"/>
                      <w:color w:val="auto"/>
                    </w:rPr>
                  </w:pPr>
                  <w:r>
                    <w:rPr>
                      <w:rFonts w:ascii="Times New Roman" w:hAnsi="Times New Roman" w:cs="Times New Roman"/>
                      <w:color w:val="auto"/>
                    </w:rPr>
                    <w:t>夏季主导风向</w:t>
                  </w:r>
                  <w:r>
                    <w:rPr>
                      <w:rFonts w:hint="eastAsia" w:ascii="Times New Roman" w:hAnsi="Times New Roman" w:cs="Times New Roman"/>
                      <w:color w:val="auto"/>
                    </w:rPr>
                    <w:t>为SSE，污水处理站位于卫生院南侧</w:t>
                  </w:r>
                  <w:r>
                    <w:rPr>
                      <w:rFonts w:ascii="Times New Roman" w:hAnsi="Times New Roman" w:cs="Times New Roman"/>
                      <w:color w:val="auto"/>
                    </w:rPr>
                    <w:t>，</w:t>
                  </w:r>
                  <w:r>
                    <w:rPr>
                      <w:rFonts w:hint="eastAsia" w:ascii="Times New Roman" w:hAnsi="Times New Roman" w:cs="Times New Roman"/>
                      <w:color w:val="auto"/>
                    </w:rPr>
                    <w:t>位于夏季主导风向的侧风向。</w:t>
                  </w:r>
                </w:p>
              </w:tc>
              <w:tc>
                <w:tcPr>
                  <w:tcW w:w="981" w:type="dxa"/>
                  <w:vAlign w:val="center"/>
                </w:tcPr>
                <w:p w14:paraId="59140E0F">
                  <w:pPr>
                    <w:pStyle w:val="34"/>
                    <w:snapToGrid w:val="0"/>
                    <w:spacing w:line="240" w:lineRule="auto"/>
                    <w:ind w:left="0"/>
                    <w:rPr>
                      <w:rFonts w:ascii="Times New Roman" w:hAnsi="Times New Roman" w:cs="Times New Roman"/>
                      <w:color w:val="auto"/>
                    </w:rPr>
                  </w:pPr>
                  <w:r>
                    <w:rPr>
                      <w:rFonts w:hint="eastAsia" w:ascii="Times New Roman" w:hAnsi="Times New Roman" w:cs="Times New Roman"/>
                      <w:color w:val="auto"/>
                    </w:rPr>
                    <w:t>基本</w:t>
                  </w:r>
                  <w:r>
                    <w:rPr>
                      <w:rFonts w:ascii="Times New Roman" w:hAnsi="Times New Roman" w:cs="Times New Roman"/>
                      <w:color w:val="auto"/>
                    </w:rPr>
                    <w:t>符合</w:t>
                  </w:r>
                </w:p>
              </w:tc>
            </w:tr>
            <w:tr w14:paraId="437D6AF1">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42" w:hRule="atLeast"/>
                <w:jc w:val="center"/>
              </w:trPr>
              <w:tc>
                <w:tcPr>
                  <w:tcW w:w="645" w:type="dxa"/>
                  <w:vAlign w:val="center"/>
                </w:tcPr>
                <w:p w14:paraId="7D5A55AF">
                  <w:pPr>
                    <w:pStyle w:val="34"/>
                    <w:snapToGrid w:val="0"/>
                    <w:spacing w:line="240" w:lineRule="auto"/>
                    <w:ind w:left="0"/>
                    <w:rPr>
                      <w:rFonts w:ascii="Times New Roman" w:hAnsi="Times New Roman" w:cs="Times New Roman"/>
                      <w:color w:val="auto"/>
                    </w:rPr>
                  </w:pPr>
                  <w:r>
                    <w:rPr>
                      <w:rFonts w:ascii="Times New Roman" w:hAnsi="Times New Roman" w:cs="Times New Roman"/>
                      <w:color w:val="auto"/>
                    </w:rPr>
                    <w:t>2.2</w:t>
                  </w:r>
                </w:p>
              </w:tc>
              <w:tc>
                <w:tcPr>
                  <w:tcW w:w="3385" w:type="dxa"/>
                  <w:vAlign w:val="center"/>
                </w:tcPr>
                <w:p w14:paraId="2A79EA03">
                  <w:pPr>
                    <w:pStyle w:val="34"/>
                    <w:snapToGrid w:val="0"/>
                    <w:spacing w:line="240" w:lineRule="auto"/>
                    <w:ind w:left="0"/>
                    <w:rPr>
                      <w:rFonts w:ascii="Times New Roman" w:hAnsi="Times New Roman" w:cs="Times New Roman"/>
                      <w:color w:val="auto"/>
                    </w:rPr>
                  </w:pPr>
                  <w:r>
                    <w:rPr>
                      <w:rFonts w:hint="eastAsia" w:ascii="Times New Roman" w:hAnsi="Times New Roman" w:cs="Times New Roman"/>
                      <w:color w:val="auto"/>
                    </w:rPr>
                    <w:t>医院污水处理设施应与病房、居民区等建筑物保持一定的距离，并应设绿化防护带或隔离带。</w:t>
                  </w:r>
                </w:p>
              </w:tc>
              <w:tc>
                <w:tcPr>
                  <w:tcW w:w="3385" w:type="dxa"/>
                  <w:vAlign w:val="center"/>
                </w:tcPr>
                <w:p w14:paraId="038013C2">
                  <w:pPr>
                    <w:pStyle w:val="34"/>
                    <w:snapToGrid w:val="0"/>
                    <w:spacing w:line="240" w:lineRule="auto"/>
                    <w:ind w:left="0"/>
                    <w:rPr>
                      <w:rFonts w:ascii="Times New Roman" w:hAnsi="Times New Roman" w:cs="Times New Roman"/>
                      <w:color w:val="auto"/>
                    </w:rPr>
                  </w:pPr>
                  <w:r>
                    <w:rPr>
                      <w:rFonts w:hint="eastAsia" w:ascii="Times New Roman" w:hAnsi="Times New Roman" w:cs="Times New Roman"/>
                      <w:color w:val="auto"/>
                      <w:lang w:val="en-US" w:eastAsia="zh-CN"/>
                    </w:rPr>
                    <w:t>污水处理站</w:t>
                  </w:r>
                  <w:r>
                    <w:rPr>
                      <w:rFonts w:ascii="Times New Roman" w:hAnsi="Times New Roman" w:cs="Times New Roman"/>
                      <w:color w:val="auto"/>
                    </w:rPr>
                    <w:t>与病房</w:t>
                  </w:r>
                  <w:r>
                    <w:rPr>
                      <w:rFonts w:hint="eastAsia" w:ascii="Times New Roman" w:hAnsi="Times New Roman" w:cs="Times New Roman"/>
                      <w:color w:val="auto"/>
                    </w:rPr>
                    <w:t>距离约</w:t>
                  </w:r>
                  <w:r>
                    <w:rPr>
                      <w:rFonts w:ascii="Times New Roman" w:hAnsi="Times New Roman" w:cs="Times New Roman"/>
                      <w:color w:val="auto"/>
                    </w:rPr>
                    <w:t>为</w:t>
                  </w:r>
                  <w:r>
                    <w:rPr>
                      <w:rFonts w:hint="eastAsia" w:ascii="Times New Roman" w:hAnsi="Times New Roman" w:cs="Times New Roman"/>
                      <w:color w:val="auto"/>
                      <w:lang w:val="en-US" w:eastAsia="zh-CN"/>
                    </w:rPr>
                    <w:t>28</w:t>
                  </w:r>
                  <w:r>
                    <w:rPr>
                      <w:rFonts w:ascii="Times New Roman" w:hAnsi="Times New Roman" w:cs="Times New Roman"/>
                      <w:color w:val="auto"/>
                    </w:rPr>
                    <w:t>m，与最近</w:t>
                  </w:r>
                  <w:r>
                    <w:rPr>
                      <w:rFonts w:hint="eastAsia" w:ascii="Times New Roman" w:hAnsi="Times New Roman" w:cs="Times New Roman"/>
                      <w:color w:val="auto"/>
                    </w:rPr>
                    <w:t>学校</w:t>
                  </w:r>
                  <w:r>
                    <w:rPr>
                      <w:rFonts w:ascii="Times New Roman" w:hAnsi="Times New Roman" w:cs="Times New Roman"/>
                      <w:color w:val="auto"/>
                    </w:rPr>
                    <w:t>建筑物相距</w:t>
                  </w:r>
                  <w:r>
                    <w:rPr>
                      <w:rFonts w:hint="eastAsia" w:ascii="Times New Roman" w:hAnsi="Times New Roman" w:cs="Times New Roman"/>
                      <w:color w:val="auto"/>
                    </w:rPr>
                    <w:t>约</w:t>
                  </w:r>
                  <w:r>
                    <w:rPr>
                      <w:rFonts w:hint="eastAsia" w:ascii="Times New Roman" w:hAnsi="Times New Roman" w:cs="Times New Roman"/>
                      <w:color w:val="auto"/>
                      <w:lang w:val="en-US" w:eastAsia="zh-CN"/>
                    </w:rPr>
                    <w:t>11</w:t>
                  </w:r>
                  <w:r>
                    <w:rPr>
                      <w:rFonts w:ascii="Times New Roman" w:hAnsi="Times New Roman" w:cs="Times New Roman"/>
                      <w:color w:val="auto"/>
                    </w:rPr>
                    <w:t>m</w:t>
                  </w:r>
                  <w:r>
                    <w:rPr>
                      <w:rFonts w:hint="eastAsia" w:ascii="Times New Roman" w:hAnsi="Times New Roman" w:cs="Times New Roman"/>
                      <w:color w:val="auto"/>
                    </w:rPr>
                    <w:t>，设有绿化防护带</w:t>
                  </w:r>
                </w:p>
              </w:tc>
              <w:tc>
                <w:tcPr>
                  <w:tcW w:w="981" w:type="dxa"/>
                  <w:vAlign w:val="center"/>
                </w:tcPr>
                <w:p w14:paraId="5C982E6B">
                  <w:pPr>
                    <w:pStyle w:val="34"/>
                    <w:snapToGrid w:val="0"/>
                    <w:spacing w:line="240" w:lineRule="auto"/>
                    <w:ind w:left="0"/>
                    <w:rPr>
                      <w:rFonts w:ascii="Times New Roman" w:hAnsi="Times New Roman" w:cs="Times New Roman"/>
                      <w:color w:val="auto"/>
                    </w:rPr>
                  </w:pPr>
                  <w:r>
                    <w:rPr>
                      <w:rFonts w:ascii="Times New Roman" w:hAnsi="Times New Roman" w:cs="Times New Roman"/>
                      <w:color w:val="auto"/>
                    </w:rPr>
                    <w:t>符合</w:t>
                  </w:r>
                </w:p>
              </w:tc>
            </w:tr>
            <w:tr w14:paraId="2D03CCAE">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679" w:hRule="atLeast"/>
                <w:jc w:val="center"/>
              </w:trPr>
              <w:tc>
                <w:tcPr>
                  <w:tcW w:w="645" w:type="dxa"/>
                  <w:vAlign w:val="center"/>
                </w:tcPr>
                <w:p w14:paraId="59FCD761">
                  <w:pPr>
                    <w:pStyle w:val="34"/>
                    <w:snapToGrid w:val="0"/>
                    <w:spacing w:line="240" w:lineRule="auto"/>
                    <w:ind w:left="0"/>
                    <w:rPr>
                      <w:rFonts w:ascii="Times New Roman" w:hAnsi="Times New Roman" w:cs="Times New Roman"/>
                      <w:color w:val="auto"/>
                    </w:rPr>
                  </w:pPr>
                  <w:r>
                    <w:rPr>
                      <w:rFonts w:ascii="Times New Roman" w:hAnsi="Times New Roman" w:cs="Times New Roman"/>
                      <w:color w:val="auto"/>
                    </w:rPr>
                    <w:t>2.3</w:t>
                  </w:r>
                </w:p>
              </w:tc>
              <w:tc>
                <w:tcPr>
                  <w:tcW w:w="3385" w:type="dxa"/>
                  <w:vAlign w:val="center"/>
                </w:tcPr>
                <w:p w14:paraId="1F830994">
                  <w:pPr>
                    <w:pStyle w:val="34"/>
                    <w:snapToGrid w:val="0"/>
                    <w:spacing w:line="240" w:lineRule="auto"/>
                    <w:ind w:left="0"/>
                    <w:rPr>
                      <w:rFonts w:ascii="Times New Roman" w:hAnsi="Times New Roman" w:cs="Times New Roman"/>
                      <w:color w:val="auto"/>
                    </w:rPr>
                  </w:pPr>
                  <w:r>
                    <w:rPr>
                      <w:rStyle w:val="35"/>
                      <w:rFonts w:hint="eastAsia" w:ascii="Times New Roman" w:hAnsi="Times New Roman" w:cs="Times New Roman"/>
                      <w:color w:val="auto"/>
                      <w:sz w:val="21"/>
                      <w:szCs w:val="21"/>
                    </w:rPr>
                    <w:t>污水处理站周围应设围墙或封闭设施，其高度不宜小于2.5m。</w:t>
                  </w:r>
                </w:p>
              </w:tc>
              <w:tc>
                <w:tcPr>
                  <w:tcW w:w="3385" w:type="dxa"/>
                  <w:vAlign w:val="center"/>
                </w:tcPr>
                <w:p w14:paraId="4EE15E21">
                  <w:pPr>
                    <w:pStyle w:val="34"/>
                    <w:snapToGrid w:val="0"/>
                    <w:spacing w:line="240" w:lineRule="auto"/>
                    <w:ind w:left="0"/>
                    <w:rPr>
                      <w:rFonts w:ascii="Times New Roman" w:hAnsi="Times New Roman" w:cs="Times New Roman"/>
                      <w:color w:val="auto"/>
                    </w:rPr>
                  </w:pPr>
                  <w:r>
                    <w:rPr>
                      <w:rFonts w:ascii="Times New Roman" w:hAnsi="Times New Roman" w:cs="Times New Roman"/>
                      <w:color w:val="auto"/>
                    </w:rPr>
                    <w:t>为</w:t>
                  </w:r>
                  <w:r>
                    <w:rPr>
                      <w:rFonts w:hint="eastAsia" w:ascii="Times New Roman" w:hAnsi="Times New Roman" w:cs="Times New Roman"/>
                      <w:color w:val="auto"/>
                    </w:rPr>
                    <w:t>地下式封闭设施</w:t>
                  </w:r>
                  <w:r>
                    <w:rPr>
                      <w:rFonts w:ascii="Times New Roman" w:hAnsi="Times New Roman" w:cs="Times New Roman"/>
                      <w:color w:val="auto"/>
                    </w:rPr>
                    <w:t>。</w:t>
                  </w:r>
                </w:p>
              </w:tc>
              <w:tc>
                <w:tcPr>
                  <w:tcW w:w="981" w:type="dxa"/>
                  <w:vAlign w:val="center"/>
                </w:tcPr>
                <w:p w14:paraId="649BC396">
                  <w:pPr>
                    <w:pStyle w:val="34"/>
                    <w:snapToGrid w:val="0"/>
                    <w:spacing w:line="240" w:lineRule="auto"/>
                    <w:ind w:left="0"/>
                    <w:rPr>
                      <w:rFonts w:ascii="Times New Roman" w:hAnsi="Times New Roman" w:cs="Times New Roman"/>
                      <w:color w:val="auto"/>
                    </w:rPr>
                  </w:pPr>
                  <w:r>
                    <w:rPr>
                      <w:rFonts w:ascii="Times New Roman" w:hAnsi="Times New Roman" w:cs="Times New Roman"/>
                      <w:color w:val="auto"/>
                    </w:rPr>
                    <w:t>符合</w:t>
                  </w:r>
                </w:p>
              </w:tc>
            </w:tr>
            <w:tr w14:paraId="6D050B5E">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819" w:hRule="atLeast"/>
                <w:jc w:val="center"/>
              </w:trPr>
              <w:tc>
                <w:tcPr>
                  <w:tcW w:w="645" w:type="dxa"/>
                  <w:vAlign w:val="center"/>
                </w:tcPr>
                <w:p w14:paraId="62514002">
                  <w:pPr>
                    <w:pStyle w:val="34"/>
                    <w:snapToGrid w:val="0"/>
                    <w:spacing w:line="240" w:lineRule="auto"/>
                    <w:ind w:left="0"/>
                    <w:rPr>
                      <w:rFonts w:ascii="Times New Roman" w:hAnsi="Times New Roman" w:cs="Times New Roman"/>
                      <w:color w:val="auto"/>
                    </w:rPr>
                  </w:pPr>
                  <w:r>
                    <w:rPr>
                      <w:rFonts w:ascii="Times New Roman" w:hAnsi="Times New Roman" w:cs="Times New Roman"/>
                      <w:color w:val="auto"/>
                    </w:rPr>
                    <w:t>2.4</w:t>
                  </w:r>
                </w:p>
              </w:tc>
              <w:tc>
                <w:tcPr>
                  <w:tcW w:w="3385" w:type="dxa"/>
                  <w:vAlign w:val="center"/>
                </w:tcPr>
                <w:p w14:paraId="3B5B0D5B">
                  <w:pPr>
                    <w:pStyle w:val="34"/>
                    <w:snapToGrid w:val="0"/>
                    <w:spacing w:line="240" w:lineRule="auto"/>
                    <w:ind w:left="0"/>
                    <w:rPr>
                      <w:rFonts w:ascii="Times New Roman" w:hAnsi="Times New Roman" w:cs="Times New Roman"/>
                      <w:color w:val="auto"/>
                    </w:rPr>
                  </w:pPr>
                  <w:r>
                    <w:rPr>
                      <w:rStyle w:val="35"/>
                      <w:rFonts w:hint="eastAsia" w:ascii="Times New Roman" w:hAnsi="Times New Roman" w:cs="Times New Roman"/>
                      <w:color w:val="auto"/>
                      <w:sz w:val="21"/>
                      <w:szCs w:val="21"/>
                    </w:rPr>
                    <w:t>污水处理站应留有扩建的可能；方便施工、运行和维护。</w:t>
                  </w:r>
                </w:p>
              </w:tc>
              <w:tc>
                <w:tcPr>
                  <w:tcW w:w="3385" w:type="dxa"/>
                  <w:vAlign w:val="center"/>
                </w:tcPr>
                <w:p w14:paraId="0A03C703">
                  <w:pPr>
                    <w:pStyle w:val="34"/>
                    <w:snapToGrid w:val="0"/>
                    <w:spacing w:line="240" w:lineRule="auto"/>
                    <w:ind w:left="0"/>
                    <w:rPr>
                      <w:rFonts w:ascii="Times New Roman" w:hAnsi="Times New Roman" w:cs="Times New Roman"/>
                      <w:color w:val="auto"/>
                    </w:rPr>
                  </w:pPr>
                  <w:r>
                    <w:rPr>
                      <w:rFonts w:ascii="Times New Roman" w:hAnsi="Times New Roman" w:cs="Times New Roman"/>
                      <w:color w:val="auto"/>
                    </w:rPr>
                    <w:t>为独立设置，便于扩建及</w:t>
                  </w:r>
                  <w:r>
                    <w:rPr>
                      <w:rStyle w:val="35"/>
                      <w:rFonts w:ascii="Times New Roman" w:hAnsi="Times New Roman" w:cs="Times New Roman"/>
                      <w:color w:val="auto"/>
                      <w:sz w:val="21"/>
                      <w:szCs w:val="21"/>
                    </w:rPr>
                    <w:t>施工、运行和维护。</w:t>
                  </w:r>
                </w:p>
              </w:tc>
              <w:tc>
                <w:tcPr>
                  <w:tcW w:w="981" w:type="dxa"/>
                  <w:vAlign w:val="center"/>
                </w:tcPr>
                <w:p w14:paraId="5AB06E7E">
                  <w:pPr>
                    <w:pStyle w:val="34"/>
                    <w:snapToGrid w:val="0"/>
                    <w:spacing w:line="240" w:lineRule="auto"/>
                    <w:ind w:left="0"/>
                    <w:rPr>
                      <w:rFonts w:ascii="Times New Roman" w:hAnsi="Times New Roman" w:cs="Times New Roman"/>
                      <w:color w:val="auto"/>
                    </w:rPr>
                  </w:pPr>
                  <w:r>
                    <w:rPr>
                      <w:rFonts w:ascii="Times New Roman" w:hAnsi="Times New Roman" w:cs="Times New Roman"/>
                      <w:color w:val="auto"/>
                    </w:rPr>
                    <w:t>符合</w:t>
                  </w:r>
                </w:p>
              </w:tc>
            </w:tr>
            <w:tr w14:paraId="70A97818">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314" w:hRule="atLeast"/>
                <w:jc w:val="center"/>
              </w:trPr>
              <w:tc>
                <w:tcPr>
                  <w:tcW w:w="645" w:type="dxa"/>
                  <w:vAlign w:val="center"/>
                </w:tcPr>
                <w:p w14:paraId="400B48F4">
                  <w:pPr>
                    <w:pStyle w:val="34"/>
                    <w:snapToGrid w:val="0"/>
                    <w:spacing w:line="240" w:lineRule="auto"/>
                    <w:ind w:left="0"/>
                    <w:rPr>
                      <w:rFonts w:ascii="Times New Roman" w:hAnsi="Times New Roman" w:cs="Times New Roman"/>
                      <w:color w:val="auto"/>
                    </w:rPr>
                  </w:pPr>
                  <w:r>
                    <w:rPr>
                      <w:rFonts w:ascii="Times New Roman" w:hAnsi="Times New Roman" w:cs="Times New Roman"/>
                      <w:color w:val="auto"/>
                    </w:rPr>
                    <w:t>2.5</w:t>
                  </w:r>
                </w:p>
              </w:tc>
              <w:tc>
                <w:tcPr>
                  <w:tcW w:w="3385" w:type="dxa"/>
                  <w:vAlign w:val="center"/>
                </w:tcPr>
                <w:p w14:paraId="5FA73285">
                  <w:pPr>
                    <w:pStyle w:val="34"/>
                    <w:snapToGrid w:val="0"/>
                    <w:spacing w:line="240" w:lineRule="auto"/>
                    <w:ind w:left="0"/>
                    <w:rPr>
                      <w:rFonts w:ascii="Times New Roman" w:hAnsi="Times New Roman" w:cs="Times New Roman"/>
                      <w:color w:val="auto"/>
                    </w:rPr>
                  </w:pPr>
                  <w:r>
                    <w:rPr>
                      <w:rStyle w:val="35"/>
                      <w:rFonts w:hint="eastAsia" w:ascii="Times New Roman" w:hAnsi="Times New Roman" w:cs="Times New Roman"/>
                      <w:color w:val="auto"/>
                      <w:sz w:val="21"/>
                      <w:szCs w:val="21"/>
                    </w:rPr>
                    <w:t>污水处理站应有方便的交通、运输和水电条件；便于污水排放和污泥贮运。</w:t>
                  </w:r>
                </w:p>
              </w:tc>
              <w:tc>
                <w:tcPr>
                  <w:tcW w:w="3385" w:type="dxa"/>
                  <w:vAlign w:val="center"/>
                </w:tcPr>
                <w:p w14:paraId="017A9179">
                  <w:pPr>
                    <w:pStyle w:val="34"/>
                    <w:snapToGrid w:val="0"/>
                    <w:spacing w:line="240" w:lineRule="auto"/>
                    <w:ind w:left="0"/>
                    <w:rPr>
                      <w:rFonts w:ascii="Times New Roman" w:hAnsi="Times New Roman" w:cs="Times New Roman"/>
                      <w:color w:val="auto"/>
                    </w:rPr>
                  </w:pPr>
                  <w:r>
                    <w:rPr>
                      <w:rFonts w:ascii="Times New Roman" w:hAnsi="Times New Roman" w:cs="Times New Roman"/>
                      <w:color w:val="auto"/>
                    </w:rPr>
                    <w:t>交通条件较好，水电均可由市政接入；区域市政污水管网已接通，出水可以纳管排放；剩余污泥经消毒后委托有资质单位处置。</w:t>
                  </w:r>
                </w:p>
              </w:tc>
              <w:tc>
                <w:tcPr>
                  <w:tcW w:w="981" w:type="dxa"/>
                  <w:vAlign w:val="center"/>
                </w:tcPr>
                <w:p w14:paraId="4065158E">
                  <w:pPr>
                    <w:pStyle w:val="34"/>
                    <w:snapToGrid w:val="0"/>
                    <w:spacing w:line="240" w:lineRule="auto"/>
                    <w:ind w:left="0"/>
                    <w:rPr>
                      <w:rFonts w:ascii="Times New Roman" w:hAnsi="Times New Roman" w:cs="Times New Roman"/>
                      <w:color w:val="auto"/>
                    </w:rPr>
                  </w:pPr>
                  <w:r>
                    <w:rPr>
                      <w:rFonts w:ascii="Times New Roman" w:hAnsi="Times New Roman" w:cs="Times New Roman"/>
                      <w:color w:val="auto"/>
                    </w:rPr>
                    <w:t>符合</w:t>
                  </w:r>
                </w:p>
              </w:tc>
            </w:tr>
            <w:tr w14:paraId="010F9143">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466" w:hRule="atLeast"/>
                <w:jc w:val="center"/>
              </w:trPr>
              <w:tc>
                <w:tcPr>
                  <w:tcW w:w="645" w:type="dxa"/>
                  <w:vAlign w:val="center"/>
                </w:tcPr>
                <w:p w14:paraId="7BF500E7">
                  <w:pPr>
                    <w:pStyle w:val="34"/>
                    <w:snapToGrid w:val="0"/>
                    <w:spacing w:line="240" w:lineRule="auto"/>
                    <w:ind w:left="0"/>
                    <w:rPr>
                      <w:rFonts w:ascii="Times New Roman" w:hAnsi="Times New Roman" w:cs="Times New Roman"/>
                      <w:color w:val="auto"/>
                    </w:rPr>
                  </w:pPr>
                  <w:r>
                    <w:rPr>
                      <w:rFonts w:hint="eastAsia" w:ascii="Times New Roman" w:hAnsi="Times New Roman" w:cs="Times New Roman"/>
                      <w:color w:val="auto"/>
                    </w:rPr>
                    <w:t>2</w:t>
                  </w:r>
                  <w:r>
                    <w:rPr>
                      <w:rFonts w:ascii="Times New Roman" w:hAnsi="Times New Roman" w:cs="Times New Roman"/>
                      <w:color w:val="auto"/>
                    </w:rPr>
                    <w:t>.6</w:t>
                  </w:r>
                </w:p>
              </w:tc>
              <w:tc>
                <w:tcPr>
                  <w:tcW w:w="3385" w:type="dxa"/>
                  <w:vAlign w:val="center"/>
                </w:tcPr>
                <w:p w14:paraId="5859E88B">
                  <w:pPr>
                    <w:pStyle w:val="34"/>
                    <w:snapToGrid w:val="0"/>
                    <w:spacing w:line="240" w:lineRule="auto"/>
                    <w:ind w:left="0"/>
                    <w:rPr>
                      <w:rStyle w:val="35"/>
                      <w:rFonts w:ascii="Times New Roman" w:hAnsi="Times New Roman" w:cs="Times New Roman"/>
                      <w:color w:val="auto"/>
                      <w:sz w:val="21"/>
                      <w:szCs w:val="21"/>
                    </w:rPr>
                  </w:pPr>
                  <w:r>
                    <w:rPr>
                      <w:rStyle w:val="35"/>
                      <w:rFonts w:hint="eastAsia" w:ascii="Times New Roman" w:hAnsi="Times New Roman" w:cs="Times New Roman"/>
                      <w:color w:val="auto"/>
                      <w:sz w:val="21"/>
                      <w:szCs w:val="21"/>
                    </w:rPr>
                    <w:t>传染病医院及含有传染病房的综合医院的污水处理站，其生产管理建筑物和生活设施宜集中布置，位置和朝向应力求合理，并应与处理构、建筑物严格隔离。</w:t>
                  </w:r>
                </w:p>
              </w:tc>
              <w:tc>
                <w:tcPr>
                  <w:tcW w:w="3385" w:type="dxa"/>
                  <w:vAlign w:val="center"/>
                </w:tcPr>
                <w:p w14:paraId="2C15278F">
                  <w:pPr>
                    <w:pStyle w:val="34"/>
                    <w:snapToGrid w:val="0"/>
                    <w:spacing w:line="240" w:lineRule="auto"/>
                    <w:ind w:left="0"/>
                    <w:rPr>
                      <w:rFonts w:ascii="Times New Roman" w:hAnsi="Times New Roman" w:cs="Times New Roman"/>
                      <w:color w:val="auto"/>
                    </w:rPr>
                  </w:pPr>
                  <w:r>
                    <w:rPr>
                      <w:rFonts w:hint="eastAsia" w:ascii="Times New Roman" w:hAnsi="Times New Roman" w:cs="Times New Roman"/>
                      <w:color w:val="auto"/>
                    </w:rPr>
                    <w:t>本项目不设置传染科，不涉及传染病房</w:t>
                  </w:r>
                </w:p>
              </w:tc>
              <w:tc>
                <w:tcPr>
                  <w:tcW w:w="981" w:type="dxa"/>
                  <w:vAlign w:val="center"/>
                </w:tcPr>
                <w:p w14:paraId="359D9243">
                  <w:pPr>
                    <w:pStyle w:val="34"/>
                    <w:snapToGrid w:val="0"/>
                    <w:spacing w:line="240" w:lineRule="auto"/>
                    <w:ind w:left="0"/>
                    <w:rPr>
                      <w:rFonts w:ascii="Times New Roman" w:hAnsi="Times New Roman" w:cs="Times New Roman"/>
                      <w:color w:val="auto"/>
                    </w:rPr>
                  </w:pPr>
                  <w:r>
                    <w:rPr>
                      <w:rFonts w:hint="eastAsia" w:ascii="Times New Roman" w:hAnsi="Times New Roman" w:cs="Times New Roman"/>
                      <w:color w:val="auto"/>
                    </w:rPr>
                    <w:t>/</w:t>
                  </w:r>
                </w:p>
              </w:tc>
            </w:tr>
            <w:tr w14:paraId="1E560780">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95" w:hRule="atLeast"/>
                <w:jc w:val="center"/>
              </w:trPr>
              <w:tc>
                <w:tcPr>
                  <w:tcW w:w="8396" w:type="dxa"/>
                  <w:gridSpan w:val="4"/>
                  <w:vAlign w:val="center"/>
                </w:tcPr>
                <w:p w14:paraId="7B708CA1">
                  <w:pPr>
                    <w:pStyle w:val="34"/>
                    <w:snapToGrid w:val="0"/>
                    <w:spacing w:line="240" w:lineRule="auto"/>
                    <w:ind w:left="0"/>
                    <w:rPr>
                      <w:rFonts w:ascii="Times New Roman" w:hAnsi="Times New Roman" w:cs="Times New Roman"/>
                      <w:b/>
                      <w:bCs/>
                      <w:color w:val="auto"/>
                    </w:rPr>
                  </w:pPr>
                  <w:r>
                    <w:rPr>
                      <w:rFonts w:ascii="Times New Roman" w:hAnsi="Times New Roman" w:cs="Times New Roman"/>
                      <w:b/>
                      <w:bCs/>
                      <w:color w:val="auto"/>
                    </w:rPr>
                    <w:t>三、与《医</w:t>
                  </w:r>
                  <w:r>
                    <w:rPr>
                      <w:rFonts w:hint="eastAsia" w:ascii="Times New Roman" w:hAnsi="Times New Roman" w:cs="Times New Roman"/>
                      <w:b/>
                      <w:bCs/>
                      <w:color w:val="auto"/>
                    </w:rPr>
                    <w:t>院</w:t>
                  </w:r>
                  <w:r>
                    <w:rPr>
                      <w:rFonts w:ascii="Times New Roman" w:hAnsi="Times New Roman" w:cs="Times New Roman"/>
                      <w:b/>
                      <w:bCs/>
                      <w:color w:val="auto"/>
                    </w:rPr>
                    <w:t>污水处理工程技术规范》中对医院污水处理站布置相关要求的一致性分析</w:t>
                  </w:r>
                </w:p>
              </w:tc>
            </w:tr>
            <w:tr w14:paraId="5F21586B">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416" w:hRule="atLeast"/>
                <w:jc w:val="center"/>
              </w:trPr>
              <w:tc>
                <w:tcPr>
                  <w:tcW w:w="645" w:type="dxa"/>
                  <w:vAlign w:val="center"/>
                </w:tcPr>
                <w:p w14:paraId="7D3842AC">
                  <w:pPr>
                    <w:pStyle w:val="34"/>
                    <w:snapToGrid w:val="0"/>
                    <w:spacing w:line="240" w:lineRule="auto"/>
                    <w:ind w:left="0"/>
                    <w:rPr>
                      <w:rFonts w:ascii="Times New Roman" w:hAnsi="Times New Roman" w:cs="Times New Roman"/>
                      <w:color w:val="auto"/>
                    </w:rPr>
                  </w:pPr>
                  <w:r>
                    <w:rPr>
                      <w:rFonts w:ascii="Times New Roman" w:hAnsi="Times New Roman" w:cs="Times New Roman"/>
                      <w:color w:val="auto"/>
                    </w:rPr>
                    <w:t>3.1</w:t>
                  </w:r>
                </w:p>
              </w:tc>
              <w:tc>
                <w:tcPr>
                  <w:tcW w:w="3385" w:type="dxa"/>
                  <w:vAlign w:val="center"/>
                </w:tcPr>
                <w:p w14:paraId="15E6FE7E">
                  <w:pPr>
                    <w:pStyle w:val="34"/>
                    <w:snapToGrid w:val="0"/>
                    <w:spacing w:line="240" w:lineRule="auto"/>
                    <w:ind w:left="0"/>
                    <w:rPr>
                      <w:rFonts w:ascii="Times New Roman" w:hAnsi="Times New Roman" w:cs="Times New Roman"/>
                      <w:color w:val="auto"/>
                    </w:rPr>
                  </w:pPr>
                  <w:r>
                    <w:rPr>
                      <w:rFonts w:hint="eastAsia" w:ascii="Times New Roman" w:hAnsi="Times New Roman" w:cs="Times New Roman"/>
                      <w:color w:val="auto"/>
                    </w:rPr>
                    <w:t>医院污水处理工程的选址及总平面布置应根据医院总体规划、污水排放口位置、环境卫生要求、风向、工程地质及维护管理和运输等因素来确定。</w:t>
                  </w:r>
                </w:p>
              </w:tc>
              <w:tc>
                <w:tcPr>
                  <w:tcW w:w="3385" w:type="dxa"/>
                  <w:vAlign w:val="center"/>
                </w:tcPr>
                <w:p w14:paraId="732AC93E">
                  <w:pPr>
                    <w:pStyle w:val="34"/>
                    <w:snapToGrid w:val="0"/>
                    <w:spacing w:line="240" w:lineRule="auto"/>
                    <w:ind w:left="0"/>
                    <w:rPr>
                      <w:rFonts w:ascii="Times New Roman" w:hAnsi="Times New Roman" w:cs="Times New Roman"/>
                      <w:color w:val="auto"/>
                    </w:rPr>
                  </w:pPr>
                  <w:r>
                    <w:rPr>
                      <w:rFonts w:hint="eastAsia" w:ascii="Times New Roman" w:hAnsi="Times New Roman" w:cs="Times New Roman"/>
                      <w:color w:val="auto"/>
                    </w:rPr>
                    <w:t>医院污水处理工程设计时已考虑该类因素。</w:t>
                  </w:r>
                </w:p>
              </w:tc>
              <w:tc>
                <w:tcPr>
                  <w:tcW w:w="981" w:type="dxa"/>
                  <w:vAlign w:val="center"/>
                </w:tcPr>
                <w:p w14:paraId="4A4583CD">
                  <w:pPr>
                    <w:pStyle w:val="34"/>
                    <w:snapToGrid w:val="0"/>
                    <w:spacing w:line="240" w:lineRule="auto"/>
                    <w:ind w:left="0"/>
                    <w:rPr>
                      <w:rFonts w:ascii="Times New Roman" w:hAnsi="Times New Roman" w:cs="Times New Roman"/>
                      <w:color w:val="auto"/>
                    </w:rPr>
                  </w:pPr>
                  <w:r>
                    <w:rPr>
                      <w:rFonts w:hint="eastAsia" w:ascii="Times New Roman" w:hAnsi="Times New Roman" w:cs="Times New Roman"/>
                      <w:color w:val="auto"/>
                    </w:rPr>
                    <w:t>符合</w:t>
                  </w:r>
                </w:p>
              </w:tc>
            </w:tr>
            <w:tr w14:paraId="0D22CB3B">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25" w:hRule="atLeast"/>
                <w:jc w:val="center"/>
              </w:trPr>
              <w:tc>
                <w:tcPr>
                  <w:tcW w:w="645" w:type="dxa"/>
                  <w:vAlign w:val="center"/>
                </w:tcPr>
                <w:p w14:paraId="20A0BD07">
                  <w:pPr>
                    <w:pStyle w:val="34"/>
                    <w:snapToGrid w:val="0"/>
                    <w:spacing w:line="240" w:lineRule="auto"/>
                    <w:ind w:left="0"/>
                    <w:rPr>
                      <w:rFonts w:ascii="Times New Roman" w:hAnsi="Times New Roman" w:cs="Times New Roman"/>
                      <w:color w:val="auto"/>
                    </w:rPr>
                  </w:pPr>
                  <w:r>
                    <w:rPr>
                      <w:rFonts w:hint="eastAsia" w:ascii="Times New Roman" w:hAnsi="Times New Roman" w:cs="Times New Roman"/>
                      <w:color w:val="auto"/>
                    </w:rPr>
                    <w:t>3</w:t>
                  </w:r>
                  <w:r>
                    <w:rPr>
                      <w:rFonts w:ascii="Times New Roman" w:hAnsi="Times New Roman" w:cs="Times New Roman"/>
                      <w:color w:val="auto"/>
                    </w:rPr>
                    <w:t>.2</w:t>
                  </w:r>
                </w:p>
              </w:tc>
              <w:tc>
                <w:tcPr>
                  <w:tcW w:w="3385" w:type="dxa"/>
                  <w:vAlign w:val="center"/>
                </w:tcPr>
                <w:p w14:paraId="3F9D8CCB">
                  <w:pPr>
                    <w:pStyle w:val="34"/>
                    <w:snapToGrid w:val="0"/>
                    <w:spacing w:line="240" w:lineRule="auto"/>
                    <w:ind w:left="0"/>
                    <w:rPr>
                      <w:rFonts w:ascii="Times New Roman" w:hAnsi="Times New Roman" w:cs="Times New Roman"/>
                      <w:color w:val="auto"/>
                    </w:rPr>
                  </w:pPr>
                  <w:r>
                    <w:rPr>
                      <w:rFonts w:hint="eastAsia" w:ascii="Times New Roman" w:hAnsi="Times New Roman" w:cs="Times New Roman"/>
                      <w:color w:val="auto"/>
                    </w:rPr>
                    <w:t>医院污水处理构筑物的位置宜设在医院主体建筑物当地夏季主导风向的下风向。</w:t>
                  </w:r>
                </w:p>
              </w:tc>
              <w:tc>
                <w:tcPr>
                  <w:tcW w:w="3385" w:type="dxa"/>
                  <w:vAlign w:val="center"/>
                </w:tcPr>
                <w:p w14:paraId="3FFAEB0B">
                  <w:pPr>
                    <w:pStyle w:val="34"/>
                    <w:snapToGrid w:val="0"/>
                    <w:spacing w:line="240" w:lineRule="auto"/>
                    <w:ind w:left="0"/>
                    <w:rPr>
                      <w:rFonts w:ascii="Times New Roman" w:hAnsi="Times New Roman" w:cs="Times New Roman"/>
                      <w:color w:val="auto"/>
                    </w:rPr>
                  </w:pPr>
                  <w:r>
                    <w:rPr>
                      <w:rFonts w:ascii="Times New Roman" w:hAnsi="Times New Roman" w:cs="Times New Roman"/>
                      <w:color w:val="auto"/>
                    </w:rPr>
                    <w:t>夏季主导风向</w:t>
                  </w:r>
                  <w:r>
                    <w:rPr>
                      <w:rFonts w:hint="eastAsia" w:ascii="Times New Roman" w:hAnsi="Times New Roman" w:cs="Times New Roman"/>
                      <w:color w:val="auto"/>
                    </w:rPr>
                    <w:t>为SSE，污水处理站位于卫生院南侧</w:t>
                  </w:r>
                  <w:r>
                    <w:rPr>
                      <w:rFonts w:ascii="Times New Roman" w:hAnsi="Times New Roman" w:cs="Times New Roman"/>
                      <w:color w:val="auto"/>
                    </w:rPr>
                    <w:t>，</w:t>
                  </w:r>
                  <w:r>
                    <w:rPr>
                      <w:rFonts w:hint="eastAsia" w:ascii="Times New Roman" w:hAnsi="Times New Roman" w:cs="Times New Roman"/>
                      <w:color w:val="auto"/>
                    </w:rPr>
                    <w:t>位于夏季主导风向的侧风向。</w:t>
                  </w:r>
                </w:p>
              </w:tc>
              <w:tc>
                <w:tcPr>
                  <w:tcW w:w="981" w:type="dxa"/>
                  <w:vAlign w:val="center"/>
                </w:tcPr>
                <w:p w14:paraId="16AEFE90">
                  <w:pPr>
                    <w:pStyle w:val="34"/>
                    <w:snapToGrid w:val="0"/>
                    <w:spacing w:line="240" w:lineRule="auto"/>
                    <w:ind w:left="0"/>
                    <w:rPr>
                      <w:rFonts w:ascii="Times New Roman" w:hAnsi="Times New Roman" w:cs="Times New Roman"/>
                      <w:color w:val="auto"/>
                    </w:rPr>
                  </w:pPr>
                  <w:r>
                    <w:rPr>
                      <w:rFonts w:hint="eastAsia" w:ascii="Times New Roman" w:hAnsi="Times New Roman" w:cs="Times New Roman"/>
                      <w:color w:val="auto"/>
                    </w:rPr>
                    <w:t>基本符合</w:t>
                  </w:r>
                </w:p>
              </w:tc>
            </w:tr>
            <w:tr w14:paraId="65836C9E">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002" w:hRule="atLeast"/>
                <w:jc w:val="center"/>
              </w:trPr>
              <w:tc>
                <w:tcPr>
                  <w:tcW w:w="645" w:type="dxa"/>
                  <w:vAlign w:val="center"/>
                </w:tcPr>
                <w:p w14:paraId="1EEB1D39">
                  <w:pPr>
                    <w:pStyle w:val="34"/>
                    <w:snapToGrid w:val="0"/>
                    <w:spacing w:line="240" w:lineRule="auto"/>
                    <w:ind w:left="0"/>
                    <w:rPr>
                      <w:rFonts w:ascii="Times New Roman" w:hAnsi="Times New Roman" w:cs="Times New Roman"/>
                      <w:color w:val="auto"/>
                    </w:rPr>
                  </w:pPr>
                  <w:r>
                    <w:rPr>
                      <w:rFonts w:hint="eastAsia" w:ascii="Times New Roman" w:hAnsi="Times New Roman" w:cs="Times New Roman"/>
                      <w:color w:val="auto"/>
                    </w:rPr>
                    <w:t>3</w:t>
                  </w:r>
                  <w:r>
                    <w:rPr>
                      <w:rFonts w:ascii="Times New Roman" w:hAnsi="Times New Roman" w:cs="Times New Roman"/>
                      <w:color w:val="auto"/>
                    </w:rPr>
                    <w:t>.3</w:t>
                  </w:r>
                </w:p>
              </w:tc>
              <w:tc>
                <w:tcPr>
                  <w:tcW w:w="3385" w:type="dxa"/>
                  <w:vAlign w:val="center"/>
                </w:tcPr>
                <w:p w14:paraId="65AEFB94">
                  <w:pPr>
                    <w:pStyle w:val="34"/>
                    <w:snapToGrid w:val="0"/>
                    <w:spacing w:line="240" w:lineRule="auto"/>
                    <w:ind w:left="0"/>
                    <w:rPr>
                      <w:rFonts w:ascii="Times New Roman" w:hAnsi="Times New Roman" w:cs="Times New Roman"/>
                      <w:color w:val="auto"/>
                    </w:rPr>
                  </w:pPr>
                  <w:r>
                    <w:rPr>
                      <w:rFonts w:hint="eastAsia" w:ascii="Times New Roman" w:hAnsi="Times New Roman" w:cs="Times New Roman"/>
                      <w:color w:val="auto"/>
                    </w:rPr>
                    <w:t>在医院污水处理工程的设计中，应根据总体规划适当预留余地，以利扩建、施工、运行和维护。</w:t>
                  </w:r>
                </w:p>
              </w:tc>
              <w:tc>
                <w:tcPr>
                  <w:tcW w:w="3385" w:type="dxa"/>
                  <w:vAlign w:val="center"/>
                </w:tcPr>
                <w:p w14:paraId="7FC8E853">
                  <w:pPr>
                    <w:pStyle w:val="34"/>
                    <w:snapToGrid w:val="0"/>
                    <w:spacing w:line="240" w:lineRule="auto"/>
                    <w:ind w:left="0"/>
                    <w:rPr>
                      <w:rFonts w:ascii="Times New Roman" w:hAnsi="Times New Roman" w:cs="Times New Roman"/>
                      <w:color w:val="auto"/>
                    </w:rPr>
                  </w:pPr>
                  <w:r>
                    <w:rPr>
                      <w:rFonts w:hint="eastAsia" w:ascii="Times New Roman" w:hAnsi="Times New Roman" w:cs="Times New Roman"/>
                      <w:color w:val="auto"/>
                    </w:rPr>
                    <w:t>医院污水处理工程设计中含预留余地。</w:t>
                  </w:r>
                </w:p>
              </w:tc>
              <w:tc>
                <w:tcPr>
                  <w:tcW w:w="981" w:type="dxa"/>
                  <w:vAlign w:val="center"/>
                </w:tcPr>
                <w:p w14:paraId="7714CE5F">
                  <w:pPr>
                    <w:pStyle w:val="34"/>
                    <w:snapToGrid w:val="0"/>
                    <w:spacing w:line="240" w:lineRule="auto"/>
                    <w:ind w:left="0"/>
                    <w:rPr>
                      <w:rFonts w:ascii="Times New Roman" w:hAnsi="Times New Roman" w:cs="Times New Roman"/>
                      <w:color w:val="auto"/>
                    </w:rPr>
                  </w:pPr>
                  <w:r>
                    <w:rPr>
                      <w:rFonts w:hint="eastAsia" w:ascii="Times New Roman" w:hAnsi="Times New Roman" w:cs="Times New Roman"/>
                      <w:color w:val="auto"/>
                    </w:rPr>
                    <w:t>符合</w:t>
                  </w:r>
                </w:p>
              </w:tc>
            </w:tr>
            <w:tr w14:paraId="7CFC92B1">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274" w:hRule="atLeast"/>
                <w:jc w:val="center"/>
              </w:trPr>
              <w:tc>
                <w:tcPr>
                  <w:tcW w:w="645" w:type="dxa"/>
                  <w:vAlign w:val="center"/>
                </w:tcPr>
                <w:p w14:paraId="1352F7B2">
                  <w:pPr>
                    <w:pStyle w:val="34"/>
                    <w:snapToGrid w:val="0"/>
                    <w:spacing w:line="240" w:lineRule="auto"/>
                    <w:ind w:left="0"/>
                    <w:rPr>
                      <w:rFonts w:ascii="Times New Roman" w:hAnsi="Times New Roman" w:cs="Times New Roman"/>
                      <w:color w:val="auto"/>
                    </w:rPr>
                  </w:pPr>
                  <w:r>
                    <w:rPr>
                      <w:rFonts w:hint="eastAsia" w:ascii="Times New Roman" w:hAnsi="Times New Roman" w:cs="Times New Roman"/>
                      <w:color w:val="auto"/>
                    </w:rPr>
                    <w:t>3</w:t>
                  </w:r>
                  <w:r>
                    <w:rPr>
                      <w:rFonts w:ascii="Times New Roman" w:hAnsi="Times New Roman" w:cs="Times New Roman"/>
                      <w:color w:val="auto"/>
                    </w:rPr>
                    <w:t>.4</w:t>
                  </w:r>
                </w:p>
              </w:tc>
              <w:tc>
                <w:tcPr>
                  <w:tcW w:w="3385" w:type="dxa"/>
                  <w:vAlign w:val="center"/>
                </w:tcPr>
                <w:p w14:paraId="171D72F6">
                  <w:pPr>
                    <w:pStyle w:val="34"/>
                    <w:snapToGrid w:val="0"/>
                    <w:spacing w:line="240" w:lineRule="auto"/>
                    <w:ind w:left="0"/>
                    <w:rPr>
                      <w:rFonts w:ascii="Times New Roman" w:hAnsi="Times New Roman" w:cs="Times New Roman"/>
                      <w:color w:val="auto"/>
                    </w:rPr>
                  </w:pPr>
                  <w:r>
                    <w:rPr>
                      <w:rFonts w:hint="eastAsia" w:ascii="Times New Roman" w:hAnsi="Times New Roman" w:cs="Times New Roman"/>
                      <w:color w:val="auto"/>
                    </w:rPr>
                    <w:t>医院污水处理工程应有便利的交通、运输和水电条件，便于污水排放和污泥贮运。</w:t>
                  </w:r>
                </w:p>
              </w:tc>
              <w:tc>
                <w:tcPr>
                  <w:tcW w:w="3385" w:type="dxa"/>
                  <w:vAlign w:val="center"/>
                </w:tcPr>
                <w:p w14:paraId="0AB0B962">
                  <w:pPr>
                    <w:pStyle w:val="34"/>
                    <w:snapToGrid w:val="0"/>
                    <w:spacing w:line="240" w:lineRule="auto"/>
                    <w:ind w:left="0"/>
                    <w:rPr>
                      <w:rFonts w:ascii="Times New Roman" w:hAnsi="Times New Roman" w:cs="Times New Roman"/>
                      <w:color w:val="auto"/>
                    </w:rPr>
                  </w:pPr>
                  <w:r>
                    <w:rPr>
                      <w:rFonts w:hint="eastAsia" w:ascii="Times New Roman" w:hAnsi="Times New Roman" w:cs="Times New Roman"/>
                      <w:color w:val="auto"/>
                    </w:rPr>
                    <w:t>交通条件较好，水电均可由市政接入；区域市政污水管网已接通，出水可以纳管排放；剩余污泥经消毒后委托有资质单位处置。</w:t>
                  </w:r>
                </w:p>
              </w:tc>
              <w:tc>
                <w:tcPr>
                  <w:tcW w:w="981" w:type="dxa"/>
                  <w:vAlign w:val="center"/>
                </w:tcPr>
                <w:p w14:paraId="05529D4F">
                  <w:pPr>
                    <w:pStyle w:val="34"/>
                    <w:snapToGrid w:val="0"/>
                    <w:spacing w:line="240" w:lineRule="auto"/>
                    <w:ind w:left="0"/>
                    <w:rPr>
                      <w:rFonts w:ascii="Times New Roman" w:hAnsi="Times New Roman" w:cs="Times New Roman"/>
                      <w:color w:val="auto"/>
                    </w:rPr>
                  </w:pPr>
                  <w:r>
                    <w:rPr>
                      <w:rFonts w:hint="eastAsia" w:ascii="Times New Roman" w:hAnsi="Times New Roman" w:cs="Times New Roman"/>
                      <w:color w:val="auto"/>
                    </w:rPr>
                    <w:t>符合</w:t>
                  </w:r>
                </w:p>
              </w:tc>
            </w:tr>
            <w:tr w14:paraId="0CC9FE32">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484" w:hRule="atLeast"/>
                <w:jc w:val="center"/>
              </w:trPr>
              <w:tc>
                <w:tcPr>
                  <w:tcW w:w="645" w:type="dxa"/>
                  <w:vAlign w:val="center"/>
                </w:tcPr>
                <w:p w14:paraId="1A58DF20">
                  <w:pPr>
                    <w:pStyle w:val="34"/>
                    <w:snapToGrid w:val="0"/>
                    <w:spacing w:line="240" w:lineRule="auto"/>
                    <w:ind w:left="0"/>
                    <w:rPr>
                      <w:rFonts w:ascii="Times New Roman" w:hAnsi="Times New Roman" w:cs="Times New Roman"/>
                      <w:color w:val="auto"/>
                    </w:rPr>
                  </w:pPr>
                  <w:r>
                    <w:rPr>
                      <w:rFonts w:hint="eastAsia" w:ascii="Times New Roman" w:hAnsi="Times New Roman" w:cs="Times New Roman"/>
                      <w:color w:val="auto"/>
                    </w:rPr>
                    <w:t>3</w:t>
                  </w:r>
                  <w:r>
                    <w:rPr>
                      <w:rFonts w:ascii="Times New Roman" w:hAnsi="Times New Roman" w:cs="Times New Roman"/>
                      <w:color w:val="auto"/>
                    </w:rPr>
                    <w:t>.5</w:t>
                  </w:r>
                </w:p>
              </w:tc>
              <w:tc>
                <w:tcPr>
                  <w:tcW w:w="3385" w:type="dxa"/>
                  <w:vAlign w:val="center"/>
                </w:tcPr>
                <w:p w14:paraId="413D1043">
                  <w:pPr>
                    <w:pStyle w:val="34"/>
                    <w:snapToGrid w:val="0"/>
                    <w:spacing w:line="240" w:lineRule="auto"/>
                    <w:ind w:left="0"/>
                    <w:jc w:val="both"/>
                    <w:rPr>
                      <w:rFonts w:ascii="Times New Roman" w:hAnsi="Times New Roman" w:cs="Times New Roman"/>
                      <w:color w:val="auto"/>
                    </w:rPr>
                  </w:pPr>
                  <w:r>
                    <w:rPr>
                      <w:rFonts w:hint="eastAsia" w:ascii="Times New Roman" w:hAnsi="Times New Roman" w:cs="Times New Roman"/>
                      <w:color w:val="auto"/>
                    </w:rPr>
                    <w:t>传染病医院污水处理工程，其生产管理建筑物和生活设施宜集中布置，位置和朝向应力求合理，且应与污水处理构、建筑物严格隔离。</w:t>
                  </w:r>
                </w:p>
              </w:tc>
              <w:tc>
                <w:tcPr>
                  <w:tcW w:w="3385" w:type="dxa"/>
                  <w:vAlign w:val="center"/>
                </w:tcPr>
                <w:p w14:paraId="530AA8F2">
                  <w:pPr>
                    <w:pStyle w:val="34"/>
                    <w:snapToGrid w:val="0"/>
                    <w:spacing w:line="240" w:lineRule="auto"/>
                    <w:ind w:left="0"/>
                    <w:rPr>
                      <w:rFonts w:ascii="Times New Roman" w:hAnsi="Times New Roman" w:cs="Times New Roman"/>
                      <w:color w:val="auto"/>
                    </w:rPr>
                  </w:pPr>
                  <w:r>
                    <w:rPr>
                      <w:rFonts w:hint="eastAsia" w:ascii="Times New Roman" w:hAnsi="Times New Roman" w:cs="Times New Roman"/>
                      <w:color w:val="auto"/>
                    </w:rPr>
                    <w:t>不涉及</w:t>
                  </w:r>
                </w:p>
              </w:tc>
              <w:tc>
                <w:tcPr>
                  <w:tcW w:w="981" w:type="dxa"/>
                  <w:vAlign w:val="center"/>
                </w:tcPr>
                <w:p w14:paraId="39E0F85E">
                  <w:pPr>
                    <w:pStyle w:val="34"/>
                    <w:snapToGrid w:val="0"/>
                    <w:spacing w:line="240" w:lineRule="auto"/>
                    <w:ind w:left="0"/>
                    <w:rPr>
                      <w:rFonts w:ascii="Times New Roman" w:hAnsi="Times New Roman" w:cs="Times New Roman"/>
                      <w:color w:val="auto"/>
                    </w:rPr>
                  </w:pPr>
                  <w:r>
                    <w:rPr>
                      <w:rFonts w:hint="eastAsia" w:ascii="Times New Roman" w:hAnsi="Times New Roman" w:cs="Times New Roman"/>
                      <w:color w:val="auto"/>
                    </w:rPr>
                    <w:t>/</w:t>
                  </w:r>
                </w:p>
              </w:tc>
            </w:tr>
            <w:tr w14:paraId="71E825CF">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201" w:hRule="atLeast"/>
                <w:jc w:val="center"/>
              </w:trPr>
              <w:tc>
                <w:tcPr>
                  <w:tcW w:w="645" w:type="dxa"/>
                  <w:tcBorders>
                    <w:bottom w:val="single" w:color="auto" w:sz="12" w:space="0"/>
                  </w:tcBorders>
                  <w:vAlign w:val="center"/>
                </w:tcPr>
                <w:p w14:paraId="73BF62A9">
                  <w:pPr>
                    <w:pStyle w:val="34"/>
                    <w:snapToGrid w:val="0"/>
                    <w:spacing w:line="240" w:lineRule="auto"/>
                    <w:ind w:left="0"/>
                    <w:rPr>
                      <w:rFonts w:ascii="Times New Roman" w:hAnsi="Times New Roman" w:cs="Times New Roman"/>
                      <w:color w:val="auto"/>
                    </w:rPr>
                  </w:pPr>
                  <w:r>
                    <w:rPr>
                      <w:rFonts w:hint="eastAsia" w:ascii="Times New Roman" w:hAnsi="Times New Roman" w:cs="Times New Roman"/>
                      <w:color w:val="auto"/>
                    </w:rPr>
                    <w:t>3</w:t>
                  </w:r>
                  <w:r>
                    <w:rPr>
                      <w:rFonts w:ascii="Times New Roman" w:hAnsi="Times New Roman" w:cs="Times New Roman"/>
                      <w:color w:val="auto"/>
                    </w:rPr>
                    <w:t>.6</w:t>
                  </w:r>
                </w:p>
              </w:tc>
              <w:tc>
                <w:tcPr>
                  <w:tcW w:w="3385" w:type="dxa"/>
                  <w:tcBorders>
                    <w:bottom w:val="single" w:color="auto" w:sz="12" w:space="0"/>
                  </w:tcBorders>
                  <w:vAlign w:val="center"/>
                </w:tcPr>
                <w:p w14:paraId="4ABB37B6">
                  <w:pPr>
                    <w:pStyle w:val="34"/>
                    <w:snapToGrid w:val="0"/>
                    <w:spacing w:line="240" w:lineRule="auto"/>
                    <w:ind w:left="0"/>
                    <w:jc w:val="both"/>
                    <w:rPr>
                      <w:rFonts w:ascii="Times New Roman" w:hAnsi="Times New Roman" w:cs="Times New Roman"/>
                      <w:color w:val="auto"/>
                    </w:rPr>
                  </w:pPr>
                  <w:r>
                    <w:rPr>
                      <w:rFonts w:hint="eastAsia" w:ascii="Times New Roman" w:hAnsi="Times New Roman" w:cs="Times New Roman"/>
                      <w:color w:val="auto"/>
                    </w:rPr>
                    <w:t>医院污水处理工程与病房、居民区等建筑物之间应设绿化防护带或隔离带，以减少臭气和噪音对病人或居民的干扰。</w:t>
                  </w:r>
                </w:p>
              </w:tc>
              <w:tc>
                <w:tcPr>
                  <w:tcW w:w="3385" w:type="dxa"/>
                  <w:tcBorders>
                    <w:bottom w:val="single" w:color="auto" w:sz="12" w:space="0"/>
                  </w:tcBorders>
                  <w:vAlign w:val="center"/>
                </w:tcPr>
                <w:p w14:paraId="0EFA7856">
                  <w:pPr>
                    <w:pStyle w:val="34"/>
                    <w:snapToGrid w:val="0"/>
                    <w:spacing w:line="240" w:lineRule="auto"/>
                    <w:ind w:left="0"/>
                    <w:rPr>
                      <w:rFonts w:ascii="Times New Roman" w:hAnsi="Times New Roman" w:cs="Times New Roman"/>
                      <w:color w:val="auto"/>
                    </w:rPr>
                  </w:pPr>
                  <w:r>
                    <w:rPr>
                      <w:rFonts w:hint="eastAsia" w:ascii="Times New Roman" w:hAnsi="Times New Roman" w:cs="Times New Roman"/>
                      <w:color w:val="auto"/>
                    </w:rPr>
                    <w:t>污水处理站周围有绿化防护带</w:t>
                  </w:r>
                </w:p>
              </w:tc>
              <w:tc>
                <w:tcPr>
                  <w:tcW w:w="981" w:type="dxa"/>
                  <w:tcBorders>
                    <w:bottom w:val="single" w:color="auto" w:sz="12" w:space="0"/>
                  </w:tcBorders>
                  <w:vAlign w:val="center"/>
                </w:tcPr>
                <w:p w14:paraId="01F562E5">
                  <w:pPr>
                    <w:pStyle w:val="34"/>
                    <w:snapToGrid w:val="0"/>
                    <w:spacing w:line="240" w:lineRule="auto"/>
                    <w:ind w:left="0"/>
                    <w:rPr>
                      <w:rFonts w:ascii="Times New Roman" w:hAnsi="Times New Roman" w:cs="Times New Roman"/>
                      <w:color w:val="auto"/>
                    </w:rPr>
                  </w:pPr>
                  <w:r>
                    <w:rPr>
                      <w:rFonts w:hint="eastAsia" w:ascii="Times New Roman" w:hAnsi="Times New Roman" w:cs="Times New Roman"/>
                      <w:color w:val="auto"/>
                    </w:rPr>
                    <w:t>符合</w:t>
                  </w:r>
                </w:p>
              </w:tc>
            </w:tr>
          </w:tbl>
          <w:p w14:paraId="0B37CA19">
            <w:pPr>
              <w:autoSpaceDE w:val="0"/>
              <w:autoSpaceDN w:val="0"/>
              <w:adjustRightInd w:val="0"/>
              <w:snapToGrid w:val="0"/>
              <w:spacing w:before="120" w:beforeLines="50" w:line="360" w:lineRule="auto"/>
              <w:ind w:firstLine="480" w:firstLineChars="200"/>
              <w:jc w:val="left"/>
              <w:rPr>
                <w:color w:val="auto"/>
                <w:sz w:val="24"/>
              </w:rPr>
            </w:pPr>
            <w:r>
              <w:rPr>
                <w:color w:val="auto"/>
                <w:sz w:val="24"/>
              </w:rPr>
              <w:t>从</w:t>
            </w:r>
            <w:r>
              <w:rPr>
                <w:rFonts w:hint="eastAsia"/>
                <w:color w:val="auto"/>
                <w:sz w:val="24"/>
              </w:rPr>
              <w:t>上表</w:t>
            </w:r>
            <w:r>
              <w:rPr>
                <w:color w:val="auto"/>
                <w:sz w:val="24"/>
              </w:rPr>
              <w:t>可见，项目医院污水处理站的布置基本符合</w:t>
            </w:r>
            <w:r>
              <w:rPr>
                <w:rFonts w:hint="eastAsia"/>
                <w:color w:val="auto"/>
                <w:sz w:val="24"/>
              </w:rPr>
              <w:t>《医疗机构污水处理工程技术标准》（GB51459-2024）</w:t>
            </w:r>
            <w:r>
              <w:rPr>
                <w:color w:val="auto"/>
                <w:sz w:val="24"/>
              </w:rPr>
              <w:t>、《医院污水处理技术指南》(环发[2003]197号)、《医疗污水处理工程技术规范》(HJ2009-2013)中相关要求。</w:t>
            </w:r>
          </w:p>
          <w:p w14:paraId="0BF14FFB">
            <w:pPr>
              <w:spacing w:before="24" w:after="24" w:line="360" w:lineRule="auto"/>
              <w:ind w:firstLine="482" w:firstLineChars="200"/>
              <w:rPr>
                <w:b/>
                <w:bCs/>
                <w:color w:val="auto"/>
                <w:sz w:val="24"/>
                <w:lang w:val="zh-CN"/>
              </w:rPr>
            </w:pPr>
            <w:r>
              <w:rPr>
                <w:rFonts w:hint="eastAsia"/>
                <w:b/>
                <w:bCs/>
                <w:color w:val="auto"/>
                <w:sz w:val="24"/>
                <w:lang w:val="en-US" w:eastAsia="zh-CN"/>
              </w:rPr>
              <w:t>③</w:t>
            </w:r>
            <w:r>
              <w:rPr>
                <w:b/>
                <w:bCs/>
                <w:color w:val="auto"/>
                <w:sz w:val="24"/>
                <w:lang w:val="zh-CN"/>
              </w:rPr>
              <w:t>医疗废物暂存间布置的合理性</w:t>
            </w:r>
          </w:p>
          <w:p w14:paraId="2FE35A0D">
            <w:pPr>
              <w:spacing w:before="24" w:after="24" w:line="360" w:lineRule="auto"/>
              <w:ind w:firstLine="480" w:firstLineChars="200"/>
              <w:rPr>
                <w:color w:val="auto"/>
                <w:sz w:val="24"/>
                <w:lang w:val="zh-CN"/>
              </w:rPr>
            </w:pPr>
            <w:r>
              <w:rPr>
                <w:color w:val="auto"/>
                <w:sz w:val="24"/>
                <w:lang w:val="zh-CN"/>
              </w:rPr>
              <w:t>根据</w:t>
            </w:r>
            <w:r>
              <w:rPr>
                <w:color w:val="auto"/>
                <w:sz w:val="24"/>
                <w:szCs w:val="24"/>
                <w:lang w:val="zh-CN"/>
              </w:rPr>
              <w:t>《医疗废物管理条例》、《医疗卫生机构医疗废物管理办法》、《医疗废物集中处置技术规范》</w:t>
            </w:r>
            <w:r>
              <w:rPr>
                <w:color w:val="auto"/>
                <w:sz w:val="24"/>
                <w:lang w:val="zh-CN"/>
              </w:rPr>
              <w:t>：医疗废物暂存场所应当与医疗区、食品加工区和人员活动区、生活垃圾存放场所等隔开，并设置明显的警示标识和防渗漏、防鼠、防蚊蝇、防蟑螂、防盗以及预防儿童接触等安全措施，方便医疗废物的装卸、装卸人员及运送车辆的出入。</w:t>
            </w:r>
          </w:p>
          <w:p w14:paraId="5561D4E4">
            <w:pPr>
              <w:spacing w:before="24" w:after="24" w:line="360" w:lineRule="auto"/>
              <w:ind w:firstLine="480" w:firstLineChars="200"/>
              <w:rPr>
                <w:color w:val="auto"/>
                <w:sz w:val="24"/>
                <w:lang w:val="zh-CN"/>
              </w:rPr>
            </w:pPr>
            <w:r>
              <w:rPr>
                <w:color w:val="auto"/>
                <w:sz w:val="24"/>
                <w:lang w:val="zh-CN"/>
              </w:rPr>
              <w:t>项目医疗废物暂存间位于</w:t>
            </w:r>
            <w:r>
              <w:rPr>
                <w:rFonts w:hint="eastAsia"/>
                <w:color w:val="auto"/>
                <w:sz w:val="24"/>
              </w:rPr>
              <w:t>项目西北角</w:t>
            </w:r>
            <w:r>
              <w:rPr>
                <w:color w:val="auto"/>
                <w:sz w:val="24"/>
                <w:lang w:val="zh-CN"/>
              </w:rPr>
              <w:t>，既与门诊科室、病房等保持了一定的距离，又方便医疗废物的装卸、装卸人员及运送车辆的出入，通过规范化设置和加强管理，可以避免医疗废物暂存过程中发生污染，因此，项目医疗废物暂存间的布置合理。</w:t>
            </w:r>
          </w:p>
          <w:p w14:paraId="61BF64C6">
            <w:pPr>
              <w:spacing w:before="24" w:after="24" w:line="360" w:lineRule="auto"/>
              <w:ind w:firstLine="480" w:firstLineChars="200"/>
              <w:rPr>
                <w:color w:val="auto"/>
                <w:sz w:val="24"/>
                <w:lang w:val="zh-CN"/>
              </w:rPr>
            </w:pPr>
            <w:r>
              <w:rPr>
                <w:rFonts w:hint="eastAsia"/>
                <w:color w:val="auto"/>
                <w:sz w:val="24"/>
                <w:lang w:val="en-US" w:eastAsia="zh-CN"/>
              </w:rPr>
              <w:t>④</w:t>
            </w:r>
            <w:r>
              <w:rPr>
                <w:b/>
                <w:bCs/>
                <w:color w:val="auto"/>
                <w:sz w:val="24"/>
                <w:lang w:val="zh-CN"/>
              </w:rPr>
              <w:t>设备噪声排放源布置的合理性</w:t>
            </w:r>
          </w:p>
          <w:p w14:paraId="4F608C62">
            <w:pPr>
              <w:spacing w:before="24" w:after="24" w:line="360" w:lineRule="auto"/>
              <w:ind w:firstLine="480" w:firstLineChars="200"/>
              <w:rPr>
                <w:color w:val="auto"/>
                <w:sz w:val="24"/>
                <w:lang w:val="zh-CN"/>
              </w:rPr>
            </w:pPr>
            <w:r>
              <w:rPr>
                <w:color w:val="auto"/>
                <w:sz w:val="24"/>
                <w:lang w:val="zh-CN"/>
              </w:rPr>
              <w:t>项目主要噪声设备为</w:t>
            </w:r>
            <w:r>
              <w:rPr>
                <w:rFonts w:hint="eastAsia"/>
                <w:color w:val="auto"/>
                <w:sz w:val="24"/>
                <w:lang w:val="en-US" w:eastAsia="zh-CN"/>
              </w:rPr>
              <w:t>风机</w:t>
            </w:r>
            <w:r>
              <w:rPr>
                <w:color w:val="auto"/>
                <w:sz w:val="24"/>
                <w:lang w:val="zh-CN"/>
              </w:rPr>
              <w:t>、</w:t>
            </w:r>
            <w:r>
              <w:rPr>
                <w:rFonts w:hint="eastAsia"/>
                <w:color w:val="auto"/>
                <w:sz w:val="24"/>
                <w:lang w:val="en-US" w:eastAsia="zh-CN"/>
              </w:rPr>
              <w:t>配电设备、</w:t>
            </w:r>
            <w:r>
              <w:rPr>
                <w:color w:val="auto"/>
                <w:sz w:val="24"/>
                <w:lang w:val="zh-CN"/>
              </w:rPr>
              <w:t>污水处理站的污水泵</w:t>
            </w:r>
            <w:r>
              <w:rPr>
                <w:rFonts w:hint="eastAsia"/>
                <w:color w:val="auto"/>
                <w:sz w:val="24"/>
                <w:lang w:val="en-US" w:eastAsia="zh-CN"/>
              </w:rPr>
              <w:t>及洗衣机</w:t>
            </w:r>
            <w:r>
              <w:rPr>
                <w:color w:val="auto"/>
                <w:sz w:val="24"/>
                <w:lang w:val="zh-CN"/>
              </w:rPr>
              <w:t>等。</w:t>
            </w:r>
            <w:r>
              <w:rPr>
                <w:rFonts w:hint="eastAsia"/>
                <w:color w:val="auto"/>
                <w:sz w:val="24"/>
                <w:lang w:val="en-US" w:eastAsia="zh-CN"/>
              </w:rPr>
              <w:t>风机位于医技楼内的食堂内</w:t>
            </w:r>
            <w:r>
              <w:rPr>
                <w:color w:val="auto"/>
                <w:sz w:val="24"/>
                <w:lang w:val="zh-CN"/>
              </w:rPr>
              <w:t>；</w:t>
            </w:r>
            <w:r>
              <w:rPr>
                <w:rFonts w:hint="eastAsia"/>
                <w:color w:val="auto"/>
                <w:sz w:val="24"/>
                <w:lang w:val="en-US" w:eastAsia="zh-CN"/>
              </w:rPr>
              <w:t>配电室和洗衣房均位于门诊综合大楼内，</w:t>
            </w:r>
            <w:r>
              <w:rPr>
                <w:color w:val="auto"/>
                <w:sz w:val="24"/>
                <w:lang w:val="zh-CN"/>
              </w:rPr>
              <w:t>污水泵</w:t>
            </w:r>
            <w:r>
              <w:rPr>
                <w:rFonts w:hint="eastAsia"/>
                <w:color w:val="auto"/>
                <w:sz w:val="24"/>
              </w:rPr>
              <w:t>等设备放置在水处理设备间，</w:t>
            </w:r>
            <w:r>
              <w:rPr>
                <w:color w:val="auto"/>
                <w:sz w:val="24"/>
                <w:lang w:val="zh-CN"/>
              </w:rPr>
              <w:t>水处理</w:t>
            </w:r>
            <w:r>
              <w:rPr>
                <w:rFonts w:hint="eastAsia"/>
                <w:color w:val="auto"/>
                <w:sz w:val="24"/>
                <w:lang w:val="en-US" w:eastAsia="zh-CN"/>
              </w:rPr>
              <w:t>设备间</w:t>
            </w:r>
            <w:r>
              <w:rPr>
                <w:color w:val="auto"/>
                <w:sz w:val="24"/>
                <w:lang w:val="zh-CN"/>
              </w:rPr>
              <w:t>位于</w:t>
            </w:r>
            <w:r>
              <w:rPr>
                <w:rFonts w:hint="eastAsia"/>
                <w:color w:val="auto"/>
                <w:sz w:val="24"/>
                <w:lang w:val="en-US" w:eastAsia="zh-CN"/>
              </w:rPr>
              <w:t>计免</w:t>
            </w:r>
            <w:r>
              <w:rPr>
                <w:color w:val="auto"/>
                <w:sz w:val="24"/>
                <w:lang w:val="zh-CN"/>
              </w:rPr>
              <w:t>门诊入口处的楼梯下方，该设施拥有独立的封闭空间，设有围墙进行隔离。</w:t>
            </w:r>
            <w:r>
              <w:rPr>
                <w:rFonts w:hint="eastAsia"/>
                <w:color w:val="auto"/>
                <w:sz w:val="24"/>
                <w:lang w:val="en-US" w:eastAsia="zh-CN"/>
              </w:rPr>
              <w:t>根据第四章噪声章节可知，经过预测该项目运行后能够满足声环境质量标准中的要求，</w:t>
            </w:r>
            <w:r>
              <w:rPr>
                <w:color w:val="auto"/>
                <w:sz w:val="24"/>
                <w:lang w:val="zh-CN"/>
              </w:rPr>
              <w:t>在落实隔声、降噪的措施后，项目设备噪声对项目室内声环境及邻近居民的影响</w:t>
            </w:r>
            <w:r>
              <w:rPr>
                <w:rFonts w:hint="eastAsia"/>
                <w:color w:val="auto"/>
                <w:sz w:val="24"/>
              </w:rPr>
              <w:t>较</w:t>
            </w:r>
            <w:r>
              <w:rPr>
                <w:color w:val="auto"/>
                <w:sz w:val="24"/>
                <w:lang w:val="zh-CN"/>
              </w:rPr>
              <w:t>小，项目设备噪声排放源布置基本合理。</w:t>
            </w:r>
          </w:p>
          <w:p w14:paraId="0621CC7B">
            <w:pPr>
              <w:spacing w:before="24" w:after="24" w:line="360" w:lineRule="auto"/>
              <w:ind w:firstLine="482" w:firstLineChars="200"/>
              <w:rPr>
                <w:color w:val="auto"/>
                <w:sz w:val="24"/>
                <w:lang w:val="zh-CN"/>
              </w:rPr>
            </w:pPr>
            <w:r>
              <w:rPr>
                <w:rFonts w:hint="eastAsia"/>
                <w:b/>
                <w:bCs/>
                <w:color w:val="auto"/>
                <w:sz w:val="24"/>
                <w:lang w:val="en-US" w:eastAsia="zh-CN"/>
              </w:rPr>
              <w:t>⑤</w:t>
            </w:r>
            <w:r>
              <w:rPr>
                <w:b/>
                <w:bCs/>
                <w:color w:val="auto"/>
                <w:sz w:val="24"/>
                <w:lang w:val="zh-CN"/>
              </w:rPr>
              <w:t>废气排放源布置的合理性</w:t>
            </w:r>
          </w:p>
          <w:p w14:paraId="10F92DBC">
            <w:pPr>
              <w:pStyle w:val="11"/>
              <w:spacing w:line="360" w:lineRule="auto"/>
              <w:ind w:firstLine="480" w:firstLineChars="200"/>
              <w:rPr>
                <w:color w:val="auto"/>
                <w:sz w:val="24"/>
                <w:lang w:val="zh-CN"/>
              </w:rPr>
            </w:pPr>
            <w:r>
              <w:rPr>
                <w:rFonts w:hint="eastAsia" w:ascii="Times New Roman" w:hAnsi="Times New Roman" w:eastAsia="宋体" w:cs="Times New Roman"/>
                <w:color w:val="auto"/>
                <w:kern w:val="2"/>
                <w:sz w:val="24"/>
                <w:szCs w:val="24"/>
                <w:lang w:val="en-US" w:eastAsia="zh-CN" w:bidi="ar-SA"/>
              </w:rPr>
              <w:t>本项目污水处理站采用一体化地埋式设备，并在周边布置了绿化带，能有效减少污水处理站恶臭对周围大气环境的影响。</w:t>
            </w:r>
          </w:p>
          <w:p w14:paraId="279E9603">
            <w:pPr>
              <w:spacing w:before="24" w:after="24" w:line="360" w:lineRule="auto"/>
              <w:ind w:firstLine="480" w:firstLineChars="200"/>
              <w:rPr>
                <w:rFonts w:hint="eastAsia"/>
                <w:bCs/>
                <w:color w:val="auto"/>
                <w:szCs w:val="21"/>
              </w:rPr>
            </w:pPr>
            <w:r>
              <w:rPr>
                <w:rFonts w:hint="eastAsia"/>
                <w:color w:val="auto"/>
                <w:sz w:val="24"/>
              </w:rPr>
              <w:t>综上所述，项目建筑布局紧凑，交通便捷，管理方便；对废弃物的处理作出妥善的安排，符合有关环境保护法令、法规规定的医院污水处理站、医疗废物暂存间等环保设施的要求，布局基本合理。</w:t>
            </w:r>
          </w:p>
        </w:tc>
      </w:tr>
      <w:tr w14:paraId="354027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45" w:type="dxa"/>
            <w:vAlign w:val="center"/>
          </w:tcPr>
          <w:p w14:paraId="3D44984D">
            <w:pPr>
              <w:pStyle w:val="16"/>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工艺流程和产排污环节</w:t>
            </w:r>
          </w:p>
        </w:tc>
        <w:tc>
          <w:tcPr>
            <w:tcW w:w="8615" w:type="dxa"/>
          </w:tcPr>
          <w:p w14:paraId="5C948A24">
            <w:pPr>
              <w:numPr>
                <w:ilvl w:val="0"/>
                <w:numId w:val="6"/>
              </w:numPr>
              <w:spacing w:line="360" w:lineRule="auto"/>
              <w:ind w:firstLine="482"/>
              <w:rPr>
                <w:rFonts w:hint="default" w:ascii="Times New Roman" w:hAnsi="Times New Roman" w:cs="Times New Roman"/>
                <w:b/>
                <w:bCs/>
                <w:color w:val="auto"/>
                <w:sz w:val="24"/>
              </w:rPr>
            </w:pPr>
            <w:r>
              <w:rPr>
                <w:rFonts w:hint="default" w:ascii="Times New Roman" w:hAnsi="Times New Roman" w:cs="Times New Roman"/>
                <w:b/>
                <w:bCs/>
                <w:color w:val="auto"/>
                <w:sz w:val="24"/>
              </w:rPr>
              <w:t>施工期</w:t>
            </w:r>
          </w:p>
          <w:p w14:paraId="213169A6">
            <w:pPr>
              <w:spacing w:line="360" w:lineRule="auto"/>
              <w:ind w:firstLine="482"/>
              <w:rPr>
                <w:rFonts w:hint="default" w:ascii="Times New Roman" w:hAnsi="Times New Roman" w:eastAsia="宋体" w:cs="Times New Roman"/>
                <w:color w:val="auto"/>
                <w:sz w:val="24"/>
                <w:lang w:val="en-US" w:eastAsia="zh-CN"/>
              </w:rPr>
            </w:pPr>
            <w:r>
              <w:rPr>
                <w:rFonts w:ascii="宋体" w:hAnsi="宋体" w:eastAsia="宋体" w:cs="宋体"/>
                <w:color w:val="auto"/>
                <w:sz w:val="24"/>
                <w:szCs w:val="24"/>
              </w:rPr>
              <w:t>本项目</w:t>
            </w:r>
            <w:r>
              <w:rPr>
                <w:rFonts w:hint="eastAsia" w:ascii="宋体" w:hAnsi="宋体" w:eastAsia="宋体" w:cs="宋体"/>
                <w:color w:val="auto"/>
                <w:sz w:val="24"/>
                <w:szCs w:val="24"/>
                <w:lang w:val="en-US" w:eastAsia="zh-CN"/>
              </w:rPr>
              <w:t>为</w:t>
            </w:r>
            <w:r>
              <w:rPr>
                <w:rFonts w:hint="eastAsia" w:ascii="宋体" w:hAnsi="宋体" w:cs="宋体"/>
                <w:color w:val="auto"/>
                <w:sz w:val="24"/>
                <w:szCs w:val="24"/>
                <w:lang w:val="en-US" w:eastAsia="zh-CN"/>
              </w:rPr>
              <w:t>提升改造工程</w:t>
            </w:r>
            <w:r>
              <w:rPr>
                <w:rFonts w:ascii="宋体" w:hAnsi="宋体" w:eastAsia="宋体" w:cs="宋体"/>
                <w:color w:val="auto"/>
                <w:sz w:val="24"/>
                <w:szCs w:val="24"/>
              </w:rPr>
              <w:t>。</w:t>
            </w:r>
            <w:r>
              <w:rPr>
                <w:rFonts w:hint="eastAsia" w:ascii="宋体" w:hAnsi="宋体" w:cs="宋体"/>
                <w:color w:val="auto"/>
                <w:sz w:val="24"/>
                <w:szCs w:val="24"/>
                <w:lang w:val="en-US" w:eastAsia="zh-CN"/>
              </w:rPr>
              <w:t>本项目施工期主要为对场地进行硬化，翻新改造</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建设医疗废物暂存间及污水处理站等。施工期对环境的影响主要有施工扬尘、施工废水、固体废物、施工噪声对环境的影响。</w:t>
            </w:r>
            <w:r>
              <w:rPr>
                <w:rFonts w:hint="eastAsia" w:cs="Times New Roman"/>
                <w:color w:val="auto"/>
                <w:sz w:val="24"/>
                <w:lang w:val="en-US" w:eastAsia="zh-CN"/>
              </w:rPr>
              <w:t>施工期工艺流程及产污环节如下图所示。</w:t>
            </w:r>
          </w:p>
          <w:p w14:paraId="58C374FF">
            <w:pPr>
              <w:pStyle w:val="8"/>
              <w:ind w:left="0" w:leftChars="0" w:firstLine="0" w:firstLineChars="0"/>
              <w:jc w:val="both"/>
              <w:rPr>
                <w:color w:val="auto"/>
              </w:rPr>
            </w:pPr>
            <w:r>
              <w:rPr>
                <w:rFonts w:hint="eastAsia"/>
                <w:color w:val="auto"/>
                <w:lang w:val="en-US" w:eastAsia="zh-CN"/>
              </w:rPr>
              <w:t xml:space="preserve">  </w:t>
            </w:r>
            <w:r>
              <w:rPr>
                <w:color w:val="auto"/>
              </w:rPr>
              <w:drawing>
                <wp:inline distT="0" distB="0" distL="114300" distR="114300">
                  <wp:extent cx="4824730" cy="2173605"/>
                  <wp:effectExtent l="0" t="0" r="13970" b="17145"/>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10"/>
                          <a:stretch>
                            <a:fillRect/>
                          </a:stretch>
                        </pic:blipFill>
                        <pic:spPr>
                          <a:xfrm>
                            <a:off x="0" y="0"/>
                            <a:ext cx="4824730" cy="2173605"/>
                          </a:xfrm>
                          <a:prstGeom prst="rect">
                            <a:avLst/>
                          </a:prstGeom>
                          <a:noFill/>
                          <a:ln>
                            <a:noFill/>
                          </a:ln>
                        </pic:spPr>
                      </pic:pic>
                    </a:graphicData>
                  </a:graphic>
                </wp:inline>
              </w:drawing>
            </w:r>
          </w:p>
          <w:p w14:paraId="201EFC28">
            <w:pPr>
              <w:pStyle w:val="1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图2-2</w:t>
            </w:r>
            <w:r>
              <w:rPr>
                <w:rFonts w:hint="eastAsia" w:ascii="Times New Roman" w:hAnsi="Times New Roman" w:eastAsia="宋体" w:cs="Times New Roman"/>
                <w:b/>
                <w:color w:val="auto"/>
                <w:kern w:val="2"/>
                <w:sz w:val="21"/>
                <w:szCs w:val="21"/>
                <w:lang w:val="en-US" w:eastAsia="zh-CN" w:bidi="ar-SA"/>
              </w:rPr>
              <w:t xml:space="preserve">  施工期工艺流程及产污图</w:t>
            </w:r>
          </w:p>
          <w:p w14:paraId="6032C1CA">
            <w:pPr>
              <w:spacing w:line="360" w:lineRule="auto"/>
              <w:ind w:firstLine="482"/>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（1）废气：主要是施工过程中产生的扬尘和施工过程运输车辆汽车尾气。</w:t>
            </w:r>
          </w:p>
          <w:p w14:paraId="467AC5DF">
            <w:pPr>
              <w:spacing w:line="360" w:lineRule="auto"/>
              <w:ind w:firstLine="482"/>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（2）废水：主要来自于施工人员的生活污水，无生产废水。</w:t>
            </w:r>
          </w:p>
          <w:p w14:paraId="23C21254">
            <w:pPr>
              <w:spacing w:line="360" w:lineRule="auto"/>
              <w:ind w:firstLine="482"/>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（3）噪声：主要是施工过程各种施工机械噪声、施工作业噪声和运输车辆噪声等。</w:t>
            </w:r>
          </w:p>
          <w:p w14:paraId="2F6E4486">
            <w:pPr>
              <w:spacing w:line="360" w:lineRule="auto"/>
              <w:ind w:firstLine="482"/>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（4）固废：主要来自于施工过程产生的建筑垃圾以及施工人员的生活垃圾。</w:t>
            </w:r>
          </w:p>
          <w:p w14:paraId="0FD967D8">
            <w:pPr>
              <w:spacing w:line="360" w:lineRule="auto"/>
              <w:ind w:firstLine="494" w:firstLineChars="200"/>
              <w:rPr>
                <w:b/>
                <w:color w:val="auto"/>
                <w:spacing w:val="3"/>
                <w:sz w:val="24"/>
              </w:rPr>
            </w:pPr>
            <w:r>
              <w:rPr>
                <w:b/>
                <w:color w:val="auto"/>
                <w:spacing w:val="3"/>
                <w:sz w:val="24"/>
              </w:rPr>
              <w:t>2、营运期</w:t>
            </w:r>
          </w:p>
          <w:p w14:paraId="02EB8847">
            <w:pPr>
              <w:spacing w:line="360" w:lineRule="auto"/>
              <w:ind w:firstLine="420" w:firstLineChars="200"/>
              <w:jc w:val="center"/>
              <w:rPr>
                <w:b/>
                <w:color w:val="auto"/>
                <w:spacing w:val="3"/>
                <w:sz w:val="24"/>
              </w:rPr>
            </w:pPr>
            <w:r>
              <w:rPr>
                <w:color w:val="auto"/>
              </w:rPr>
              <w:drawing>
                <wp:inline distT="0" distB="0" distL="114300" distR="114300">
                  <wp:extent cx="3184525" cy="3609975"/>
                  <wp:effectExtent l="0" t="0" r="15875" b="952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1"/>
                          <a:stretch>
                            <a:fillRect/>
                          </a:stretch>
                        </pic:blipFill>
                        <pic:spPr>
                          <a:xfrm>
                            <a:off x="0" y="0"/>
                            <a:ext cx="3184525" cy="3609975"/>
                          </a:xfrm>
                          <a:prstGeom prst="rect">
                            <a:avLst/>
                          </a:prstGeom>
                          <a:noFill/>
                          <a:ln>
                            <a:noFill/>
                          </a:ln>
                        </pic:spPr>
                      </pic:pic>
                    </a:graphicData>
                  </a:graphic>
                </wp:inline>
              </w:drawing>
            </w:r>
          </w:p>
          <w:p w14:paraId="2A7A324B">
            <w:pPr>
              <w:adjustRightInd w:val="0"/>
              <w:snapToGrid w:val="0"/>
              <w:spacing w:line="360" w:lineRule="auto"/>
              <w:ind w:firstLine="422" w:firstLineChars="200"/>
              <w:jc w:val="center"/>
              <w:rPr>
                <w:b/>
                <w:color w:val="auto"/>
                <w:szCs w:val="21"/>
              </w:rPr>
            </w:pPr>
            <w:r>
              <w:rPr>
                <w:rFonts w:hint="eastAsia"/>
                <w:b/>
                <w:color w:val="auto"/>
                <w:szCs w:val="21"/>
              </w:rPr>
              <w:t>图2-</w:t>
            </w:r>
            <w:r>
              <w:rPr>
                <w:rFonts w:hint="eastAsia"/>
                <w:b/>
                <w:color w:val="auto"/>
                <w:szCs w:val="21"/>
                <w:lang w:val="en-US" w:eastAsia="zh-CN"/>
              </w:rPr>
              <w:t>3</w:t>
            </w:r>
            <w:r>
              <w:rPr>
                <w:b/>
                <w:color w:val="auto"/>
                <w:szCs w:val="21"/>
              </w:rPr>
              <w:t xml:space="preserve">  </w:t>
            </w:r>
            <w:r>
              <w:rPr>
                <w:rFonts w:hint="eastAsia"/>
                <w:b/>
                <w:color w:val="auto"/>
                <w:szCs w:val="21"/>
              </w:rPr>
              <w:t>医院就医流程图</w:t>
            </w:r>
          </w:p>
          <w:p w14:paraId="7374B06E">
            <w:pPr>
              <w:pStyle w:val="25"/>
              <w:spacing w:line="360" w:lineRule="auto"/>
              <w:ind w:firstLine="560"/>
              <w:rPr>
                <w:rFonts w:hint="eastAsia" w:ascii="Times New Roman" w:eastAsia="宋体"/>
                <w:bCs/>
                <w:color w:val="auto"/>
                <w:sz w:val="22"/>
                <w:szCs w:val="22"/>
                <w:lang w:val="en-US" w:eastAsia="zh-CN"/>
              </w:rPr>
            </w:pPr>
            <w:r>
              <w:rPr>
                <w:rFonts w:hint="eastAsia" w:ascii="Times New Roman"/>
                <w:b/>
                <w:bCs w:val="0"/>
                <w:color w:val="auto"/>
                <w:sz w:val="22"/>
                <w:szCs w:val="22"/>
                <w:lang w:val="en-US" w:eastAsia="zh-CN"/>
              </w:rPr>
              <w:t>注：</w:t>
            </w:r>
            <w:r>
              <w:rPr>
                <w:rFonts w:hint="eastAsia"/>
                <w:b/>
                <w:bCs w:val="0"/>
                <w:color w:val="auto"/>
                <w:sz w:val="22"/>
                <w:szCs w:val="22"/>
              </w:rPr>
              <w:t>本项目不设传染病病房，当门诊接收到传染病人后立即转送当地传染病医院。</w:t>
            </w:r>
          </w:p>
          <w:p w14:paraId="3E0F5D22">
            <w:pPr>
              <w:pStyle w:val="25"/>
              <w:spacing w:line="360" w:lineRule="auto"/>
              <w:ind w:firstLine="560"/>
              <w:rPr>
                <w:rFonts w:ascii="Times New Roman"/>
                <w:bCs/>
                <w:color w:val="auto"/>
              </w:rPr>
            </w:pPr>
            <w:r>
              <w:rPr>
                <w:rFonts w:hint="eastAsia" w:ascii="Times New Roman"/>
                <w:bCs/>
                <w:color w:val="auto"/>
              </w:rPr>
              <w:t>患者就医流程为：根据病况分挂不同诊室诊号之后，根据挂号所得信息到各科门诊科室就诊，根据医生的诊断结果和医生建议可选择以下治疗方法：直接缴费取药或进行简单治疗后离开；缴费住院治疗，缴费后进行进一步检查，由医生根据检查结果向患者提出治疗意见。</w:t>
            </w:r>
          </w:p>
          <w:p w14:paraId="702BE0B0">
            <w:pPr>
              <w:spacing w:line="360" w:lineRule="auto"/>
              <w:ind w:firstLine="480" w:firstLineChars="200"/>
              <w:rPr>
                <w:color w:val="auto"/>
                <w:sz w:val="24"/>
              </w:rPr>
            </w:pPr>
            <w:r>
              <w:rPr>
                <w:rFonts w:hint="eastAsia"/>
                <w:color w:val="auto"/>
                <w:sz w:val="24"/>
              </w:rPr>
              <w:t>项目运营期间产生污染物主要为废水、废气、噪声和固体废物。</w:t>
            </w:r>
          </w:p>
          <w:p w14:paraId="5709BBCA">
            <w:pPr>
              <w:spacing w:line="360" w:lineRule="auto"/>
              <w:ind w:firstLine="480" w:firstLineChars="200"/>
              <w:rPr>
                <w:color w:val="auto"/>
                <w:sz w:val="24"/>
              </w:rPr>
            </w:pPr>
            <w:r>
              <w:rPr>
                <w:rFonts w:hint="eastAsia"/>
                <w:color w:val="auto"/>
                <w:sz w:val="24"/>
              </w:rPr>
              <w:t>废气：主要为医院消毒、污水处理站、</w:t>
            </w:r>
            <w:r>
              <w:rPr>
                <w:rFonts w:hint="eastAsia"/>
                <w:color w:val="auto"/>
                <w:sz w:val="24"/>
                <w:lang w:val="en-US" w:eastAsia="zh-CN"/>
              </w:rPr>
              <w:t>中医药煎煮</w:t>
            </w:r>
            <w:r>
              <w:rPr>
                <w:rFonts w:hint="eastAsia"/>
                <w:color w:val="auto"/>
                <w:sz w:val="24"/>
              </w:rPr>
              <w:t>等产生的异味，食堂油烟等。</w:t>
            </w:r>
          </w:p>
          <w:p w14:paraId="11FCBF09">
            <w:pPr>
              <w:spacing w:line="360" w:lineRule="auto"/>
              <w:ind w:firstLine="480" w:firstLineChars="200"/>
              <w:rPr>
                <w:color w:val="auto"/>
                <w:sz w:val="24"/>
              </w:rPr>
            </w:pPr>
            <w:r>
              <w:rPr>
                <w:rFonts w:hint="eastAsia"/>
                <w:color w:val="auto"/>
                <w:sz w:val="24"/>
              </w:rPr>
              <w:t>废水：主要为门诊</w:t>
            </w:r>
            <w:r>
              <w:rPr>
                <w:rFonts w:hint="eastAsia"/>
                <w:color w:val="auto"/>
                <w:sz w:val="24"/>
                <w:lang w:val="en-US" w:eastAsia="zh-CN"/>
              </w:rPr>
              <w:t>检验废水</w:t>
            </w:r>
            <w:r>
              <w:rPr>
                <w:rFonts w:hint="eastAsia"/>
                <w:color w:val="auto"/>
                <w:sz w:val="24"/>
              </w:rPr>
              <w:t>、医护人员办公、住院病床、陪护人员、病床品洗涤、</w:t>
            </w:r>
            <w:r>
              <w:rPr>
                <w:rFonts w:hint="eastAsia"/>
                <w:color w:val="auto"/>
                <w:sz w:val="24"/>
                <w:lang w:val="en-US" w:eastAsia="zh-CN"/>
              </w:rPr>
              <w:t>行政人员用水</w:t>
            </w:r>
            <w:r>
              <w:rPr>
                <w:rFonts w:hint="eastAsia"/>
                <w:color w:val="auto"/>
                <w:sz w:val="24"/>
              </w:rPr>
              <w:t>、食堂废水、煎药废水等。</w:t>
            </w:r>
          </w:p>
          <w:p w14:paraId="4F76C036">
            <w:pPr>
              <w:spacing w:line="360" w:lineRule="auto"/>
              <w:ind w:firstLine="480" w:firstLineChars="200"/>
              <w:rPr>
                <w:color w:val="auto"/>
                <w:sz w:val="24"/>
              </w:rPr>
            </w:pPr>
            <w:r>
              <w:rPr>
                <w:rFonts w:hint="eastAsia"/>
                <w:color w:val="auto"/>
                <w:sz w:val="24"/>
              </w:rPr>
              <w:t>噪声：主要为</w:t>
            </w:r>
            <w:r>
              <w:rPr>
                <w:rFonts w:hint="eastAsia"/>
                <w:color w:val="auto"/>
                <w:sz w:val="24"/>
                <w:lang w:val="en-US" w:eastAsia="zh-CN"/>
              </w:rPr>
              <w:t>风机噪声、</w:t>
            </w:r>
            <w:r>
              <w:rPr>
                <w:rFonts w:hint="eastAsia"/>
                <w:color w:val="auto"/>
                <w:sz w:val="24"/>
              </w:rPr>
              <w:t>污水处理站水泵风机噪声等；</w:t>
            </w:r>
          </w:p>
          <w:p w14:paraId="6D171FAA">
            <w:pPr>
              <w:spacing w:line="360" w:lineRule="auto"/>
              <w:ind w:firstLine="480" w:firstLineChars="200"/>
              <w:rPr>
                <w:color w:val="auto"/>
                <w:sz w:val="24"/>
              </w:rPr>
            </w:pPr>
            <w:r>
              <w:rPr>
                <w:rFonts w:hint="eastAsia"/>
                <w:color w:val="auto"/>
                <w:sz w:val="24"/>
              </w:rPr>
              <w:t>固废：项目固废主要为生活垃圾、</w:t>
            </w:r>
            <w:r>
              <w:rPr>
                <w:rFonts w:hint="eastAsia"/>
                <w:color w:val="auto"/>
                <w:sz w:val="24"/>
                <w:lang w:val="en-US" w:eastAsia="zh-CN"/>
              </w:rPr>
              <w:t>未污染的</w:t>
            </w:r>
            <w:r>
              <w:rPr>
                <w:rFonts w:hint="eastAsia"/>
                <w:color w:val="auto"/>
                <w:sz w:val="24"/>
              </w:rPr>
              <w:t>输液瓶袋、药品包装盒、医疗废物、污水处理污泥、废紫外线灯管</w:t>
            </w:r>
            <w:r>
              <w:rPr>
                <w:rFonts w:hint="eastAsia"/>
                <w:color w:val="auto"/>
                <w:sz w:val="24"/>
                <w:lang w:eastAsia="zh-CN"/>
              </w:rPr>
              <w:t>、</w:t>
            </w:r>
            <w:r>
              <w:rPr>
                <w:rFonts w:hint="eastAsia"/>
                <w:color w:val="auto"/>
                <w:sz w:val="24"/>
                <w:lang w:val="en-US" w:eastAsia="zh-CN"/>
              </w:rPr>
              <w:t>废MBR膜、废中药渣</w:t>
            </w:r>
            <w:r>
              <w:rPr>
                <w:rFonts w:hint="eastAsia"/>
                <w:color w:val="auto"/>
                <w:sz w:val="24"/>
              </w:rPr>
              <w:t>等。</w:t>
            </w:r>
          </w:p>
          <w:p w14:paraId="4628BA88">
            <w:pPr>
              <w:pStyle w:val="30"/>
              <w:tabs>
                <w:tab w:val="left" w:pos="2894"/>
                <w:tab w:val="left" w:pos="4580"/>
              </w:tabs>
              <w:adjustRightInd w:val="0"/>
              <w:snapToGrid w:val="0"/>
              <w:spacing w:line="360" w:lineRule="auto"/>
              <w:jc w:val="center"/>
              <w:rPr>
                <w:b/>
                <w:color w:val="auto"/>
                <w:szCs w:val="21"/>
                <w:lang w:val="zh-CN"/>
              </w:rPr>
            </w:pPr>
            <w:r>
              <w:rPr>
                <w:rFonts w:hint="eastAsia"/>
                <w:b/>
                <w:color w:val="auto"/>
                <w:szCs w:val="21"/>
                <w:lang w:val="zh-CN"/>
              </w:rPr>
              <w:t>表</w:t>
            </w:r>
            <w:r>
              <w:rPr>
                <w:rFonts w:hint="eastAsia"/>
                <w:b/>
                <w:color w:val="auto"/>
                <w:szCs w:val="21"/>
              </w:rPr>
              <w:t>2-</w:t>
            </w:r>
            <w:r>
              <w:rPr>
                <w:rFonts w:hint="eastAsia"/>
                <w:b/>
                <w:color w:val="auto"/>
                <w:szCs w:val="21"/>
                <w:lang w:val="en-US" w:eastAsia="zh-CN"/>
              </w:rPr>
              <w:t>7</w:t>
            </w:r>
            <w:r>
              <w:rPr>
                <w:rFonts w:hint="eastAsia"/>
                <w:b/>
                <w:color w:val="auto"/>
                <w:szCs w:val="21"/>
              </w:rPr>
              <w:t xml:space="preserve">  </w:t>
            </w:r>
            <w:r>
              <w:rPr>
                <w:rFonts w:hint="eastAsia"/>
                <w:b/>
                <w:color w:val="auto"/>
                <w:szCs w:val="21"/>
                <w:lang w:val="zh-CN"/>
              </w:rPr>
              <w:t>污染物种类、来源、排放方式一览表</w:t>
            </w:r>
          </w:p>
          <w:tbl>
            <w:tblPr>
              <w:tblStyle w:val="17"/>
              <w:tblW w:w="0" w:type="auto"/>
              <w:jc w:val="center"/>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1"/>
              <w:gridCol w:w="971"/>
              <w:gridCol w:w="2222"/>
              <w:gridCol w:w="3669"/>
              <w:gridCol w:w="1069"/>
            </w:tblGrid>
            <w:tr w14:paraId="5BF9E304">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352" w:type="dxa"/>
                  <w:gridSpan w:val="2"/>
                  <w:tcBorders>
                    <w:top w:val="single" w:color="auto" w:sz="12" w:space="0"/>
                    <w:left w:val="nil"/>
                  </w:tcBorders>
                  <w:vAlign w:val="center"/>
                </w:tcPr>
                <w:p w14:paraId="7CDD2AB8">
                  <w:pPr>
                    <w:jc w:val="center"/>
                    <w:rPr>
                      <w:b/>
                      <w:color w:val="auto"/>
                      <w:kern w:val="0"/>
                      <w:sz w:val="21"/>
                      <w:szCs w:val="21"/>
                    </w:rPr>
                  </w:pPr>
                  <w:r>
                    <w:rPr>
                      <w:b/>
                      <w:color w:val="auto"/>
                      <w:kern w:val="0"/>
                      <w:sz w:val="21"/>
                      <w:szCs w:val="21"/>
                    </w:rPr>
                    <w:t>污染物种类</w:t>
                  </w:r>
                </w:p>
              </w:tc>
              <w:tc>
                <w:tcPr>
                  <w:tcW w:w="2222" w:type="dxa"/>
                  <w:tcBorders>
                    <w:top w:val="single" w:color="auto" w:sz="12" w:space="0"/>
                  </w:tcBorders>
                  <w:vAlign w:val="center"/>
                </w:tcPr>
                <w:p w14:paraId="4D6FD902">
                  <w:pPr>
                    <w:jc w:val="center"/>
                    <w:rPr>
                      <w:b/>
                      <w:color w:val="auto"/>
                      <w:kern w:val="0"/>
                      <w:sz w:val="21"/>
                      <w:szCs w:val="21"/>
                    </w:rPr>
                  </w:pPr>
                  <w:r>
                    <w:rPr>
                      <w:b/>
                      <w:color w:val="auto"/>
                      <w:kern w:val="0"/>
                      <w:sz w:val="21"/>
                      <w:szCs w:val="21"/>
                    </w:rPr>
                    <w:t>来源</w:t>
                  </w:r>
                </w:p>
              </w:tc>
              <w:tc>
                <w:tcPr>
                  <w:tcW w:w="3669" w:type="dxa"/>
                  <w:tcBorders>
                    <w:top w:val="single" w:color="auto" w:sz="12" w:space="0"/>
                  </w:tcBorders>
                  <w:vAlign w:val="center"/>
                </w:tcPr>
                <w:p w14:paraId="6250D9A7">
                  <w:pPr>
                    <w:jc w:val="center"/>
                    <w:rPr>
                      <w:b/>
                      <w:color w:val="auto"/>
                      <w:kern w:val="0"/>
                      <w:sz w:val="21"/>
                      <w:szCs w:val="21"/>
                    </w:rPr>
                  </w:pPr>
                  <w:r>
                    <w:rPr>
                      <w:rFonts w:hint="eastAsia"/>
                      <w:b/>
                      <w:color w:val="auto"/>
                      <w:kern w:val="0"/>
                      <w:sz w:val="21"/>
                      <w:szCs w:val="21"/>
                      <w:lang w:val="en-US" w:eastAsia="zh-CN"/>
                    </w:rPr>
                    <w:t>主要</w:t>
                  </w:r>
                  <w:r>
                    <w:rPr>
                      <w:b/>
                      <w:color w:val="auto"/>
                      <w:kern w:val="0"/>
                      <w:sz w:val="21"/>
                      <w:szCs w:val="21"/>
                    </w:rPr>
                    <w:t>污染物名称</w:t>
                  </w:r>
                </w:p>
              </w:tc>
              <w:tc>
                <w:tcPr>
                  <w:tcW w:w="1069" w:type="dxa"/>
                  <w:tcBorders>
                    <w:top w:val="single" w:color="auto" w:sz="12" w:space="0"/>
                    <w:right w:val="nil"/>
                  </w:tcBorders>
                  <w:vAlign w:val="center"/>
                </w:tcPr>
                <w:p w14:paraId="35AB0DCE">
                  <w:pPr>
                    <w:jc w:val="center"/>
                    <w:rPr>
                      <w:b/>
                      <w:color w:val="auto"/>
                      <w:kern w:val="0"/>
                      <w:sz w:val="21"/>
                      <w:szCs w:val="21"/>
                    </w:rPr>
                  </w:pPr>
                  <w:r>
                    <w:rPr>
                      <w:b/>
                      <w:color w:val="auto"/>
                      <w:kern w:val="0"/>
                      <w:sz w:val="21"/>
                      <w:szCs w:val="21"/>
                    </w:rPr>
                    <w:t>排放方式</w:t>
                  </w:r>
                </w:p>
              </w:tc>
            </w:tr>
            <w:tr w14:paraId="4B3AAD1B">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dxa"/>
                  <w:vMerge w:val="restart"/>
                  <w:tcBorders>
                    <w:left w:val="nil"/>
                  </w:tcBorders>
                  <w:vAlign w:val="center"/>
                </w:tcPr>
                <w:p w14:paraId="12BA96F0">
                  <w:pPr>
                    <w:jc w:val="center"/>
                    <w:rPr>
                      <w:bCs/>
                      <w:color w:val="auto"/>
                      <w:kern w:val="0"/>
                      <w:sz w:val="21"/>
                      <w:szCs w:val="21"/>
                    </w:rPr>
                  </w:pPr>
                  <w:r>
                    <w:rPr>
                      <w:bCs/>
                      <w:color w:val="auto"/>
                      <w:kern w:val="0"/>
                      <w:sz w:val="21"/>
                      <w:szCs w:val="21"/>
                    </w:rPr>
                    <w:t>营运期</w:t>
                  </w:r>
                </w:p>
              </w:tc>
              <w:tc>
                <w:tcPr>
                  <w:tcW w:w="971" w:type="dxa"/>
                  <w:vMerge w:val="restart"/>
                  <w:vAlign w:val="center"/>
                </w:tcPr>
                <w:p w14:paraId="43234DBC">
                  <w:pPr>
                    <w:contextualSpacing/>
                    <w:jc w:val="center"/>
                    <w:rPr>
                      <w:bCs/>
                      <w:color w:val="auto"/>
                      <w:kern w:val="0"/>
                      <w:sz w:val="21"/>
                      <w:szCs w:val="21"/>
                    </w:rPr>
                  </w:pPr>
                  <w:r>
                    <w:rPr>
                      <w:bCs/>
                      <w:color w:val="auto"/>
                      <w:kern w:val="0"/>
                      <w:sz w:val="21"/>
                      <w:szCs w:val="21"/>
                    </w:rPr>
                    <w:t>废气</w:t>
                  </w:r>
                </w:p>
              </w:tc>
              <w:tc>
                <w:tcPr>
                  <w:tcW w:w="2222" w:type="dxa"/>
                  <w:vAlign w:val="center"/>
                </w:tcPr>
                <w:p w14:paraId="2621ACDA">
                  <w:pPr>
                    <w:jc w:val="center"/>
                    <w:rPr>
                      <w:bCs/>
                      <w:color w:val="auto"/>
                      <w:kern w:val="0"/>
                      <w:sz w:val="21"/>
                      <w:szCs w:val="21"/>
                    </w:rPr>
                  </w:pPr>
                  <w:r>
                    <w:rPr>
                      <w:bCs/>
                      <w:color w:val="auto"/>
                      <w:kern w:val="0"/>
                      <w:sz w:val="21"/>
                      <w:szCs w:val="21"/>
                    </w:rPr>
                    <w:t>食堂</w:t>
                  </w:r>
                </w:p>
              </w:tc>
              <w:tc>
                <w:tcPr>
                  <w:tcW w:w="3669" w:type="dxa"/>
                  <w:vAlign w:val="center"/>
                </w:tcPr>
                <w:p w14:paraId="4711C7BC">
                  <w:pPr>
                    <w:jc w:val="center"/>
                    <w:rPr>
                      <w:bCs/>
                      <w:color w:val="auto"/>
                      <w:kern w:val="0"/>
                      <w:sz w:val="21"/>
                      <w:szCs w:val="21"/>
                    </w:rPr>
                  </w:pPr>
                  <w:r>
                    <w:rPr>
                      <w:bCs/>
                      <w:color w:val="auto"/>
                      <w:kern w:val="0"/>
                      <w:sz w:val="21"/>
                      <w:szCs w:val="21"/>
                    </w:rPr>
                    <w:t>油烟</w:t>
                  </w:r>
                </w:p>
              </w:tc>
              <w:tc>
                <w:tcPr>
                  <w:tcW w:w="1069" w:type="dxa"/>
                  <w:tcBorders>
                    <w:right w:val="nil"/>
                  </w:tcBorders>
                  <w:vAlign w:val="center"/>
                </w:tcPr>
                <w:p w14:paraId="4D219D44">
                  <w:pPr>
                    <w:jc w:val="center"/>
                    <w:rPr>
                      <w:bCs/>
                      <w:color w:val="auto"/>
                      <w:kern w:val="0"/>
                      <w:sz w:val="21"/>
                      <w:szCs w:val="21"/>
                    </w:rPr>
                  </w:pPr>
                  <w:r>
                    <w:rPr>
                      <w:bCs/>
                      <w:color w:val="auto"/>
                      <w:kern w:val="0"/>
                      <w:sz w:val="21"/>
                      <w:szCs w:val="21"/>
                    </w:rPr>
                    <w:t>间断</w:t>
                  </w:r>
                </w:p>
              </w:tc>
            </w:tr>
            <w:tr w14:paraId="7C14D039">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81" w:type="dxa"/>
                  <w:vMerge w:val="continue"/>
                  <w:tcBorders>
                    <w:left w:val="nil"/>
                  </w:tcBorders>
                  <w:vAlign w:val="center"/>
                </w:tcPr>
                <w:p w14:paraId="6A92A392">
                  <w:pPr>
                    <w:jc w:val="center"/>
                    <w:rPr>
                      <w:bCs/>
                      <w:color w:val="auto"/>
                      <w:kern w:val="0"/>
                      <w:sz w:val="21"/>
                      <w:szCs w:val="21"/>
                    </w:rPr>
                  </w:pPr>
                </w:p>
              </w:tc>
              <w:tc>
                <w:tcPr>
                  <w:tcW w:w="971" w:type="dxa"/>
                  <w:vMerge w:val="continue"/>
                  <w:vAlign w:val="center"/>
                </w:tcPr>
                <w:p w14:paraId="3E7B7503">
                  <w:pPr>
                    <w:contextualSpacing/>
                    <w:jc w:val="center"/>
                    <w:rPr>
                      <w:bCs/>
                      <w:color w:val="auto"/>
                      <w:kern w:val="0"/>
                      <w:sz w:val="21"/>
                      <w:szCs w:val="21"/>
                    </w:rPr>
                  </w:pPr>
                </w:p>
              </w:tc>
              <w:tc>
                <w:tcPr>
                  <w:tcW w:w="2222" w:type="dxa"/>
                  <w:vAlign w:val="center"/>
                </w:tcPr>
                <w:p w14:paraId="30D2FEB9">
                  <w:pPr>
                    <w:jc w:val="center"/>
                    <w:rPr>
                      <w:bCs/>
                      <w:color w:val="auto"/>
                      <w:kern w:val="0"/>
                      <w:sz w:val="21"/>
                      <w:szCs w:val="21"/>
                    </w:rPr>
                  </w:pPr>
                  <w:r>
                    <w:rPr>
                      <w:rFonts w:hint="eastAsia"/>
                      <w:bCs/>
                      <w:color w:val="auto"/>
                      <w:kern w:val="0"/>
                      <w:sz w:val="21"/>
                      <w:szCs w:val="21"/>
                    </w:rPr>
                    <w:t>消毒、煎药异味、化粪池、医废暂存间、垃圾桶、卫生间异味</w:t>
                  </w:r>
                </w:p>
              </w:tc>
              <w:tc>
                <w:tcPr>
                  <w:tcW w:w="3669" w:type="dxa"/>
                  <w:vAlign w:val="center"/>
                </w:tcPr>
                <w:p w14:paraId="16CDC26A">
                  <w:pPr>
                    <w:jc w:val="center"/>
                    <w:rPr>
                      <w:bCs/>
                      <w:color w:val="auto"/>
                      <w:kern w:val="0"/>
                      <w:sz w:val="21"/>
                      <w:szCs w:val="21"/>
                    </w:rPr>
                  </w:pPr>
                  <w:r>
                    <w:rPr>
                      <w:rFonts w:hint="eastAsia"/>
                      <w:bCs/>
                      <w:color w:val="auto"/>
                      <w:kern w:val="0"/>
                      <w:sz w:val="21"/>
                      <w:szCs w:val="21"/>
                    </w:rPr>
                    <w:t>氨、硫化氢、臭气浓度</w:t>
                  </w:r>
                </w:p>
              </w:tc>
              <w:tc>
                <w:tcPr>
                  <w:tcW w:w="1069" w:type="dxa"/>
                  <w:tcBorders>
                    <w:right w:val="nil"/>
                  </w:tcBorders>
                  <w:vAlign w:val="center"/>
                </w:tcPr>
                <w:p w14:paraId="322A5E7A">
                  <w:pPr>
                    <w:jc w:val="center"/>
                    <w:rPr>
                      <w:bCs/>
                      <w:color w:val="auto"/>
                      <w:kern w:val="0"/>
                      <w:sz w:val="21"/>
                      <w:szCs w:val="21"/>
                    </w:rPr>
                  </w:pPr>
                  <w:r>
                    <w:rPr>
                      <w:rFonts w:hint="eastAsia"/>
                      <w:bCs/>
                      <w:color w:val="auto"/>
                      <w:kern w:val="0"/>
                      <w:sz w:val="21"/>
                      <w:szCs w:val="21"/>
                    </w:rPr>
                    <w:t>连续</w:t>
                  </w:r>
                </w:p>
              </w:tc>
            </w:tr>
            <w:tr w14:paraId="474F98C5">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1" w:type="dxa"/>
                  <w:vMerge w:val="continue"/>
                  <w:tcBorders>
                    <w:left w:val="nil"/>
                  </w:tcBorders>
                  <w:vAlign w:val="center"/>
                </w:tcPr>
                <w:p w14:paraId="59742FD7">
                  <w:pPr>
                    <w:jc w:val="center"/>
                    <w:rPr>
                      <w:bCs/>
                      <w:color w:val="auto"/>
                      <w:kern w:val="0"/>
                      <w:sz w:val="21"/>
                      <w:szCs w:val="21"/>
                    </w:rPr>
                  </w:pPr>
                </w:p>
              </w:tc>
              <w:tc>
                <w:tcPr>
                  <w:tcW w:w="971" w:type="dxa"/>
                  <w:vMerge w:val="continue"/>
                  <w:vAlign w:val="center"/>
                </w:tcPr>
                <w:p w14:paraId="4E4FF95A">
                  <w:pPr>
                    <w:contextualSpacing/>
                    <w:jc w:val="center"/>
                    <w:rPr>
                      <w:bCs/>
                      <w:color w:val="auto"/>
                      <w:kern w:val="0"/>
                      <w:sz w:val="21"/>
                      <w:szCs w:val="21"/>
                    </w:rPr>
                  </w:pPr>
                </w:p>
              </w:tc>
              <w:tc>
                <w:tcPr>
                  <w:tcW w:w="2222" w:type="dxa"/>
                  <w:vAlign w:val="center"/>
                </w:tcPr>
                <w:p w14:paraId="2E316AD2">
                  <w:pPr>
                    <w:jc w:val="center"/>
                    <w:rPr>
                      <w:bCs/>
                      <w:color w:val="auto"/>
                      <w:kern w:val="0"/>
                      <w:sz w:val="21"/>
                      <w:szCs w:val="21"/>
                    </w:rPr>
                  </w:pPr>
                  <w:r>
                    <w:rPr>
                      <w:bCs/>
                      <w:color w:val="auto"/>
                      <w:kern w:val="0"/>
                      <w:sz w:val="21"/>
                      <w:szCs w:val="21"/>
                    </w:rPr>
                    <w:t>污水处理站</w:t>
                  </w:r>
                </w:p>
              </w:tc>
              <w:tc>
                <w:tcPr>
                  <w:tcW w:w="3669" w:type="dxa"/>
                  <w:vAlign w:val="center"/>
                </w:tcPr>
                <w:p w14:paraId="00AB81A6">
                  <w:pPr>
                    <w:jc w:val="center"/>
                    <w:rPr>
                      <w:bCs/>
                      <w:color w:val="auto"/>
                      <w:kern w:val="0"/>
                      <w:sz w:val="21"/>
                      <w:szCs w:val="21"/>
                    </w:rPr>
                  </w:pPr>
                  <w:r>
                    <w:rPr>
                      <w:rFonts w:hint="eastAsia"/>
                      <w:bCs/>
                      <w:color w:val="auto"/>
                      <w:kern w:val="0"/>
                      <w:sz w:val="21"/>
                      <w:szCs w:val="21"/>
                    </w:rPr>
                    <w:t>氨、硫化氢、臭气浓度</w:t>
                  </w:r>
                </w:p>
              </w:tc>
              <w:tc>
                <w:tcPr>
                  <w:tcW w:w="1069" w:type="dxa"/>
                  <w:tcBorders>
                    <w:right w:val="nil"/>
                  </w:tcBorders>
                  <w:vAlign w:val="center"/>
                </w:tcPr>
                <w:p w14:paraId="1205035A">
                  <w:pPr>
                    <w:jc w:val="center"/>
                    <w:rPr>
                      <w:bCs/>
                      <w:color w:val="auto"/>
                      <w:kern w:val="0"/>
                      <w:sz w:val="21"/>
                      <w:szCs w:val="21"/>
                    </w:rPr>
                  </w:pPr>
                  <w:r>
                    <w:rPr>
                      <w:bCs/>
                      <w:color w:val="auto"/>
                      <w:kern w:val="0"/>
                      <w:sz w:val="21"/>
                      <w:szCs w:val="21"/>
                    </w:rPr>
                    <w:t>连续</w:t>
                  </w:r>
                </w:p>
              </w:tc>
            </w:tr>
            <w:tr w14:paraId="04461CAF">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381" w:type="dxa"/>
                  <w:vMerge w:val="continue"/>
                  <w:tcBorders>
                    <w:left w:val="nil"/>
                  </w:tcBorders>
                  <w:vAlign w:val="center"/>
                </w:tcPr>
                <w:p w14:paraId="501991C0">
                  <w:pPr>
                    <w:jc w:val="center"/>
                    <w:rPr>
                      <w:bCs/>
                      <w:color w:val="auto"/>
                      <w:kern w:val="0"/>
                      <w:sz w:val="21"/>
                      <w:szCs w:val="21"/>
                    </w:rPr>
                  </w:pPr>
                </w:p>
              </w:tc>
              <w:tc>
                <w:tcPr>
                  <w:tcW w:w="971" w:type="dxa"/>
                  <w:vMerge w:val="restart"/>
                  <w:vAlign w:val="center"/>
                </w:tcPr>
                <w:p w14:paraId="1ABE26B6">
                  <w:pPr>
                    <w:jc w:val="center"/>
                    <w:rPr>
                      <w:bCs/>
                      <w:color w:val="auto"/>
                      <w:kern w:val="0"/>
                      <w:sz w:val="21"/>
                      <w:szCs w:val="21"/>
                    </w:rPr>
                  </w:pPr>
                  <w:r>
                    <w:rPr>
                      <w:bCs/>
                      <w:color w:val="auto"/>
                      <w:kern w:val="0"/>
                      <w:sz w:val="21"/>
                      <w:szCs w:val="21"/>
                    </w:rPr>
                    <w:t>废水</w:t>
                  </w:r>
                </w:p>
              </w:tc>
              <w:tc>
                <w:tcPr>
                  <w:tcW w:w="2222" w:type="dxa"/>
                  <w:vAlign w:val="center"/>
                </w:tcPr>
                <w:p w14:paraId="42815B7A">
                  <w:pPr>
                    <w:jc w:val="center"/>
                    <w:rPr>
                      <w:bCs/>
                      <w:color w:val="auto"/>
                      <w:kern w:val="0"/>
                      <w:sz w:val="21"/>
                      <w:szCs w:val="21"/>
                    </w:rPr>
                  </w:pPr>
                  <w:r>
                    <w:rPr>
                      <w:rFonts w:hint="eastAsia"/>
                      <w:bCs/>
                      <w:color w:val="auto"/>
                      <w:kern w:val="0"/>
                      <w:sz w:val="21"/>
                      <w:szCs w:val="21"/>
                    </w:rPr>
                    <w:t>住院病床、病床品洗涤</w:t>
                  </w:r>
                </w:p>
              </w:tc>
              <w:tc>
                <w:tcPr>
                  <w:tcW w:w="3669" w:type="dxa"/>
                  <w:vAlign w:val="center"/>
                </w:tcPr>
                <w:p w14:paraId="54AE633B">
                  <w:pPr>
                    <w:jc w:val="center"/>
                    <w:rPr>
                      <w:rFonts w:hint="default" w:eastAsia="宋体"/>
                      <w:bCs/>
                      <w:color w:val="auto"/>
                      <w:kern w:val="0"/>
                      <w:sz w:val="21"/>
                      <w:szCs w:val="21"/>
                      <w:lang w:val="en-US" w:eastAsia="zh-CN"/>
                    </w:rPr>
                  </w:pPr>
                  <w:r>
                    <w:rPr>
                      <w:bCs/>
                      <w:color w:val="auto"/>
                      <w:kern w:val="0"/>
                      <w:sz w:val="21"/>
                      <w:szCs w:val="21"/>
                    </w:rPr>
                    <w:t>COD</w:t>
                  </w:r>
                  <w:r>
                    <w:rPr>
                      <w:bCs/>
                      <w:color w:val="auto"/>
                      <w:kern w:val="0"/>
                      <w:sz w:val="21"/>
                      <w:szCs w:val="21"/>
                      <w:vertAlign w:val="subscript"/>
                    </w:rPr>
                    <w:t>C</w:t>
                  </w:r>
                  <w:r>
                    <w:rPr>
                      <w:rFonts w:hint="eastAsia"/>
                      <w:bCs/>
                      <w:color w:val="auto"/>
                      <w:kern w:val="0"/>
                      <w:sz w:val="21"/>
                      <w:szCs w:val="21"/>
                      <w:vertAlign w:val="subscript"/>
                    </w:rPr>
                    <w:t>r</w:t>
                  </w:r>
                  <w:r>
                    <w:rPr>
                      <w:bCs/>
                      <w:color w:val="auto"/>
                      <w:kern w:val="0"/>
                      <w:sz w:val="21"/>
                      <w:szCs w:val="21"/>
                    </w:rPr>
                    <w:t>、SS、BOD</w:t>
                  </w:r>
                  <w:r>
                    <w:rPr>
                      <w:bCs/>
                      <w:color w:val="auto"/>
                      <w:kern w:val="0"/>
                      <w:sz w:val="21"/>
                      <w:szCs w:val="21"/>
                      <w:vertAlign w:val="subscript"/>
                    </w:rPr>
                    <w:t>5</w:t>
                  </w:r>
                  <w:r>
                    <w:rPr>
                      <w:bCs/>
                      <w:color w:val="auto"/>
                      <w:kern w:val="0"/>
                      <w:sz w:val="21"/>
                      <w:szCs w:val="21"/>
                    </w:rPr>
                    <w:t>、氨氮</w:t>
                  </w:r>
                  <w:r>
                    <w:rPr>
                      <w:rFonts w:hint="eastAsia"/>
                      <w:bCs/>
                      <w:color w:val="auto"/>
                      <w:kern w:val="0"/>
                      <w:sz w:val="21"/>
                      <w:szCs w:val="21"/>
                    </w:rPr>
                    <w:t>、</w:t>
                  </w:r>
                  <w:r>
                    <w:rPr>
                      <w:rFonts w:hint="eastAsia"/>
                      <w:bCs/>
                      <w:color w:val="auto"/>
                      <w:kern w:val="0"/>
                      <w:sz w:val="21"/>
                      <w:szCs w:val="21"/>
                      <w:lang w:val="en-US" w:eastAsia="zh-CN"/>
                    </w:rPr>
                    <w:t>TP、TN、</w:t>
                  </w:r>
                  <w:r>
                    <w:rPr>
                      <w:rFonts w:hint="eastAsia"/>
                      <w:bCs/>
                      <w:color w:val="auto"/>
                      <w:kern w:val="0"/>
                      <w:sz w:val="21"/>
                      <w:szCs w:val="21"/>
                    </w:rPr>
                    <w:t>粪大肠杆菌、总余氯</w:t>
                  </w:r>
                  <w:r>
                    <w:rPr>
                      <w:rFonts w:hint="eastAsia"/>
                      <w:bCs/>
                      <w:color w:val="auto"/>
                      <w:kern w:val="0"/>
                      <w:sz w:val="21"/>
                      <w:szCs w:val="21"/>
                      <w:lang w:eastAsia="zh-CN"/>
                    </w:rPr>
                    <w:t>、</w:t>
                  </w:r>
                  <w:r>
                    <w:rPr>
                      <w:rFonts w:hint="eastAsia"/>
                      <w:bCs/>
                      <w:color w:val="7030A0"/>
                      <w:kern w:val="0"/>
                      <w:sz w:val="21"/>
                      <w:szCs w:val="21"/>
                      <w:lang w:val="en-US" w:eastAsia="zh-CN"/>
                    </w:rPr>
                    <w:t>LAS</w:t>
                  </w:r>
                </w:p>
              </w:tc>
              <w:tc>
                <w:tcPr>
                  <w:tcW w:w="1069" w:type="dxa"/>
                  <w:tcBorders>
                    <w:right w:val="nil"/>
                  </w:tcBorders>
                  <w:vAlign w:val="center"/>
                </w:tcPr>
                <w:p w14:paraId="1D32552A">
                  <w:pPr>
                    <w:jc w:val="center"/>
                    <w:rPr>
                      <w:bCs/>
                      <w:color w:val="auto"/>
                      <w:kern w:val="0"/>
                      <w:sz w:val="21"/>
                      <w:szCs w:val="21"/>
                    </w:rPr>
                  </w:pPr>
                  <w:r>
                    <w:rPr>
                      <w:bCs/>
                      <w:color w:val="auto"/>
                      <w:kern w:val="0"/>
                      <w:sz w:val="21"/>
                      <w:szCs w:val="21"/>
                    </w:rPr>
                    <w:t>间断</w:t>
                  </w:r>
                </w:p>
              </w:tc>
            </w:tr>
            <w:tr w14:paraId="30F0349D">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381" w:type="dxa"/>
                  <w:vMerge w:val="continue"/>
                  <w:tcBorders>
                    <w:left w:val="nil"/>
                  </w:tcBorders>
                  <w:vAlign w:val="center"/>
                </w:tcPr>
                <w:p w14:paraId="0543AF2D">
                  <w:pPr>
                    <w:jc w:val="center"/>
                    <w:rPr>
                      <w:bCs/>
                      <w:color w:val="auto"/>
                      <w:kern w:val="0"/>
                      <w:sz w:val="21"/>
                      <w:szCs w:val="21"/>
                    </w:rPr>
                  </w:pPr>
                </w:p>
              </w:tc>
              <w:tc>
                <w:tcPr>
                  <w:tcW w:w="971" w:type="dxa"/>
                  <w:vMerge w:val="continue"/>
                  <w:vAlign w:val="center"/>
                </w:tcPr>
                <w:p w14:paraId="649E6B46">
                  <w:pPr>
                    <w:jc w:val="center"/>
                    <w:rPr>
                      <w:bCs/>
                      <w:color w:val="auto"/>
                      <w:kern w:val="0"/>
                      <w:sz w:val="21"/>
                      <w:szCs w:val="21"/>
                    </w:rPr>
                  </w:pPr>
                </w:p>
              </w:tc>
              <w:tc>
                <w:tcPr>
                  <w:tcW w:w="2222" w:type="dxa"/>
                  <w:vAlign w:val="center"/>
                </w:tcPr>
                <w:p w14:paraId="16E8668A">
                  <w:pPr>
                    <w:jc w:val="center"/>
                    <w:rPr>
                      <w:bCs/>
                      <w:color w:val="auto"/>
                      <w:kern w:val="0"/>
                      <w:sz w:val="21"/>
                      <w:szCs w:val="21"/>
                    </w:rPr>
                  </w:pPr>
                  <w:r>
                    <w:rPr>
                      <w:rFonts w:hint="eastAsia"/>
                      <w:bCs/>
                      <w:color w:val="auto"/>
                      <w:kern w:val="0"/>
                      <w:sz w:val="21"/>
                      <w:szCs w:val="21"/>
                      <w:lang w:val="en-US" w:eastAsia="zh-CN"/>
                    </w:rPr>
                    <w:t>门诊</w:t>
                  </w:r>
                  <w:r>
                    <w:rPr>
                      <w:rFonts w:hint="eastAsia"/>
                      <w:bCs/>
                      <w:color w:val="auto"/>
                      <w:kern w:val="0"/>
                      <w:sz w:val="21"/>
                      <w:szCs w:val="21"/>
                    </w:rPr>
                    <w:t>检验</w:t>
                  </w:r>
                </w:p>
              </w:tc>
              <w:tc>
                <w:tcPr>
                  <w:tcW w:w="3669" w:type="dxa"/>
                  <w:vAlign w:val="center"/>
                </w:tcPr>
                <w:p w14:paraId="680E019E">
                  <w:pPr>
                    <w:jc w:val="center"/>
                    <w:rPr>
                      <w:rFonts w:hint="default" w:eastAsia="宋体"/>
                      <w:bCs/>
                      <w:color w:val="auto"/>
                      <w:kern w:val="0"/>
                      <w:sz w:val="21"/>
                      <w:szCs w:val="21"/>
                      <w:lang w:val="en-US" w:eastAsia="zh-CN"/>
                    </w:rPr>
                  </w:pPr>
                  <w:r>
                    <w:rPr>
                      <w:bCs/>
                      <w:color w:val="auto"/>
                      <w:kern w:val="0"/>
                      <w:sz w:val="21"/>
                      <w:szCs w:val="21"/>
                    </w:rPr>
                    <w:t>COD</w:t>
                  </w:r>
                  <w:r>
                    <w:rPr>
                      <w:bCs/>
                      <w:color w:val="auto"/>
                      <w:kern w:val="0"/>
                      <w:sz w:val="21"/>
                      <w:szCs w:val="21"/>
                      <w:vertAlign w:val="subscript"/>
                    </w:rPr>
                    <w:t>C</w:t>
                  </w:r>
                  <w:r>
                    <w:rPr>
                      <w:rFonts w:hint="eastAsia"/>
                      <w:bCs/>
                      <w:color w:val="auto"/>
                      <w:kern w:val="0"/>
                      <w:sz w:val="21"/>
                      <w:szCs w:val="21"/>
                      <w:vertAlign w:val="subscript"/>
                    </w:rPr>
                    <w:t>r</w:t>
                  </w:r>
                  <w:r>
                    <w:rPr>
                      <w:bCs/>
                      <w:color w:val="auto"/>
                      <w:kern w:val="0"/>
                      <w:sz w:val="21"/>
                      <w:szCs w:val="21"/>
                    </w:rPr>
                    <w:t>、SS、BOD</w:t>
                  </w:r>
                  <w:r>
                    <w:rPr>
                      <w:bCs/>
                      <w:color w:val="auto"/>
                      <w:kern w:val="0"/>
                      <w:sz w:val="21"/>
                      <w:szCs w:val="21"/>
                      <w:vertAlign w:val="subscript"/>
                    </w:rPr>
                    <w:t>5</w:t>
                  </w:r>
                  <w:r>
                    <w:rPr>
                      <w:bCs/>
                      <w:color w:val="auto"/>
                      <w:kern w:val="0"/>
                      <w:sz w:val="21"/>
                      <w:szCs w:val="21"/>
                    </w:rPr>
                    <w:t>、氨氮</w:t>
                  </w:r>
                  <w:r>
                    <w:rPr>
                      <w:rFonts w:hint="eastAsia"/>
                      <w:bCs/>
                      <w:color w:val="auto"/>
                      <w:kern w:val="0"/>
                      <w:sz w:val="21"/>
                      <w:szCs w:val="21"/>
                    </w:rPr>
                    <w:t>、</w:t>
                  </w:r>
                  <w:r>
                    <w:rPr>
                      <w:rFonts w:hint="eastAsia"/>
                      <w:bCs/>
                      <w:color w:val="auto"/>
                      <w:kern w:val="0"/>
                      <w:sz w:val="21"/>
                      <w:szCs w:val="21"/>
                      <w:lang w:val="en-US" w:eastAsia="zh-CN"/>
                    </w:rPr>
                    <w:t>TP、TN、</w:t>
                  </w:r>
                  <w:r>
                    <w:rPr>
                      <w:rFonts w:hint="eastAsia"/>
                      <w:bCs/>
                      <w:color w:val="auto"/>
                      <w:kern w:val="0"/>
                      <w:sz w:val="21"/>
                      <w:szCs w:val="21"/>
                    </w:rPr>
                    <w:t>粪大肠杆菌、总余氯</w:t>
                  </w:r>
                </w:p>
              </w:tc>
              <w:tc>
                <w:tcPr>
                  <w:tcW w:w="1069" w:type="dxa"/>
                  <w:tcBorders>
                    <w:right w:val="nil"/>
                  </w:tcBorders>
                  <w:vAlign w:val="center"/>
                </w:tcPr>
                <w:p w14:paraId="70D05E97">
                  <w:pPr>
                    <w:jc w:val="center"/>
                    <w:rPr>
                      <w:rFonts w:hint="default" w:eastAsia="宋体"/>
                      <w:bCs/>
                      <w:color w:val="auto"/>
                      <w:kern w:val="0"/>
                      <w:sz w:val="21"/>
                      <w:szCs w:val="21"/>
                      <w:lang w:val="en-US" w:eastAsia="zh-CN"/>
                    </w:rPr>
                  </w:pPr>
                  <w:r>
                    <w:rPr>
                      <w:rFonts w:hint="eastAsia"/>
                      <w:bCs/>
                      <w:color w:val="auto"/>
                      <w:kern w:val="0"/>
                      <w:sz w:val="21"/>
                      <w:szCs w:val="21"/>
                      <w:lang w:val="en-US" w:eastAsia="zh-CN"/>
                    </w:rPr>
                    <w:t>间断</w:t>
                  </w:r>
                </w:p>
              </w:tc>
            </w:tr>
            <w:tr w14:paraId="3EB90847">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81" w:type="dxa"/>
                  <w:vMerge w:val="continue"/>
                  <w:tcBorders>
                    <w:left w:val="nil"/>
                  </w:tcBorders>
                  <w:vAlign w:val="center"/>
                </w:tcPr>
                <w:p w14:paraId="0FF070C1">
                  <w:pPr>
                    <w:jc w:val="center"/>
                    <w:rPr>
                      <w:bCs/>
                      <w:color w:val="auto"/>
                      <w:kern w:val="0"/>
                      <w:sz w:val="21"/>
                      <w:szCs w:val="21"/>
                    </w:rPr>
                  </w:pPr>
                </w:p>
              </w:tc>
              <w:tc>
                <w:tcPr>
                  <w:tcW w:w="971" w:type="dxa"/>
                  <w:vMerge w:val="continue"/>
                  <w:vAlign w:val="center"/>
                </w:tcPr>
                <w:p w14:paraId="15DEA1F2">
                  <w:pPr>
                    <w:jc w:val="center"/>
                    <w:rPr>
                      <w:bCs/>
                      <w:color w:val="auto"/>
                      <w:kern w:val="0"/>
                      <w:sz w:val="21"/>
                      <w:szCs w:val="21"/>
                    </w:rPr>
                  </w:pPr>
                </w:p>
              </w:tc>
              <w:tc>
                <w:tcPr>
                  <w:tcW w:w="2222" w:type="dxa"/>
                  <w:vAlign w:val="center"/>
                </w:tcPr>
                <w:p w14:paraId="045DACD2">
                  <w:pPr>
                    <w:jc w:val="center"/>
                    <w:rPr>
                      <w:bCs/>
                      <w:color w:val="auto"/>
                      <w:kern w:val="0"/>
                      <w:sz w:val="21"/>
                      <w:szCs w:val="21"/>
                    </w:rPr>
                  </w:pPr>
                  <w:r>
                    <w:rPr>
                      <w:rFonts w:hint="eastAsia"/>
                      <w:bCs/>
                      <w:color w:val="auto"/>
                      <w:kern w:val="0"/>
                      <w:sz w:val="21"/>
                      <w:szCs w:val="21"/>
                    </w:rPr>
                    <w:t>食堂</w:t>
                  </w:r>
                </w:p>
              </w:tc>
              <w:tc>
                <w:tcPr>
                  <w:tcW w:w="3669" w:type="dxa"/>
                  <w:vAlign w:val="center"/>
                </w:tcPr>
                <w:p w14:paraId="586B2B67">
                  <w:pPr>
                    <w:jc w:val="center"/>
                    <w:rPr>
                      <w:bCs/>
                      <w:color w:val="auto"/>
                      <w:kern w:val="0"/>
                      <w:sz w:val="21"/>
                      <w:szCs w:val="21"/>
                    </w:rPr>
                  </w:pPr>
                  <w:r>
                    <w:rPr>
                      <w:bCs/>
                      <w:color w:val="auto"/>
                      <w:kern w:val="0"/>
                      <w:sz w:val="21"/>
                      <w:szCs w:val="21"/>
                    </w:rPr>
                    <w:t>COD</w:t>
                  </w:r>
                  <w:r>
                    <w:rPr>
                      <w:bCs/>
                      <w:color w:val="auto"/>
                      <w:kern w:val="0"/>
                      <w:sz w:val="21"/>
                      <w:szCs w:val="21"/>
                      <w:vertAlign w:val="subscript"/>
                    </w:rPr>
                    <w:t>C</w:t>
                  </w:r>
                  <w:r>
                    <w:rPr>
                      <w:rFonts w:hint="eastAsia"/>
                      <w:bCs/>
                      <w:color w:val="auto"/>
                      <w:kern w:val="0"/>
                      <w:sz w:val="21"/>
                      <w:szCs w:val="21"/>
                      <w:vertAlign w:val="subscript"/>
                    </w:rPr>
                    <w:t>r</w:t>
                  </w:r>
                  <w:r>
                    <w:rPr>
                      <w:bCs/>
                      <w:color w:val="auto"/>
                      <w:kern w:val="0"/>
                      <w:sz w:val="21"/>
                      <w:szCs w:val="21"/>
                    </w:rPr>
                    <w:t>、SS、BOD</w:t>
                  </w:r>
                  <w:r>
                    <w:rPr>
                      <w:bCs/>
                      <w:color w:val="auto"/>
                      <w:kern w:val="0"/>
                      <w:sz w:val="21"/>
                      <w:szCs w:val="21"/>
                      <w:vertAlign w:val="subscript"/>
                    </w:rPr>
                    <w:t>5</w:t>
                  </w:r>
                  <w:r>
                    <w:rPr>
                      <w:bCs/>
                      <w:color w:val="auto"/>
                      <w:kern w:val="0"/>
                      <w:sz w:val="21"/>
                      <w:szCs w:val="21"/>
                    </w:rPr>
                    <w:t>、氨氮、</w:t>
                  </w:r>
                  <w:r>
                    <w:rPr>
                      <w:rFonts w:hint="eastAsia"/>
                      <w:bCs/>
                      <w:color w:val="auto"/>
                      <w:kern w:val="0"/>
                      <w:sz w:val="21"/>
                      <w:szCs w:val="21"/>
                    </w:rPr>
                    <w:t>动植物油</w:t>
                  </w:r>
                </w:p>
              </w:tc>
              <w:tc>
                <w:tcPr>
                  <w:tcW w:w="1069" w:type="dxa"/>
                  <w:tcBorders>
                    <w:right w:val="nil"/>
                  </w:tcBorders>
                  <w:vAlign w:val="center"/>
                </w:tcPr>
                <w:p w14:paraId="2B2CE009">
                  <w:pPr>
                    <w:jc w:val="center"/>
                    <w:rPr>
                      <w:bCs/>
                      <w:color w:val="auto"/>
                      <w:kern w:val="0"/>
                      <w:sz w:val="21"/>
                      <w:szCs w:val="21"/>
                    </w:rPr>
                  </w:pPr>
                  <w:r>
                    <w:rPr>
                      <w:bCs/>
                      <w:color w:val="auto"/>
                      <w:kern w:val="0"/>
                      <w:sz w:val="21"/>
                      <w:szCs w:val="21"/>
                    </w:rPr>
                    <w:t>间断</w:t>
                  </w:r>
                </w:p>
              </w:tc>
            </w:tr>
            <w:tr w14:paraId="7D38717D">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381" w:type="dxa"/>
                  <w:vMerge w:val="continue"/>
                  <w:tcBorders>
                    <w:left w:val="nil"/>
                  </w:tcBorders>
                  <w:vAlign w:val="center"/>
                </w:tcPr>
                <w:p w14:paraId="3ED775EA">
                  <w:pPr>
                    <w:jc w:val="center"/>
                    <w:rPr>
                      <w:bCs/>
                      <w:color w:val="auto"/>
                      <w:kern w:val="0"/>
                      <w:sz w:val="21"/>
                      <w:szCs w:val="21"/>
                    </w:rPr>
                  </w:pPr>
                </w:p>
              </w:tc>
              <w:tc>
                <w:tcPr>
                  <w:tcW w:w="971" w:type="dxa"/>
                  <w:vMerge w:val="continue"/>
                  <w:vAlign w:val="center"/>
                </w:tcPr>
                <w:p w14:paraId="6F957695">
                  <w:pPr>
                    <w:jc w:val="center"/>
                    <w:rPr>
                      <w:bCs/>
                      <w:color w:val="auto"/>
                      <w:kern w:val="0"/>
                      <w:sz w:val="21"/>
                      <w:szCs w:val="21"/>
                    </w:rPr>
                  </w:pPr>
                </w:p>
              </w:tc>
              <w:tc>
                <w:tcPr>
                  <w:tcW w:w="2222" w:type="dxa"/>
                  <w:vAlign w:val="center"/>
                </w:tcPr>
                <w:p w14:paraId="40388F8D">
                  <w:pPr>
                    <w:jc w:val="center"/>
                    <w:rPr>
                      <w:rFonts w:hint="default" w:eastAsia="宋体"/>
                      <w:bCs/>
                      <w:color w:val="auto"/>
                      <w:kern w:val="0"/>
                      <w:sz w:val="21"/>
                      <w:szCs w:val="21"/>
                      <w:lang w:val="en-US" w:eastAsia="zh-CN"/>
                    </w:rPr>
                  </w:pPr>
                  <w:r>
                    <w:rPr>
                      <w:rFonts w:hint="eastAsia"/>
                      <w:bCs/>
                      <w:color w:val="auto"/>
                      <w:kern w:val="0"/>
                      <w:sz w:val="21"/>
                      <w:szCs w:val="21"/>
                    </w:rPr>
                    <w:t>医护人员办公、陪护人员</w:t>
                  </w:r>
                  <w:r>
                    <w:rPr>
                      <w:rFonts w:hint="eastAsia"/>
                      <w:bCs/>
                      <w:color w:val="auto"/>
                      <w:kern w:val="0"/>
                      <w:sz w:val="21"/>
                      <w:szCs w:val="21"/>
                      <w:lang w:eastAsia="zh-CN"/>
                    </w:rPr>
                    <w:t>、</w:t>
                  </w:r>
                  <w:r>
                    <w:rPr>
                      <w:rFonts w:hint="eastAsia"/>
                      <w:bCs/>
                      <w:color w:val="auto"/>
                      <w:kern w:val="0"/>
                      <w:sz w:val="21"/>
                      <w:szCs w:val="21"/>
                      <w:lang w:val="en-US" w:eastAsia="zh-CN"/>
                    </w:rPr>
                    <w:t>行政人员</w:t>
                  </w:r>
                </w:p>
              </w:tc>
              <w:tc>
                <w:tcPr>
                  <w:tcW w:w="3669" w:type="dxa"/>
                  <w:vAlign w:val="center"/>
                </w:tcPr>
                <w:p w14:paraId="68A77B4D">
                  <w:pPr>
                    <w:jc w:val="center"/>
                    <w:rPr>
                      <w:bCs/>
                      <w:color w:val="auto"/>
                      <w:kern w:val="0"/>
                      <w:sz w:val="21"/>
                      <w:szCs w:val="21"/>
                    </w:rPr>
                  </w:pPr>
                  <w:r>
                    <w:rPr>
                      <w:bCs/>
                      <w:color w:val="auto"/>
                      <w:kern w:val="0"/>
                      <w:sz w:val="21"/>
                      <w:szCs w:val="21"/>
                    </w:rPr>
                    <w:t>COD</w:t>
                  </w:r>
                  <w:r>
                    <w:rPr>
                      <w:bCs/>
                      <w:color w:val="auto"/>
                      <w:kern w:val="0"/>
                      <w:sz w:val="21"/>
                      <w:szCs w:val="21"/>
                      <w:vertAlign w:val="subscript"/>
                    </w:rPr>
                    <w:t>C</w:t>
                  </w:r>
                  <w:r>
                    <w:rPr>
                      <w:rFonts w:hint="eastAsia"/>
                      <w:bCs/>
                      <w:color w:val="auto"/>
                      <w:kern w:val="0"/>
                      <w:sz w:val="21"/>
                      <w:szCs w:val="21"/>
                      <w:vertAlign w:val="subscript"/>
                    </w:rPr>
                    <w:t>r</w:t>
                  </w:r>
                  <w:r>
                    <w:rPr>
                      <w:bCs/>
                      <w:color w:val="auto"/>
                      <w:kern w:val="0"/>
                      <w:sz w:val="21"/>
                      <w:szCs w:val="21"/>
                    </w:rPr>
                    <w:t>、SS、BOD</w:t>
                  </w:r>
                  <w:r>
                    <w:rPr>
                      <w:bCs/>
                      <w:color w:val="auto"/>
                      <w:kern w:val="0"/>
                      <w:sz w:val="21"/>
                      <w:szCs w:val="21"/>
                      <w:vertAlign w:val="subscript"/>
                    </w:rPr>
                    <w:t>5</w:t>
                  </w:r>
                  <w:r>
                    <w:rPr>
                      <w:bCs/>
                      <w:color w:val="auto"/>
                      <w:kern w:val="0"/>
                      <w:sz w:val="21"/>
                      <w:szCs w:val="21"/>
                    </w:rPr>
                    <w:t>、氨氮</w:t>
                  </w:r>
                  <w:r>
                    <w:rPr>
                      <w:rFonts w:hint="eastAsia"/>
                      <w:bCs/>
                      <w:color w:val="auto"/>
                      <w:kern w:val="0"/>
                      <w:sz w:val="21"/>
                      <w:szCs w:val="21"/>
                    </w:rPr>
                    <w:t>、总氮、总磷</w:t>
                  </w:r>
                </w:p>
              </w:tc>
              <w:tc>
                <w:tcPr>
                  <w:tcW w:w="1069" w:type="dxa"/>
                  <w:tcBorders>
                    <w:right w:val="nil"/>
                  </w:tcBorders>
                  <w:vAlign w:val="center"/>
                </w:tcPr>
                <w:p w14:paraId="6AEEE492">
                  <w:pPr>
                    <w:jc w:val="center"/>
                    <w:rPr>
                      <w:bCs/>
                      <w:color w:val="auto"/>
                      <w:kern w:val="0"/>
                      <w:sz w:val="21"/>
                      <w:szCs w:val="21"/>
                    </w:rPr>
                  </w:pPr>
                  <w:r>
                    <w:rPr>
                      <w:rFonts w:hint="eastAsia"/>
                      <w:bCs/>
                      <w:color w:val="auto"/>
                      <w:kern w:val="0"/>
                      <w:sz w:val="21"/>
                      <w:szCs w:val="21"/>
                    </w:rPr>
                    <w:t>间断</w:t>
                  </w:r>
                </w:p>
              </w:tc>
            </w:tr>
            <w:tr w14:paraId="68C0A243">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381" w:type="dxa"/>
                  <w:vMerge w:val="continue"/>
                  <w:tcBorders>
                    <w:left w:val="nil"/>
                  </w:tcBorders>
                  <w:vAlign w:val="center"/>
                </w:tcPr>
                <w:p w14:paraId="782EEE29">
                  <w:pPr>
                    <w:jc w:val="center"/>
                    <w:rPr>
                      <w:bCs/>
                      <w:color w:val="auto"/>
                      <w:kern w:val="0"/>
                      <w:sz w:val="21"/>
                      <w:szCs w:val="21"/>
                    </w:rPr>
                  </w:pPr>
                </w:p>
              </w:tc>
              <w:tc>
                <w:tcPr>
                  <w:tcW w:w="971" w:type="dxa"/>
                  <w:vAlign w:val="center"/>
                </w:tcPr>
                <w:p w14:paraId="2F8E039C">
                  <w:pPr>
                    <w:jc w:val="center"/>
                    <w:rPr>
                      <w:bCs/>
                      <w:color w:val="auto"/>
                      <w:kern w:val="0"/>
                      <w:sz w:val="21"/>
                      <w:szCs w:val="21"/>
                    </w:rPr>
                  </w:pPr>
                  <w:r>
                    <w:rPr>
                      <w:bCs/>
                      <w:color w:val="auto"/>
                      <w:kern w:val="0"/>
                      <w:sz w:val="21"/>
                      <w:szCs w:val="21"/>
                    </w:rPr>
                    <w:t>噪声</w:t>
                  </w:r>
                </w:p>
              </w:tc>
              <w:tc>
                <w:tcPr>
                  <w:tcW w:w="2222" w:type="dxa"/>
                  <w:vAlign w:val="center"/>
                </w:tcPr>
                <w:p w14:paraId="74C46DE3">
                  <w:pPr>
                    <w:jc w:val="center"/>
                    <w:rPr>
                      <w:rFonts w:hint="default" w:eastAsia="宋体"/>
                      <w:bCs/>
                      <w:color w:val="auto"/>
                      <w:kern w:val="0"/>
                      <w:sz w:val="21"/>
                      <w:szCs w:val="21"/>
                      <w:lang w:val="en-US" w:eastAsia="zh-CN"/>
                    </w:rPr>
                  </w:pPr>
                  <w:r>
                    <w:rPr>
                      <w:rFonts w:hint="eastAsia"/>
                      <w:bCs/>
                      <w:color w:val="auto"/>
                      <w:kern w:val="0"/>
                      <w:sz w:val="21"/>
                      <w:szCs w:val="21"/>
                      <w:lang w:val="en-US" w:eastAsia="zh-CN"/>
                    </w:rPr>
                    <w:t>设备运行</w:t>
                  </w:r>
                </w:p>
              </w:tc>
              <w:tc>
                <w:tcPr>
                  <w:tcW w:w="3669" w:type="dxa"/>
                  <w:vAlign w:val="center"/>
                </w:tcPr>
                <w:p w14:paraId="0781EA59">
                  <w:pPr>
                    <w:jc w:val="center"/>
                    <w:rPr>
                      <w:bCs/>
                      <w:color w:val="auto"/>
                      <w:kern w:val="0"/>
                      <w:sz w:val="21"/>
                      <w:szCs w:val="21"/>
                    </w:rPr>
                  </w:pPr>
                  <w:r>
                    <w:rPr>
                      <w:bCs/>
                      <w:color w:val="auto"/>
                      <w:kern w:val="0"/>
                      <w:sz w:val="21"/>
                      <w:szCs w:val="21"/>
                    </w:rPr>
                    <w:t>设备噪声</w:t>
                  </w:r>
                </w:p>
              </w:tc>
              <w:tc>
                <w:tcPr>
                  <w:tcW w:w="1069" w:type="dxa"/>
                  <w:tcBorders>
                    <w:right w:val="nil"/>
                  </w:tcBorders>
                  <w:vAlign w:val="center"/>
                </w:tcPr>
                <w:p w14:paraId="77B1E8D7">
                  <w:pPr>
                    <w:jc w:val="center"/>
                    <w:rPr>
                      <w:bCs/>
                      <w:color w:val="auto"/>
                      <w:kern w:val="0"/>
                      <w:sz w:val="21"/>
                      <w:szCs w:val="21"/>
                    </w:rPr>
                  </w:pPr>
                  <w:r>
                    <w:rPr>
                      <w:bCs/>
                      <w:color w:val="auto"/>
                      <w:kern w:val="0"/>
                      <w:sz w:val="21"/>
                      <w:szCs w:val="21"/>
                    </w:rPr>
                    <w:t>连续</w:t>
                  </w:r>
                </w:p>
              </w:tc>
            </w:tr>
            <w:tr w14:paraId="0DC71D5D">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381" w:type="dxa"/>
                  <w:vMerge w:val="continue"/>
                  <w:tcBorders>
                    <w:left w:val="nil"/>
                  </w:tcBorders>
                  <w:vAlign w:val="center"/>
                </w:tcPr>
                <w:p w14:paraId="4227D8C2">
                  <w:pPr>
                    <w:jc w:val="center"/>
                    <w:rPr>
                      <w:bCs/>
                      <w:color w:val="auto"/>
                      <w:kern w:val="0"/>
                      <w:sz w:val="21"/>
                      <w:szCs w:val="21"/>
                    </w:rPr>
                  </w:pPr>
                </w:p>
              </w:tc>
              <w:tc>
                <w:tcPr>
                  <w:tcW w:w="971" w:type="dxa"/>
                  <w:vMerge w:val="restart"/>
                  <w:vAlign w:val="center"/>
                </w:tcPr>
                <w:p w14:paraId="0688B970">
                  <w:pPr>
                    <w:jc w:val="center"/>
                    <w:rPr>
                      <w:bCs/>
                      <w:color w:val="auto"/>
                      <w:kern w:val="0"/>
                      <w:sz w:val="21"/>
                      <w:szCs w:val="21"/>
                    </w:rPr>
                  </w:pPr>
                  <w:r>
                    <w:rPr>
                      <w:bCs/>
                      <w:color w:val="auto"/>
                      <w:kern w:val="0"/>
                      <w:sz w:val="21"/>
                      <w:szCs w:val="21"/>
                    </w:rPr>
                    <w:t>固体废物</w:t>
                  </w:r>
                </w:p>
              </w:tc>
              <w:tc>
                <w:tcPr>
                  <w:tcW w:w="2222" w:type="dxa"/>
                  <w:vAlign w:val="center"/>
                </w:tcPr>
                <w:p w14:paraId="15480F8F">
                  <w:pPr>
                    <w:jc w:val="center"/>
                    <w:rPr>
                      <w:bCs/>
                      <w:color w:val="auto"/>
                      <w:kern w:val="0"/>
                      <w:sz w:val="21"/>
                      <w:szCs w:val="21"/>
                    </w:rPr>
                  </w:pPr>
                  <w:r>
                    <w:rPr>
                      <w:rFonts w:hint="eastAsia"/>
                      <w:bCs/>
                      <w:color w:val="auto"/>
                      <w:kern w:val="0"/>
                      <w:sz w:val="21"/>
                      <w:szCs w:val="21"/>
                    </w:rPr>
                    <w:t>医务、陪护人员</w:t>
                  </w:r>
                </w:p>
              </w:tc>
              <w:tc>
                <w:tcPr>
                  <w:tcW w:w="3669" w:type="dxa"/>
                  <w:vAlign w:val="center"/>
                </w:tcPr>
                <w:p w14:paraId="69C670DC">
                  <w:pPr>
                    <w:jc w:val="center"/>
                    <w:rPr>
                      <w:bCs/>
                      <w:color w:val="auto"/>
                      <w:kern w:val="0"/>
                      <w:sz w:val="21"/>
                      <w:szCs w:val="21"/>
                    </w:rPr>
                  </w:pPr>
                  <w:r>
                    <w:rPr>
                      <w:bCs/>
                      <w:color w:val="auto"/>
                      <w:kern w:val="0"/>
                      <w:sz w:val="21"/>
                      <w:szCs w:val="21"/>
                    </w:rPr>
                    <w:t>生活垃圾</w:t>
                  </w:r>
                </w:p>
              </w:tc>
              <w:tc>
                <w:tcPr>
                  <w:tcW w:w="1069" w:type="dxa"/>
                  <w:tcBorders>
                    <w:right w:val="nil"/>
                  </w:tcBorders>
                  <w:vAlign w:val="center"/>
                </w:tcPr>
                <w:p w14:paraId="0064EE82">
                  <w:pPr>
                    <w:jc w:val="center"/>
                    <w:rPr>
                      <w:bCs/>
                      <w:color w:val="auto"/>
                      <w:kern w:val="0"/>
                      <w:sz w:val="21"/>
                      <w:szCs w:val="21"/>
                    </w:rPr>
                  </w:pPr>
                  <w:r>
                    <w:rPr>
                      <w:bCs/>
                      <w:color w:val="auto"/>
                      <w:kern w:val="0"/>
                      <w:sz w:val="21"/>
                      <w:szCs w:val="21"/>
                    </w:rPr>
                    <w:t>/</w:t>
                  </w:r>
                </w:p>
              </w:tc>
            </w:tr>
            <w:tr w14:paraId="21297A7B">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1" w:type="dxa"/>
                  <w:vMerge w:val="continue"/>
                  <w:tcBorders>
                    <w:left w:val="nil"/>
                  </w:tcBorders>
                  <w:vAlign w:val="center"/>
                </w:tcPr>
                <w:p w14:paraId="09EB5285">
                  <w:pPr>
                    <w:jc w:val="center"/>
                    <w:rPr>
                      <w:bCs/>
                      <w:color w:val="auto"/>
                      <w:kern w:val="0"/>
                      <w:sz w:val="21"/>
                      <w:szCs w:val="21"/>
                    </w:rPr>
                  </w:pPr>
                </w:p>
              </w:tc>
              <w:tc>
                <w:tcPr>
                  <w:tcW w:w="971" w:type="dxa"/>
                  <w:vMerge w:val="continue"/>
                  <w:vAlign w:val="center"/>
                </w:tcPr>
                <w:p w14:paraId="5AA00688">
                  <w:pPr>
                    <w:jc w:val="center"/>
                    <w:rPr>
                      <w:bCs/>
                      <w:color w:val="auto"/>
                      <w:kern w:val="0"/>
                      <w:sz w:val="21"/>
                      <w:szCs w:val="21"/>
                    </w:rPr>
                  </w:pPr>
                </w:p>
              </w:tc>
              <w:tc>
                <w:tcPr>
                  <w:tcW w:w="2222" w:type="dxa"/>
                  <w:vAlign w:val="center"/>
                </w:tcPr>
                <w:p w14:paraId="5900333B">
                  <w:pPr>
                    <w:jc w:val="center"/>
                    <w:rPr>
                      <w:bCs/>
                      <w:color w:val="auto"/>
                      <w:kern w:val="0"/>
                      <w:sz w:val="21"/>
                      <w:szCs w:val="21"/>
                    </w:rPr>
                  </w:pPr>
                  <w:r>
                    <w:rPr>
                      <w:rFonts w:hint="eastAsia"/>
                      <w:bCs/>
                      <w:color w:val="auto"/>
                      <w:kern w:val="0"/>
                      <w:sz w:val="21"/>
                      <w:szCs w:val="21"/>
                    </w:rPr>
                    <w:t>门诊、住院</w:t>
                  </w:r>
                </w:p>
              </w:tc>
              <w:tc>
                <w:tcPr>
                  <w:tcW w:w="3669" w:type="dxa"/>
                  <w:vAlign w:val="center"/>
                </w:tcPr>
                <w:p w14:paraId="03E585CF">
                  <w:pPr>
                    <w:jc w:val="center"/>
                    <w:rPr>
                      <w:color w:val="auto"/>
                      <w:kern w:val="0"/>
                      <w:sz w:val="21"/>
                      <w:szCs w:val="21"/>
                    </w:rPr>
                  </w:pPr>
                  <w:r>
                    <w:rPr>
                      <w:rFonts w:hint="eastAsia"/>
                      <w:bCs/>
                      <w:color w:val="auto"/>
                      <w:kern w:val="0"/>
                      <w:sz w:val="21"/>
                      <w:szCs w:val="21"/>
                      <w:lang w:val="en-US" w:eastAsia="zh-CN"/>
                    </w:rPr>
                    <w:t>未污染的</w:t>
                  </w:r>
                  <w:r>
                    <w:rPr>
                      <w:rFonts w:hint="eastAsia"/>
                      <w:bCs/>
                      <w:color w:val="auto"/>
                      <w:kern w:val="0"/>
                      <w:sz w:val="21"/>
                      <w:szCs w:val="21"/>
                    </w:rPr>
                    <w:t>输液瓶袋</w:t>
                  </w:r>
                </w:p>
              </w:tc>
              <w:tc>
                <w:tcPr>
                  <w:tcW w:w="1069" w:type="dxa"/>
                  <w:vMerge w:val="restart"/>
                  <w:tcBorders>
                    <w:right w:val="nil"/>
                  </w:tcBorders>
                  <w:vAlign w:val="center"/>
                </w:tcPr>
                <w:p w14:paraId="17689295">
                  <w:pPr>
                    <w:jc w:val="center"/>
                    <w:rPr>
                      <w:bCs/>
                      <w:color w:val="auto"/>
                      <w:kern w:val="0"/>
                      <w:sz w:val="21"/>
                      <w:szCs w:val="21"/>
                    </w:rPr>
                  </w:pPr>
                  <w:r>
                    <w:rPr>
                      <w:rFonts w:hint="eastAsia"/>
                      <w:bCs/>
                      <w:color w:val="auto"/>
                      <w:kern w:val="0"/>
                      <w:sz w:val="21"/>
                      <w:szCs w:val="21"/>
                    </w:rPr>
                    <w:t>一般固废</w:t>
                  </w:r>
                </w:p>
              </w:tc>
            </w:tr>
            <w:tr w14:paraId="152FEE5E">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381" w:type="dxa"/>
                  <w:vMerge w:val="continue"/>
                  <w:tcBorders>
                    <w:left w:val="nil"/>
                  </w:tcBorders>
                  <w:vAlign w:val="center"/>
                </w:tcPr>
                <w:p w14:paraId="3C2216B1">
                  <w:pPr>
                    <w:jc w:val="center"/>
                    <w:rPr>
                      <w:bCs/>
                      <w:color w:val="auto"/>
                      <w:kern w:val="0"/>
                      <w:sz w:val="21"/>
                      <w:szCs w:val="21"/>
                    </w:rPr>
                  </w:pPr>
                </w:p>
              </w:tc>
              <w:tc>
                <w:tcPr>
                  <w:tcW w:w="971" w:type="dxa"/>
                  <w:vMerge w:val="continue"/>
                  <w:vAlign w:val="center"/>
                </w:tcPr>
                <w:p w14:paraId="51704EF3">
                  <w:pPr>
                    <w:jc w:val="center"/>
                    <w:rPr>
                      <w:bCs/>
                      <w:color w:val="auto"/>
                      <w:kern w:val="0"/>
                      <w:sz w:val="21"/>
                      <w:szCs w:val="21"/>
                    </w:rPr>
                  </w:pPr>
                </w:p>
              </w:tc>
              <w:tc>
                <w:tcPr>
                  <w:tcW w:w="2222" w:type="dxa"/>
                  <w:vAlign w:val="center"/>
                </w:tcPr>
                <w:p w14:paraId="7E93D3A3">
                  <w:pPr>
                    <w:jc w:val="center"/>
                    <w:rPr>
                      <w:bCs/>
                      <w:color w:val="auto"/>
                      <w:kern w:val="0"/>
                      <w:sz w:val="21"/>
                      <w:szCs w:val="21"/>
                    </w:rPr>
                  </w:pPr>
                  <w:r>
                    <w:rPr>
                      <w:rFonts w:hint="eastAsia"/>
                      <w:bCs/>
                      <w:color w:val="auto"/>
                      <w:kern w:val="0"/>
                      <w:sz w:val="21"/>
                      <w:szCs w:val="21"/>
                    </w:rPr>
                    <w:t>药房</w:t>
                  </w:r>
                </w:p>
              </w:tc>
              <w:tc>
                <w:tcPr>
                  <w:tcW w:w="3669" w:type="dxa"/>
                  <w:vAlign w:val="center"/>
                </w:tcPr>
                <w:p w14:paraId="64300D63">
                  <w:pPr>
                    <w:jc w:val="center"/>
                    <w:rPr>
                      <w:bCs/>
                      <w:color w:val="auto"/>
                      <w:kern w:val="0"/>
                      <w:sz w:val="21"/>
                      <w:szCs w:val="21"/>
                    </w:rPr>
                  </w:pPr>
                  <w:r>
                    <w:rPr>
                      <w:rFonts w:hint="eastAsia"/>
                      <w:bCs/>
                      <w:color w:val="auto"/>
                      <w:kern w:val="0"/>
                      <w:sz w:val="21"/>
                      <w:szCs w:val="21"/>
                    </w:rPr>
                    <w:t>药品包装盒</w:t>
                  </w:r>
                </w:p>
              </w:tc>
              <w:tc>
                <w:tcPr>
                  <w:tcW w:w="1069" w:type="dxa"/>
                  <w:vMerge w:val="continue"/>
                  <w:tcBorders>
                    <w:right w:val="nil"/>
                  </w:tcBorders>
                  <w:vAlign w:val="center"/>
                </w:tcPr>
                <w:p w14:paraId="11BF27CE">
                  <w:pPr>
                    <w:jc w:val="center"/>
                    <w:rPr>
                      <w:bCs/>
                      <w:color w:val="auto"/>
                      <w:kern w:val="0"/>
                      <w:sz w:val="21"/>
                      <w:szCs w:val="21"/>
                    </w:rPr>
                  </w:pPr>
                </w:p>
              </w:tc>
            </w:tr>
            <w:tr w14:paraId="3FF01687">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381" w:type="dxa"/>
                  <w:vMerge w:val="continue"/>
                  <w:tcBorders>
                    <w:left w:val="nil"/>
                  </w:tcBorders>
                  <w:vAlign w:val="center"/>
                </w:tcPr>
                <w:p w14:paraId="50452EF0">
                  <w:pPr>
                    <w:jc w:val="center"/>
                    <w:rPr>
                      <w:bCs/>
                      <w:color w:val="auto"/>
                      <w:kern w:val="0"/>
                      <w:sz w:val="21"/>
                      <w:szCs w:val="21"/>
                    </w:rPr>
                  </w:pPr>
                </w:p>
              </w:tc>
              <w:tc>
                <w:tcPr>
                  <w:tcW w:w="971" w:type="dxa"/>
                  <w:vMerge w:val="continue"/>
                  <w:vAlign w:val="center"/>
                </w:tcPr>
                <w:p w14:paraId="07D4779E">
                  <w:pPr>
                    <w:jc w:val="center"/>
                    <w:rPr>
                      <w:bCs/>
                      <w:color w:val="auto"/>
                      <w:kern w:val="0"/>
                      <w:sz w:val="21"/>
                      <w:szCs w:val="21"/>
                    </w:rPr>
                  </w:pPr>
                </w:p>
              </w:tc>
              <w:tc>
                <w:tcPr>
                  <w:tcW w:w="2222" w:type="dxa"/>
                  <w:vAlign w:val="center"/>
                </w:tcPr>
                <w:p w14:paraId="30EB910C">
                  <w:pPr>
                    <w:jc w:val="center"/>
                    <w:rPr>
                      <w:bCs/>
                      <w:color w:val="auto"/>
                      <w:kern w:val="0"/>
                      <w:sz w:val="21"/>
                      <w:szCs w:val="21"/>
                    </w:rPr>
                  </w:pPr>
                  <w:r>
                    <w:rPr>
                      <w:rFonts w:hint="eastAsia"/>
                      <w:bCs/>
                      <w:color w:val="auto"/>
                      <w:kern w:val="0"/>
                      <w:sz w:val="21"/>
                      <w:szCs w:val="21"/>
                    </w:rPr>
                    <w:t>中医馆</w:t>
                  </w:r>
                </w:p>
              </w:tc>
              <w:tc>
                <w:tcPr>
                  <w:tcW w:w="3669" w:type="dxa"/>
                  <w:vAlign w:val="center"/>
                </w:tcPr>
                <w:p w14:paraId="5A2A37FD">
                  <w:pPr>
                    <w:jc w:val="center"/>
                    <w:rPr>
                      <w:bCs/>
                      <w:color w:val="auto"/>
                      <w:kern w:val="0"/>
                      <w:sz w:val="21"/>
                      <w:szCs w:val="21"/>
                    </w:rPr>
                  </w:pPr>
                  <w:r>
                    <w:rPr>
                      <w:rFonts w:hint="eastAsia"/>
                      <w:bCs/>
                      <w:color w:val="auto"/>
                      <w:kern w:val="0"/>
                      <w:sz w:val="21"/>
                      <w:szCs w:val="21"/>
                    </w:rPr>
                    <w:t>废中药渣</w:t>
                  </w:r>
                </w:p>
              </w:tc>
              <w:tc>
                <w:tcPr>
                  <w:tcW w:w="1069" w:type="dxa"/>
                  <w:vMerge w:val="continue"/>
                  <w:tcBorders>
                    <w:right w:val="nil"/>
                  </w:tcBorders>
                  <w:vAlign w:val="center"/>
                </w:tcPr>
                <w:p w14:paraId="15DBCCDE">
                  <w:pPr>
                    <w:jc w:val="center"/>
                    <w:rPr>
                      <w:bCs/>
                      <w:color w:val="auto"/>
                      <w:kern w:val="0"/>
                      <w:sz w:val="21"/>
                      <w:szCs w:val="21"/>
                    </w:rPr>
                  </w:pPr>
                </w:p>
              </w:tc>
            </w:tr>
            <w:tr w14:paraId="7F73466B">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PrEx>
              <w:trPr>
                <w:trHeight w:val="369" w:hRule="atLeast"/>
                <w:jc w:val="center"/>
              </w:trPr>
              <w:tc>
                <w:tcPr>
                  <w:tcW w:w="381" w:type="dxa"/>
                  <w:vMerge w:val="continue"/>
                  <w:tcBorders>
                    <w:left w:val="nil"/>
                  </w:tcBorders>
                  <w:vAlign w:val="center"/>
                </w:tcPr>
                <w:p w14:paraId="087E929F">
                  <w:pPr>
                    <w:jc w:val="center"/>
                    <w:rPr>
                      <w:bCs/>
                      <w:color w:val="auto"/>
                      <w:kern w:val="0"/>
                      <w:sz w:val="21"/>
                      <w:szCs w:val="21"/>
                    </w:rPr>
                  </w:pPr>
                </w:p>
              </w:tc>
              <w:tc>
                <w:tcPr>
                  <w:tcW w:w="971" w:type="dxa"/>
                  <w:vMerge w:val="continue"/>
                  <w:vAlign w:val="center"/>
                </w:tcPr>
                <w:p w14:paraId="298D6942">
                  <w:pPr>
                    <w:jc w:val="center"/>
                    <w:rPr>
                      <w:bCs/>
                      <w:color w:val="auto"/>
                      <w:kern w:val="0"/>
                      <w:sz w:val="21"/>
                      <w:szCs w:val="21"/>
                    </w:rPr>
                  </w:pPr>
                </w:p>
              </w:tc>
              <w:tc>
                <w:tcPr>
                  <w:tcW w:w="2222" w:type="dxa"/>
                  <w:vAlign w:val="center"/>
                </w:tcPr>
                <w:p w14:paraId="5B9833C3">
                  <w:pPr>
                    <w:jc w:val="center"/>
                    <w:rPr>
                      <w:bCs/>
                      <w:color w:val="auto"/>
                      <w:kern w:val="0"/>
                      <w:sz w:val="21"/>
                      <w:szCs w:val="21"/>
                    </w:rPr>
                  </w:pPr>
                  <w:r>
                    <w:rPr>
                      <w:rFonts w:hint="eastAsia"/>
                      <w:bCs/>
                      <w:color w:val="auto"/>
                      <w:kern w:val="0"/>
                      <w:sz w:val="21"/>
                      <w:szCs w:val="21"/>
                    </w:rPr>
                    <w:t>各科室</w:t>
                  </w:r>
                </w:p>
              </w:tc>
              <w:tc>
                <w:tcPr>
                  <w:tcW w:w="3669" w:type="dxa"/>
                  <w:vAlign w:val="center"/>
                </w:tcPr>
                <w:p w14:paraId="54DE574A">
                  <w:pPr>
                    <w:jc w:val="center"/>
                    <w:rPr>
                      <w:bCs/>
                      <w:color w:val="auto"/>
                      <w:kern w:val="0"/>
                      <w:sz w:val="21"/>
                      <w:szCs w:val="21"/>
                    </w:rPr>
                  </w:pPr>
                  <w:r>
                    <w:rPr>
                      <w:bCs/>
                      <w:color w:val="auto"/>
                      <w:kern w:val="0"/>
                      <w:sz w:val="21"/>
                      <w:szCs w:val="21"/>
                    </w:rPr>
                    <w:t>医疗废物</w:t>
                  </w:r>
                </w:p>
              </w:tc>
              <w:tc>
                <w:tcPr>
                  <w:tcW w:w="1069" w:type="dxa"/>
                  <w:tcBorders>
                    <w:right w:val="nil"/>
                  </w:tcBorders>
                  <w:vAlign w:val="center"/>
                </w:tcPr>
                <w:p w14:paraId="19640A8E">
                  <w:pPr>
                    <w:jc w:val="center"/>
                    <w:rPr>
                      <w:bCs/>
                      <w:color w:val="auto"/>
                      <w:kern w:val="0"/>
                      <w:sz w:val="21"/>
                      <w:szCs w:val="21"/>
                    </w:rPr>
                  </w:pPr>
                  <w:r>
                    <w:rPr>
                      <w:bCs/>
                      <w:color w:val="auto"/>
                      <w:kern w:val="0"/>
                      <w:sz w:val="21"/>
                      <w:szCs w:val="21"/>
                    </w:rPr>
                    <w:t>危废HW01</w:t>
                  </w:r>
                </w:p>
              </w:tc>
            </w:tr>
            <w:tr w14:paraId="1C2257A3">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81" w:type="dxa"/>
                  <w:vMerge w:val="continue"/>
                  <w:tcBorders>
                    <w:left w:val="nil"/>
                  </w:tcBorders>
                  <w:vAlign w:val="center"/>
                </w:tcPr>
                <w:p w14:paraId="2083ED2D">
                  <w:pPr>
                    <w:jc w:val="center"/>
                    <w:rPr>
                      <w:bCs/>
                      <w:color w:val="auto"/>
                      <w:kern w:val="0"/>
                      <w:sz w:val="21"/>
                      <w:szCs w:val="21"/>
                    </w:rPr>
                  </w:pPr>
                </w:p>
              </w:tc>
              <w:tc>
                <w:tcPr>
                  <w:tcW w:w="971" w:type="dxa"/>
                  <w:vMerge w:val="continue"/>
                  <w:vAlign w:val="center"/>
                </w:tcPr>
                <w:p w14:paraId="3F68A97F">
                  <w:pPr>
                    <w:jc w:val="center"/>
                    <w:rPr>
                      <w:bCs/>
                      <w:color w:val="auto"/>
                      <w:kern w:val="0"/>
                      <w:sz w:val="21"/>
                      <w:szCs w:val="21"/>
                    </w:rPr>
                  </w:pPr>
                </w:p>
              </w:tc>
              <w:tc>
                <w:tcPr>
                  <w:tcW w:w="2222" w:type="dxa"/>
                  <w:vAlign w:val="center"/>
                </w:tcPr>
                <w:p w14:paraId="095816E0">
                  <w:pPr>
                    <w:jc w:val="center"/>
                    <w:rPr>
                      <w:rFonts w:hint="default" w:eastAsia="宋体"/>
                      <w:bCs/>
                      <w:color w:val="auto"/>
                      <w:kern w:val="0"/>
                      <w:sz w:val="21"/>
                      <w:szCs w:val="21"/>
                      <w:lang w:val="en-US" w:eastAsia="zh-CN"/>
                    </w:rPr>
                  </w:pPr>
                  <w:r>
                    <w:rPr>
                      <w:rFonts w:hint="eastAsia"/>
                      <w:bCs/>
                      <w:color w:val="auto"/>
                      <w:kern w:val="0"/>
                      <w:sz w:val="21"/>
                      <w:szCs w:val="21"/>
                      <w:lang w:val="en-US" w:eastAsia="zh-CN"/>
                    </w:rPr>
                    <w:t>化粪池、污水处理站</w:t>
                  </w:r>
                </w:p>
              </w:tc>
              <w:tc>
                <w:tcPr>
                  <w:tcW w:w="3669" w:type="dxa"/>
                  <w:vAlign w:val="center"/>
                </w:tcPr>
                <w:p w14:paraId="61AA0637">
                  <w:pPr>
                    <w:jc w:val="center"/>
                    <w:rPr>
                      <w:bCs/>
                      <w:color w:val="auto"/>
                      <w:kern w:val="0"/>
                      <w:sz w:val="21"/>
                      <w:szCs w:val="21"/>
                    </w:rPr>
                  </w:pPr>
                  <w:r>
                    <w:rPr>
                      <w:bCs/>
                      <w:color w:val="auto"/>
                      <w:kern w:val="0"/>
                      <w:sz w:val="21"/>
                      <w:szCs w:val="21"/>
                    </w:rPr>
                    <w:t>污泥</w:t>
                  </w:r>
                </w:p>
              </w:tc>
              <w:tc>
                <w:tcPr>
                  <w:tcW w:w="1069" w:type="dxa"/>
                  <w:tcBorders>
                    <w:right w:val="nil"/>
                  </w:tcBorders>
                  <w:vAlign w:val="center"/>
                </w:tcPr>
                <w:p w14:paraId="47F80676">
                  <w:pPr>
                    <w:jc w:val="center"/>
                    <w:rPr>
                      <w:bCs/>
                      <w:color w:val="auto"/>
                      <w:kern w:val="0"/>
                      <w:sz w:val="21"/>
                      <w:szCs w:val="21"/>
                    </w:rPr>
                  </w:pPr>
                  <w:r>
                    <w:rPr>
                      <w:bCs/>
                      <w:color w:val="auto"/>
                      <w:kern w:val="0"/>
                      <w:sz w:val="21"/>
                      <w:szCs w:val="21"/>
                    </w:rPr>
                    <w:t>危废HW</w:t>
                  </w:r>
                  <w:r>
                    <w:rPr>
                      <w:rFonts w:hint="eastAsia"/>
                      <w:bCs/>
                      <w:color w:val="auto"/>
                      <w:kern w:val="0"/>
                      <w:sz w:val="21"/>
                      <w:szCs w:val="21"/>
                    </w:rPr>
                    <w:t>49</w:t>
                  </w:r>
                </w:p>
              </w:tc>
            </w:tr>
            <w:tr w14:paraId="394125BB">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381" w:type="dxa"/>
                  <w:vMerge w:val="continue"/>
                  <w:tcBorders>
                    <w:left w:val="nil"/>
                  </w:tcBorders>
                  <w:vAlign w:val="center"/>
                </w:tcPr>
                <w:p w14:paraId="55B4F66E">
                  <w:pPr>
                    <w:jc w:val="center"/>
                    <w:rPr>
                      <w:bCs/>
                      <w:color w:val="auto"/>
                      <w:kern w:val="0"/>
                      <w:sz w:val="21"/>
                      <w:szCs w:val="21"/>
                    </w:rPr>
                  </w:pPr>
                </w:p>
              </w:tc>
              <w:tc>
                <w:tcPr>
                  <w:tcW w:w="971" w:type="dxa"/>
                  <w:vMerge w:val="continue"/>
                  <w:vAlign w:val="center"/>
                </w:tcPr>
                <w:p w14:paraId="786FC83F">
                  <w:pPr>
                    <w:jc w:val="center"/>
                    <w:rPr>
                      <w:bCs/>
                      <w:color w:val="auto"/>
                      <w:kern w:val="0"/>
                      <w:sz w:val="21"/>
                      <w:szCs w:val="21"/>
                    </w:rPr>
                  </w:pPr>
                </w:p>
              </w:tc>
              <w:tc>
                <w:tcPr>
                  <w:tcW w:w="2222" w:type="dxa"/>
                  <w:vAlign w:val="center"/>
                </w:tcPr>
                <w:p w14:paraId="352283FB">
                  <w:pPr>
                    <w:jc w:val="center"/>
                    <w:rPr>
                      <w:rFonts w:hint="default" w:eastAsia="宋体"/>
                      <w:bCs/>
                      <w:color w:val="auto"/>
                      <w:kern w:val="0"/>
                      <w:sz w:val="21"/>
                      <w:szCs w:val="21"/>
                      <w:lang w:val="en-US" w:eastAsia="zh-CN"/>
                    </w:rPr>
                  </w:pPr>
                  <w:r>
                    <w:rPr>
                      <w:rFonts w:hint="eastAsia"/>
                      <w:bCs/>
                      <w:color w:val="auto"/>
                      <w:kern w:val="0"/>
                      <w:sz w:val="21"/>
                      <w:szCs w:val="21"/>
                      <w:lang w:val="en-US" w:eastAsia="zh-CN"/>
                    </w:rPr>
                    <w:t>消毒</w:t>
                  </w:r>
                </w:p>
              </w:tc>
              <w:tc>
                <w:tcPr>
                  <w:tcW w:w="3669" w:type="dxa"/>
                  <w:vAlign w:val="center"/>
                </w:tcPr>
                <w:p w14:paraId="3EA02F9B">
                  <w:pPr>
                    <w:jc w:val="center"/>
                    <w:rPr>
                      <w:bCs/>
                      <w:color w:val="auto"/>
                      <w:kern w:val="0"/>
                      <w:sz w:val="21"/>
                      <w:szCs w:val="21"/>
                    </w:rPr>
                  </w:pPr>
                  <w:r>
                    <w:rPr>
                      <w:rFonts w:hint="eastAsia"/>
                      <w:bCs/>
                      <w:color w:val="auto"/>
                      <w:kern w:val="0"/>
                      <w:sz w:val="21"/>
                      <w:szCs w:val="21"/>
                    </w:rPr>
                    <w:t>废紫外线灯管</w:t>
                  </w:r>
                </w:p>
              </w:tc>
              <w:tc>
                <w:tcPr>
                  <w:tcW w:w="1069" w:type="dxa"/>
                  <w:tcBorders>
                    <w:right w:val="nil"/>
                  </w:tcBorders>
                  <w:vAlign w:val="center"/>
                </w:tcPr>
                <w:p w14:paraId="4360C054">
                  <w:pPr>
                    <w:jc w:val="center"/>
                    <w:rPr>
                      <w:bCs/>
                      <w:color w:val="auto"/>
                      <w:kern w:val="0"/>
                      <w:sz w:val="21"/>
                      <w:szCs w:val="21"/>
                    </w:rPr>
                  </w:pPr>
                  <w:r>
                    <w:rPr>
                      <w:bCs/>
                      <w:color w:val="auto"/>
                      <w:kern w:val="0"/>
                      <w:sz w:val="21"/>
                      <w:szCs w:val="21"/>
                    </w:rPr>
                    <w:t>危废HW29</w:t>
                  </w:r>
                </w:p>
              </w:tc>
            </w:tr>
            <w:tr w14:paraId="33FF2F46">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dxa"/>
                  <w:vMerge w:val="continue"/>
                  <w:tcBorders>
                    <w:left w:val="nil"/>
                  </w:tcBorders>
                  <w:vAlign w:val="center"/>
                </w:tcPr>
                <w:p w14:paraId="2465E83B">
                  <w:pPr>
                    <w:jc w:val="center"/>
                    <w:rPr>
                      <w:bCs/>
                      <w:color w:val="auto"/>
                      <w:kern w:val="0"/>
                      <w:sz w:val="21"/>
                      <w:szCs w:val="21"/>
                    </w:rPr>
                  </w:pPr>
                </w:p>
              </w:tc>
              <w:tc>
                <w:tcPr>
                  <w:tcW w:w="971" w:type="dxa"/>
                  <w:vMerge w:val="continue"/>
                  <w:vAlign w:val="center"/>
                </w:tcPr>
                <w:p w14:paraId="383CE4E8">
                  <w:pPr>
                    <w:jc w:val="center"/>
                    <w:rPr>
                      <w:bCs/>
                      <w:color w:val="auto"/>
                      <w:kern w:val="0"/>
                      <w:sz w:val="21"/>
                      <w:szCs w:val="21"/>
                    </w:rPr>
                  </w:pPr>
                </w:p>
              </w:tc>
              <w:tc>
                <w:tcPr>
                  <w:tcW w:w="2222" w:type="dxa"/>
                  <w:shd w:val="clear" w:color="auto" w:fill="auto"/>
                  <w:vAlign w:val="center"/>
                </w:tcPr>
                <w:p w14:paraId="3AC8B2EB">
                  <w:pPr>
                    <w:jc w:val="center"/>
                    <w:rPr>
                      <w:rFonts w:hint="eastAsia" w:ascii="Times New Roman" w:hAnsi="Times New Roman" w:eastAsia="宋体" w:cs="Times New Roman"/>
                      <w:bCs/>
                      <w:color w:val="auto"/>
                      <w:kern w:val="0"/>
                      <w:sz w:val="21"/>
                      <w:szCs w:val="21"/>
                      <w:lang w:val="en-US" w:eastAsia="zh-CN" w:bidi="ar-SA"/>
                    </w:rPr>
                  </w:pPr>
                  <w:r>
                    <w:rPr>
                      <w:rFonts w:hint="eastAsia"/>
                      <w:bCs/>
                      <w:color w:val="auto"/>
                      <w:kern w:val="0"/>
                      <w:sz w:val="21"/>
                      <w:szCs w:val="21"/>
                      <w:lang w:val="en-US" w:eastAsia="zh-CN"/>
                    </w:rPr>
                    <w:t>污水处理站</w:t>
                  </w:r>
                </w:p>
              </w:tc>
              <w:tc>
                <w:tcPr>
                  <w:tcW w:w="3669" w:type="dxa"/>
                  <w:shd w:val="clear" w:color="auto" w:fill="auto"/>
                  <w:vAlign w:val="center"/>
                </w:tcPr>
                <w:p w14:paraId="7308E51F">
                  <w:pPr>
                    <w:jc w:val="center"/>
                    <w:rPr>
                      <w:rFonts w:hint="eastAsia" w:ascii="Times New Roman" w:hAnsi="Times New Roman" w:eastAsia="宋体" w:cs="Times New Roman"/>
                      <w:bCs/>
                      <w:color w:val="auto"/>
                      <w:kern w:val="0"/>
                      <w:sz w:val="21"/>
                      <w:szCs w:val="21"/>
                      <w:lang w:val="en-US" w:eastAsia="zh-CN" w:bidi="ar-SA"/>
                    </w:rPr>
                  </w:pPr>
                  <w:r>
                    <w:rPr>
                      <w:rFonts w:hint="eastAsia"/>
                      <w:bCs/>
                      <w:color w:val="auto"/>
                      <w:kern w:val="0"/>
                      <w:sz w:val="21"/>
                      <w:szCs w:val="21"/>
                      <w:lang w:val="en-US" w:eastAsia="zh-CN"/>
                    </w:rPr>
                    <w:t>废MBR膜</w:t>
                  </w:r>
                </w:p>
              </w:tc>
              <w:tc>
                <w:tcPr>
                  <w:tcW w:w="1069" w:type="dxa"/>
                  <w:tcBorders>
                    <w:right w:val="nil"/>
                  </w:tcBorders>
                  <w:vAlign w:val="center"/>
                </w:tcPr>
                <w:p w14:paraId="53F33801">
                  <w:pPr>
                    <w:jc w:val="center"/>
                    <w:rPr>
                      <w:rFonts w:hint="default" w:eastAsia="宋体"/>
                      <w:bCs/>
                      <w:color w:val="auto"/>
                      <w:kern w:val="0"/>
                      <w:sz w:val="21"/>
                      <w:szCs w:val="21"/>
                      <w:lang w:val="en-US" w:eastAsia="zh-CN"/>
                    </w:rPr>
                  </w:pPr>
                  <w:r>
                    <w:rPr>
                      <w:bCs/>
                      <w:color w:val="auto"/>
                      <w:kern w:val="0"/>
                      <w:sz w:val="21"/>
                      <w:szCs w:val="21"/>
                    </w:rPr>
                    <w:t>危废HW</w:t>
                  </w:r>
                  <w:r>
                    <w:rPr>
                      <w:rFonts w:hint="eastAsia"/>
                      <w:bCs/>
                      <w:color w:val="auto"/>
                      <w:kern w:val="0"/>
                      <w:sz w:val="21"/>
                      <w:szCs w:val="21"/>
                      <w:lang w:val="en-US" w:eastAsia="zh-CN"/>
                    </w:rPr>
                    <w:t>49</w:t>
                  </w:r>
                </w:p>
              </w:tc>
            </w:tr>
          </w:tbl>
          <w:p w14:paraId="30EF0708">
            <w:pPr>
              <w:adjustRightInd w:val="0"/>
              <w:snapToGrid w:val="0"/>
              <w:rPr>
                <w:bCs/>
                <w:color w:val="auto"/>
                <w:szCs w:val="21"/>
              </w:rPr>
            </w:pPr>
          </w:p>
        </w:tc>
      </w:tr>
      <w:tr w14:paraId="31EDCB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45" w:type="dxa"/>
            <w:vAlign w:val="center"/>
          </w:tcPr>
          <w:p w14:paraId="61E3E998">
            <w:pPr>
              <w:pStyle w:val="16"/>
              <w:adjustRightInd w:val="0"/>
              <w:snapToGrid w:val="0"/>
              <w:spacing w:before="0" w:beforeAutospacing="0" w:after="0" w:afterAutospacing="0"/>
              <w:jc w:val="center"/>
              <w:rPr>
                <w:rFonts w:ascii="Times New Roman" w:hAnsi="Times New Roman"/>
                <w:bCs/>
                <w:color w:val="auto"/>
                <w:kern w:val="2"/>
                <w:szCs w:val="24"/>
              </w:rPr>
            </w:pPr>
          </w:p>
          <w:p w14:paraId="18CFCBD9">
            <w:pPr>
              <w:pStyle w:val="16"/>
              <w:adjustRightInd w:val="0"/>
              <w:snapToGrid w:val="0"/>
              <w:spacing w:before="0" w:beforeAutospacing="0" w:after="0" w:afterAutospacing="0"/>
              <w:jc w:val="center"/>
              <w:rPr>
                <w:rFonts w:ascii="Times New Roman" w:hAnsi="Times New Roman"/>
                <w:bCs/>
                <w:color w:val="auto"/>
                <w:kern w:val="2"/>
                <w:szCs w:val="24"/>
              </w:rPr>
            </w:pPr>
          </w:p>
          <w:p w14:paraId="2481A090">
            <w:pPr>
              <w:pStyle w:val="16"/>
              <w:adjustRightInd w:val="0"/>
              <w:snapToGrid w:val="0"/>
              <w:spacing w:before="0" w:beforeAutospacing="0" w:after="0" w:afterAutospacing="0"/>
              <w:jc w:val="center"/>
              <w:rPr>
                <w:rFonts w:ascii="Times New Roman" w:hAnsi="Times New Roman"/>
                <w:bCs/>
                <w:color w:val="auto"/>
                <w:kern w:val="2"/>
                <w:szCs w:val="24"/>
              </w:rPr>
            </w:pPr>
          </w:p>
          <w:p w14:paraId="29A5A0F7">
            <w:pPr>
              <w:pStyle w:val="16"/>
              <w:adjustRightInd w:val="0"/>
              <w:snapToGrid w:val="0"/>
              <w:spacing w:before="0" w:beforeAutospacing="0" w:after="0" w:afterAutospacing="0"/>
              <w:jc w:val="center"/>
              <w:rPr>
                <w:rFonts w:ascii="Times New Roman" w:hAnsi="Times New Roman"/>
                <w:bCs/>
                <w:color w:val="auto"/>
                <w:kern w:val="2"/>
                <w:szCs w:val="24"/>
              </w:rPr>
            </w:pPr>
          </w:p>
          <w:p w14:paraId="7019C3CC">
            <w:pPr>
              <w:pStyle w:val="16"/>
              <w:adjustRightInd w:val="0"/>
              <w:snapToGrid w:val="0"/>
              <w:spacing w:before="0" w:beforeAutospacing="0" w:after="0" w:afterAutospacing="0"/>
              <w:jc w:val="center"/>
              <w:rPr>
                <w:rFonts w:ascii="Times New Roman" w:hAnsi="Times New Roman"/>
                <w:bCs/>
                <w:color w:val="auto"/>
                <w:kern w:val="2"/>
                <w:szCs w:val="24"/>
              </w:rPr>
            </w:pPr>
          </w:p>
          <w:p w14:paraId="5A1427E6">
            <w:pPr>
              <w:pStyle w:val="16"/>
              <w:adjustRightInd w:val="0"/>
              <w:snapToGrid w:val="0"/>
              <w:spacing w:before="0" w:beforeAutospacing="0" w:after="0" w:afterAutospacing="0"/>
              <w:jc w:val="center"/>
              <w:rPr>
                <w:rFonts w:ascii="Times New Roman" w:hAnsi="Times New Roman"/>
                <w:bCs/>
                <w:color w:val="auto"/>
                <w:kern w:val="2"/>
                <w:szCs w:val="24"/>
              </w:rPr>
            </w:pPr>
          </w:p>
          <w:p w14:paraId="4BDB1F48">
            <w:pPr>
              <w:pStyle w:val="16"/>
              <w:adjustRightInd w:val="0"/>
              <w:snapToGrid w:val="0"/>
              <w:spacing w:before="0" w:beforeAutospacing="0" w:after="0" w:afterAutospacing="0"/>
              <w:jc w:val="center"/>
              <w:rPr>
                <w:rFonts w:ascii="Times New Roman" w:hAnsi="Times New Roman"/>
                <w:bCs/>
                <w:color w:val="auto"/>
                <w:kern w:val="2"/>
                <w:szCs w:val="24"/>
              </w:rPr>
            </w:pPr>
          </w:p>
          <w:p w14:paraId="4E780FED">
            <w:pPr>
              <w:pStyle w:val="16"/>
              <w:adjustRightInd w:val="0"/>
              <w:snapToGrid w:val="0"/>
              <w:spacing w:before="0" w:beforeAutospacing="0" w:after="0" w:afterAutospacing="0"/>
              <w:jc w:val="center"/>
              <w:rPr>
                <w:rFonts w:ascii="Times New Roman" w:hAnsi="Times New Roman"/>
                <w:bCs/>
                <w:color w:val="auto"/>
                <w:kern w:val="2"/>
                <w:szCs w:val="24"/>
              </w:rPr>
            </w:pPr>
          </w:p>
          <w:p w14:paraId="0B9DB8AE">
            <w:pPr>
              <w:pStyle w:val="16"/>
              <w:adjustRightInd w:val="0"/>
              <w:snapToGrid w:val="0"/>
              <w:spacing w:before="0" w:beforeAutospacing="0" w:after="0" w:afterAutospacing="0"/>
              <w:jc w:val="center"/>
              <w:rPr>
                <w:rFonts w:ascii="Times New Roman" w:hAnsi="Times New Roman"/>
                <w:bCs/>
                <w:color w:val="auto"/>
                <w:kern w:val="2"/>
                <w:szCs w:val="24"/>
              </w:rPr>
            </w:pPr>
            <w:r>
              <w:rPr>
                <w:rFonts w:ascii="Times New Roman" w:hAnsi="Times New Roman"/>
                <w:bCs/>
                <w:color w:val="auto"/>
                <w:kern w:val="2"/>
                <w:szCs w:val="24"/>
              </w:rPr>
              <w:t>与项目有关的原有环境污染问题</w:t>
            </w:r>
          </w:p>
          <w:p w14:paraId="5347DA0A">
            <w:pPr>
              <w:pStyle w:val="24"/>
              <w:rPr>
                <w:rFonts w:ascii="Times New Roman" w:hAnsi="Times New Roman"/>
                <w:bCs/>
                <w:color w:val="auto"/>
                <w:kern w:val="2"/>
                <w:szCs w:val="24"/>
              </w:rPr>
            </w:pPr>
          </w:p>
          <w:p w14:paraId="1C88BFCA">
            <w:pPr>
              <w:rPr>
                <w:color w:val="auto"/>
              </w:rPr>
            </w:pPr>
          </w:p>
        </w:tc>
        <w:tc>
          <w:tcPr>
            <w:tcW w:w="8615" w:type="dxa"/>
          </w:tcPr>
          <w:p w14:paraId="2A3A8ABC">
            <w:pPr>
              <w:pStyle w:val="2"/>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rPr>
                <w:rFonts w:hint="eastAsia"/>
                <w:color w:val="auto"/>
                <w:lang w:val="en-US" w:eastAsia="zh-CN"/>
              </w:rPr>
            </w:pPr>
            <w:r>
              <w:rPr>
                <w:rFonts w:hint="eastAsia"/>
                <w:color w:val="auto"/>
                <w:lang w:val="en-US" w:eastAsia="zh-CN"/>
              </w:rPr>
              <w:t xml:space="preserve">  </w:t>
            </w:r>
          </w:p>
          <w:p w14:paraId="4ABF59E8">
            <w:pPr>
              <w:pStyle w:val="2"/>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rPr>
                <w:rFonts w:hint="eastAsia"/>
                <w:color w:val="auto"/>
                <w:lang w:val="en-US" w:eastAsia="zh-CN"/>
              </w:rPr>
            </w:pPr>
            <w:r>
              <w:rPr>
                <w:rFonts w:hint="eastAsia"/>
                <w:color w:val="auto"/>
                <w:lang w:val="en-US" w:eastAsia="zh-CN"/>
              </w:rPr>
              <w:t xml:space="preserve">   </w:t>
            </w:r>
          </w:p>
          <w:p w14:paraId="4B7747F3">
            <w:pPr>
              <w:pStyle w:val="3"/>
              <w:ind w:left="0" w:leftChars="0" w:firstLine="0" w:firstLineChars="0"/>
              <w:rPr>
                <w:rFonts w:hint="eastAsia"/>
                <w:color w:val="auto"/>
                <w:lang w:val="en-US" w:eastAsia="zh-CN"/>
              </w:rPr>
            </w:pPr>
          </w:p>
          <w:p w14:paraId="459063A9">
            <w:pPr>
              <w:pStyle w:val="3"/>
              <w:rPr>
                <w:rFonts w:hint="eastAsia"/>
                <w:color w:val="auto"/>
                <w:lang w:val="en-US" w:eastAsia="zh-CN"/>
              </w:rPr>
            </w:pPr>
          </w:p>
          <w:p w14:paraId="00235010">
            <w:pPr>
              <w:pStyle w:val="2"/>
              <w:keepNext w:val="0"/>
              <w:keepLines w:val="0"/>
              <w:pageBreakBefore w:val="0"/>
              <w:widowControl w:val="0"/>
              <w:kinsoku/>
              <w:wordWrap/>
              <w:overflowPunct/>
              <w:topLinePunct w:val="0"/>
              <w:autoSpaceDE/>
              <w:autoSpaceDN/>
              <w:bidi w:val="0"/>
              <w:adjustRightInd/>
              <w:snapToGrid w:val="0"/>
              <w:spacing w:before="157" w:beforeLines="50"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p>
          <w:p w14:paraId="15DDC4E0">
            <w:pPr>
              <w:pStyle w:val="2"/>
              <w:keepNext w:val="0"/>
              <w:keepLines w:val="0"/>
              <w:pageBreakBefore w:val="0"/>
              <w:widowControl w:val="0"/>
              <w:kinsoku/>
              <w:wordWrap/>
              <w:overflowPunct/>
              <w:topLinePunct w:val="0"/>
              <w:autoSpaceDE/>
              <w:autoSpaceDN/>
              <w:bidi w:val="0"/>
              <w:adjustRightInd/>
              <w:snapToGrid w:val="0"/>
              <w:spacing w:before="157" w:beforeLines="50"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p>
          <w:p w14:paraId="623F6764">
            <w:pPr>
              <w:pStyle w:val="2"/>
              <w:keepNext w:val="0"/>
              <w:keepLines w:val="0"/>
              <w:pageBreakBefore w:val="0"/>
              <w:widowControl w:val="0"/>
              <w:kinsoku/>
              <w:wordWrap/>
              <w:overflowPunct/>
              <w:topLinePunct w:val="0"/>
              <w:autoSpaceDE/>
              <w:autoSpaceDN/>
              <w:bidi w:val="0"/>
              <w:adjustRightInd/>
              <w:snapToGrid w:val="0"/>
              <w:spacing w:before="157" w:beforeLines="50" w:line="360" w:lineRule="auto"/>
              <w:ind w:firstLine="480" w:firstLineChars="200"/>
              <w:textAlignment w:val="auto"/>
              <w:rPr>
                <w:rFonts w:hint="eastAsia" w:ascii="Times New Roman" w:hAnsi="Times New Roman" w:cs="Times New Roman"/>
                <w:color w:val="auto"/>
                <w:sz w:val="24"/>
                <w:lang w:val="en-US" w:eastAsia="zh-CN"/>
              </w:rPr>
            </w:pPr>
            <w:r>
              <w:rPr>
                <w:rFonts w:hint="eastAsia" w:ascii="Times New Roman" w:hAnsi="Times New Roman" w:eastAsia="宋体" w:cs="Times New Roman"/>
                <w:color w:val="auto"/>
                <w:kern w:val="2"/>
                <w:sz w:val="24"/>
                <w:szCs w:val="24"/>
                <w:lang w:val="en-US" w:eastAsia="zh-CN" w:bidi="ar-SA"/>
              </w:rPr>
              <w:t>由于卫生院建设时期较早，未办理环评相关手续。</w:t>
            </w:r>
            <w:r>
              <w:rPr>
                <w:rFonts w:hint="eastAsia" w:ascii="Times New Roman" w:hAnsi="Times New Roman" w:cs="Times New Roman"/>
                <w:color w:val="auto"/>
                <w:sz w:val="24"/>
                <w:lang w:val="en-US" w:eastAsia="zh-CN"/>
              </w:rPr>
              <w:t>本次环评为补办环评。目前，该项目</w:t>
            </w:r>
            <w:r>
              <w:rPr>
                <w:rFonts w:hint="eastAsia" w:cs="Times New Roman"/>
                <w:color w:val="auto"/>
                <w:sz w:val="24"/>
                <w:lang w:val="en-US" w:eastAsia="zh-CN"/>
              </w:rPr>
              <w:t>处于停业状态</w:t>
            </w:r>
            <w:r>
              <w:rPr>
                <w:rFonts w:hint="eastAsia" w:ascii="Times New Roman" w:hAnsi="Times New Roman" w:cs="Times New Roman"/>
                <w:color w:val="auto"/>
                <w:sz w:val="24"/>
                <w:lang w:val="en-US" w:eastAsia="zh-CN"/>
              </w:rPr>
              <w:t>，</w:t>
            </w:r>
            <w:r>
              <w:rPr>
                <w:rFonts w:hint="eastAsia" w:cs="Times New Roman"/>
                <w:color w:val="auto"/>
                <w:sz w:val="24"/>
                <w:lang w:val="en-US" w:eastAsia="zh-CN"/>
              </w:rPr>
              <w:t>已</w:t>
            </w:r>
            <w:r>
              <w:rPr>
                <w:rFonts w:hint="eastAsia" w:ascii="Times New Roman" w:hAnsi="Times New Roman" w:cs="Times New Roman"/>
                <w:color w:val="auto"/>
                <w:sz w:val="24"/>
                <w:lang w:val="en-US" w:eastAsia="zh-CN"/>
              </w:rPr>
              <w:t>受到行政处罚</w:t>
            </w:r>
            <w:r>
              <w:rPr>
                <w:rFonts w:hint="eastAsia" w:cs="Times New Roman"/>
                <w:color w:val="auto"/>
                <w:sz w:val="24"/>
                <w:lang w:val="en-US" w:eastAsia="zh-CN"/>
              </w:rPr>
              <w:t>并缴纳罚款，改造工程未进行</w:t>
            </w:r>
            <w:r>
              <w:rPr>
                <w:rFonts w:hint="eastAsia" w:ascii="Times New Roman" w:hAnsi="Times New Roman" w:cs="Times New Roman"/>
                <w:color w:val="auto"/>
                <w:sz w:val="24"/>
                <w:lang w:val="en-US" w:eastAsia="zh-CN"/>
              </w:rPr>
              <w:t>。根据现场勘察，项目存在以下问题需进行整改：</w:t>
            </w:r>
          </w:p>
          <w:p w14:paraId="50CC417D">
            <w:pPr>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①</w:t>
            </w:r>
            <w:r>
              <w:rPr>
                <w:rFonts w:hint="eastAsia" w:eastAsia="宋体" w:cs="Times New Roman"/>
                <w:color w:val="auto"/>
                <w:sz w:val="24"/>
                <w:lang w:val="en-US" w:eastAsia="zh-CN"/>
              </w:rPr>
              <w:t>未完善</w:t>
            </w:r>
            <w:r>
              <w:rPr>
                <w:rFonts w:hint="eastAsia" w:ascii="Times New Roman" w:hAnsi="Times New Roman" w:eastAsia="宋体" w:cs="Times New Roman"/>
                <w:color w:val="auto"/>
                <w:sz w:val="24"/>
                <w:lang w:val="en-US" w:eastAsia="zh-CN"/>
              </w:rPr>
              <w:t>环评</w:t>
            </w:r>
            <w:r>
              <w:rPr>
                <w:rFonts w:hint="eastAsia" w:eastAsia="宋体" w:cs="Times New Roman"/>
                <w:color w:val="auto"/>
                <w:sz w:val="24"/>
                <w:lang w:val="en-US" w:eastAsia="zh-CN"/>
              </w:rPr>
              <w:t>相关</w:t>
            </w:r>
            <w:r>
              <w:rPr>
                <w:rFonts w:hint="eastAsia" w:ascii="Times New Roman" w:hAnsi="Times New Roman" w:eastAsia="宋体" w:cs="Times New Roman"/>
                <w:color w:val="auto"/>
                <w:sz w:val="24"/>
                <w:lang w:val="en-US" w:eastAsia="zh-CN"/>
              </w:rPr>
              <w:t>手续</w:t>
            </w:r>
          </w:p>
          <w:p w14:paraId="183AE797">
            <w:pPr>
              <w:pStyle w:val="2"/>
              <w:spacing w:line="360" w:lineRule="auto"/>
              <w:ind w:firstLine="480" w:firstLineChars="200"/>
              <w:rPr>
                <w:rFonts w:hint="eastAsia" w:eastAsia="宋体" w:cs="Times New Roman"/>
                <w:color w:val="auto"/>
                <w:sz w:val="24"/>
                <w:lang w:val="en-US" w:eastAsia="zh-CN"/>
              </w:rPr>
            </w:pPr>
            <w:r>
              <w:rPr>
                <w:rFonts w:hint="eastAsia" w:eastAsia="宋体" w:cs="Times New Roman"/>
                <w:color w:val="auto"/>
                <w:sz w:val="24"/>
                <w:lang w:val="en-US" w:eastAsia="zh-CN"/>
              </w:rPr>
              <w:t>②未设置医疗废物暂存间</w:t>
            </w:r>
          </w:p>
          <w:p w14:paraId="47D8602A">
            <w:pPr>
              <w:pStyle w:val="3"/>
              <w:keepNext w:val="0"/>
              <w:keepLines w:val="0"/>
              <w:pageBreakBefore w:val="0"/>
              <w:kinsoku/>
              <w:wordWrap/>
              <w:overflowPunct/>
              <w:topLinePunct w:val="0"/>
              <w:autoSpaceDE/>
              <w:autoSpaceDN/>
              <w:bidi w:val="0"/>
              <w:adjustRightInd/>
              <w:spacing w:before="0" w:after="0"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eastAsia="宋体" w:cs="Times New Roman"/>
                <w:color w:val="auto"/>
                <w:sz w:val="24"/>
                <w:lang w:val="en-US" w:eastAsia="zh-CN"/>
              </w:rPr>
              <w:t>③</w:t>
            </w:r>
            <w:r>
              <w:rPr>
                <w:rFonts w:hint="eastAsia" w:ascii="Times New Roman" w:hAnsi="Times New Roman" w:eastAsia="宋体" w:cs="Times New Roman"/>
                <w:color w:val="auto"/>
                <w:kern w:val="2"/>
                <w:sz w:val="24"/>
                <w:szCs w:val="24"/>
                <w:lang w:val="en-US" w:eastAsia="zh-CN" w:bidi="ar-SA"/>
              </w:rPr>
              <w:t>综合废水通过</w:t>
            </w:r>
            <w:r>
              <w:rPr>
                <w:rFonts w:hint="default" w:ascii="Times New Roman" w:hAnsi="Times New Roman" w:eastAsia="宋体" w:cs="Times New Roman"/>
                <w:color w:val="auto"/>
                <w:kern w:val="2"/>
                <w:sz w:val="24"/>
                <w:szCs w:val="24"/>
                <w:lang w:val="en-US" w:eastAsia="zh-CN" w:bidi="ar-SA"/>
              </w:rPr>
              <w:t>化粪池处理后，投加消毒剂直接</w:t>
            </w:r>
            <w:r>
              <w:rPr>
                <w:rFonts w:hint="eastAsia" w:ascii="Times New Roman" w:hAnsi="Times New Roman" w:cs="Times New Roman"/>
                <w:color w:val="auto"/>
                <w:kern w:val="2"/>
                <w:sz w:val="24"/>
                <w:szCs w:val="24"/>
                <w:lang w:val="en-US" w:eastAsia="zh-CN" w:bidi="ar-SA"/>
              </w:rPr>
              <w:t>排入管网。</w:t>
            </w:r>
          </w:p>
          <w:p w14:paraId="49FF196D">
            <w:pPr>
              <w:pStyle w:val="6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i w:val="0"/>
                <w:iCs w:val="0"/>
                <w:color w:val="auto"/>
                <w:sz w:val="24"/>
                <w:szCs w:val="24"/>
                <w:u w:val="none"/>
                <w:lang w:val="en-US" w:eastAsia="zh-CN"/>
              </w:rPr>
            </w:pPr>
            <w:r>
              <w:rPr>
                <w:rFonts w:hint="eastAsia" w:ascii="Times New Roman" w:hAnsi="Times New Roman" w:eastAsia="宋体" w:cs="Times New Roman"/>
                <w:b w:val="0"/>
                <w:bCs/>
                <w:i w:val="0"/>
                <w:iCs w:val="0"/>
                <w:color w:val="auto"/>
                <w:sz w:val="24"/>
                <w:szCs w:val="24"/>
                <w:u w:val="none"/>
                <w:lang w:val="en-US" w:eastAsia="zh-CN"/>
              </w:rPr>
              <w:t>建议整改措施：</w:t>
            </w:r>
          </w:p>
          <w:p w14:paraId="6C2BA18E">
            <w:pPr>
              <w:pStyle w:val="6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i w:val="0"/>
                <w:iCs w:val="0"/>
                <w:color w:val="auto"/>
                <w:sz w:val="24"/>
                <w:szCs w:val="24"/>
                <w:u w:val="none"/>
                <w:lang w:val="en-US" w:eastAsia="zh-CN"/>
              </w:rPr>
            </w:pPr>
            <w:r>
              <w:rPr>
                <w:rFonts w:hint="eastAsia" w:ascii="Times New Roman" w:hAnsi="Times New Roman" w:eastAsia="宋体" w:cs="Times New Roman"/>
                <w:b w:val="0"/>
                <w:bCs/>
                <w:i w:val="0"/>
                <w:iCs w:val="0"/>
                <w:color w:val="auto"/>
                <w:sz w:val="24"/>
                <w:szCs w:val="24"/>
                <w:lang w:val="en-US" w:eastAsia="zh-CN"/>
              </w:rPr>
              <w:t>1.</w:t>
            </w:r>
            <w:r>
              <w:rPr>
                <w:rFonts w:hint="eastAsia" w:ascii="Times New Roman" w:hAnsi="Times New Roman" w:eastAsia="宋体" w:cs="Times New Roman"/>
                <w:b w:val="0"/>
                <w:bCs/>
                <w:i w:val="0"/>
                <w:iCs w:val="0"/>
                <w:color w:val="auto"/>
                <w:sz w:val="24"/>
                <w:szCs w:val="24"/>
                <w:u w:val="none"/>
                <w:lang w:val="en-US" w:eastAsia="zh-CN"/>
              </w:rPr>
              <w:t>补办环评等环保手续；</w:t>
            </w:r>
          </w:p>
          <w:p w14:paraId="29AEAEF5">
            <w:pPr>
              <w:pStyle w:val="6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i w:val="0"/>
                <w:iCs w:val="0"/>
                <w:color w:val="auto"/>
                <w:sz w:val="24"/>
                <w:szCs w:val="24"/>
                <w:u w:val="none"/>
                <w:lang w:val="en-US" w:eastAsia="zh-CN"/>
              </w:rPr>
            </w:pPr>
            <w:r>
              <w:rPr>
                <w:rFonts w:hint="default" w:ascii="Times New Roman" w:hAnsi="Times New Roman" w:eastAsia="宋体" w:cs="Times New Roman"/>
                <w:b w:val="0"/>
                <w:bCs/>
                <w:i w:val="0"/>
                <w:iCs w:val="0"/>
                <w:color w:val="auto"/>
                <w:sz w:val="24"/>
                <w:szCs w:val="24"/>
                <w:lang w:val="en-US" w:eastAsia="zh-CN"/>
              </w:rPr>
              <w:t>2.</w:t>
            </w:r>
            <w:r>
              <w:rPr>
                <w:rFonts w:hint="eastAsia" w:cs="Times New Roman"/>
                <w:b w:val="0"/>
                <w:bCs/>
                <w:i w:val="0"/>
                <w:iCs w:val="0"/>
                <w:color w:val="auto"/>
                <w:sz w:val="24"/>
                <w:szCs w:val="24"/>
                <w:lang w:val="en-US" w:eastAsia="zh-CN"/>
              </w:rPr>
              <w:t>合理</w:t>
            </w:r>
            <w:r>
              <w:rPr>
                <w:rFonts w:hint="eastAsia" w:cs="Times New Roman"/>
                <w:b w:val="0"/>
                <w:bCs/>
                <w:i w:val="0"/>
                <w:iCs w:val="0"/>
                <w:color w:val="auto"/>
                <w:sz w:val="24"/>
                <w:szCs w:val="24"/>
                <w:u w:val="none"/>
                <w:lang w:val="en-US" w:eastAsia="zh-CN"/>
              </w:rPr>
              <w:t>建设医疗废物暂存间</w:t>
            </w:r>
            <w:r>
              <w:rPr>
                <w:rFonts w:hint="eastAsia" w:ascii="Times New Roman" w:hAnsi="Times New Roman" w:eastAsia="宋体" w:cs="Times New Roman"/>
                <w:b w:val="0"/>
                <w:bCs/>
                <w:i w:val="0"/>
                <w:iCs w:val="0"/>
                <w:color w:val="auto"/>
                <w:sz w:val="24"/>
                <w:szCs w:val="24"/>
                <w:u w:val="none"/>
                <w:lang w:val="en-US" w:eastAsia="zh-CN"/>
              </w:rPr>
              <w:t>；</w:t>
            </w:r>
          </w:p>
          <w:p w14:paraId="3D710CA9">
            <w:pPr>
              <w:pStyle w:val="6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i w:val="0"/>
                <w:iCs w:val="0"/>
                <w:color w:val="auto"/>
                <w:sz w:val="24"/>
                <w:szCs w:val="24"/>
                <w:u w:val="none"/>
                <w:lang w:val="en-US" w:eastAsia="zh-CN"/>
              </w:rPr>
            </w:pPr>
            <w:r>
              <w:rPr>
                <w:rFonts w:hint="default" w:ascii="Times New Roman" w:hAnsi="Times New Roman" w:eastAsia="宋体" w:cs="Times New Roman"/>
                <w:b w:val="0"/>
                <w:bCs/>
                <w:i w:val="0"/>
                <w:iCs w:val="0"/>
                <w:color w:val="auto"/>
                <w:sz w:val="24"/>
                <w:szCs w:val="24"/>
                <w:lang w:val="en-US" w:eastAsia="zh-CN"/>
              </w:rPr>
              <w:t>3.</w:t>
            </w:r>
            <w:r>
              <w:rPr>
                <w:rFonts w:hint="eastAsia" w:ascii="Times New Roman" w:hAnsi="Times New Roman" w:eastAsia="宋体" w:cs="Times New Roman"/>
                <w:b w:val="0"/>
                <w:bCs/>
                <w:i w:val="0"/>
                <w:iCs w:val="0"/>
                <w:color w:val="auto"/>
                <w:sz w:val="24"/>
                <w:szCs w:val="24"/>
                <w:u w:val="none"/>
                <w:lang w:val="en-US" w:eastAsia="zh-CN"/>
              </w:rPr>
              <w:t>建设</w:t>
            </w:r>
            <w:r>
              <w:rPr>
                <w:rFonts w:hint="eastAsia" w:cs="Times New Roman"/>
                <w:b w:val="0"/>
                <w:bCs/>
                <w:i w:val="0"/>
                <w:iCs w:val="0"/>
                <w:color w:val="auto"/>
                <w:sz w:val="24"/>
                <w:szCs w:val="24"/>
                <w:u w:val="none"/>
                <w:lang w:val="en-US" w:eastAsia="zh-CN"/>
              </w:rPr>
              <w:t>污水处理站</w:t>
            </w:r>
            <w:r>
              <w:rPr>
                <w:rFonts w:hint="eastAsia" w:ascii="Times New Roman" w:hAnsi="Times New Roman" w:eastAsia="宋体" w:cs="Times New Roman"/>
                <w:b w:val="0"/>
                <w:bCs/>
                <w:i w:val="0"/>
                <w:iCs w:val="0"/>
                <w:color w:val="auto"/>
                <w:sz w:val="24"/>
                <w:szCs w:val="24"/>
                <w:u w:val="none"/>
                <w:lang w:val="en-US" w:eastAsia="zh-CN"/>
              </w:rPr>
              <w:t>，用于处理</w:t>
            </w:r>
            <w:r>
              <w:rPr>
                <w:rFonts w:hint="eastAsia" w:cs="Times New Roman"/>
                <w:b w:val="0"/>
                <w:bCs/>
                <w:i w:val="0"/>
                <w:iCs w:val="0"/>
                <w:color w:val="auto"/>
                <w:sz w:val="24"/>
                <w:szCs w:val="24"/>
                <w:u w:val="none"/>
                <w:lang w:val="en-US" w:eastAsia="zh-CN"/>
              </w:rPr>
              <w:t>医院综合废水后排入华林镇污水处理厂。</w:t>
            </w:r>
          </w:p>
          <w:p w14:paraId="7A865CC9">
            <w:pPr>
              <w:pStyle w:val="6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i w:val="0"/>
                <w:iCs w:val="0"/>
                <w:color w:val="auto"/>
                <w:sz w:val="24"/>
                <w:szCs w:val="24"/>
                <w:u w:val="none"/>
                <w:lang w:val="en-US" w:eastAsia="zh-CN"/>
              </w:rPr>
            </w:pPr>
          </w:p>
          <w:p w14:paraId="0236CCFF">
            <w:pPr>
              <w:pStyle w:val="6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i w:val="0"/>
                <w:iCs w:val="0"/>
                <w:color w:val="auto"/>
                <w:sz w:val="24"/>
                <w:szCs w:val="24"/>
                <w:u w:val="none"/>
                <w:lang w:val="en-US" w:eastAsia="zh-CN"/>
              </w:rPr>
            </w:pPr>
          </w:p>
          <w:p w14:paraId="25820630">
            <w:pPr>
              <w:pStyle w:val="6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i w:val="0"/>
                <w:iCs w:val="0"/>
                <w:color w:val="auto"/>
                <w:sz w:val="24"/>
                <w:szCs w:val="24"/>
                <w:u w:val="none"/>
                <w:lang w:val="en-US" w:eastAsia="zh-CN"/>
              </w:rPr>
            </w:pPr>
          </w:p>
          <w:p w14:paraId="721ED659">
            <w:pPr>
              <w:pStyle w:val="6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i w:val="0"/>
                <w:iCs w:val="0"/>
                <w:color w:val="auto"/>
                <w:sz w:val="24"/>
                <w:szCs w:val="24"/>
                <w:u w:val="none"/>
                <w:lang w:val="en-US" w:eastAsia="zh-CN"/>
              </w:rPr>
            </w:pPr>
          </w:p>
          <w:p w14:paraId="01FA536D">
            <w:pPr>
              <w:pStyle w:val="6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i w:val="0"/>
                <w:iCs w:val="0"/>
                <w:color w:val="auto"/>
                <w:sz w:val="24"/>
                <w:szCs w:val="24"/>
                <w:u w:val="none"/>
                <w:lang w:val="en-US" w:eastAsia="zh-CN"/>
              </w:rPr>
            </w:pPr>
          </w:p>
          <w:p w14:paraId="037B71C7">
            <w:pPr>
              <w:pStyle w:val="6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i w:val="0"/>
                <w:iCs w:val="0"/>
                <w:color w:val="auto"/>
                <w:sz w:val="24"/>
                <w:szCs w:val="24"/>
                <w:u w:val="none"/>
                <w:lang w:val="en-US" w:eastAsia="zh-CN"/>
              </w:rPr>
            </w:pPr>
          </w:p>
          <w:p w14:paraId="6939ED21">
            <w:pPr>
              <w:pStyle w:val="6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i w:val="0"/>
                <w:iCs w:val="0"/>
                <w:color w:val="auto"/>
                <w:sz w:val="24"/>
                <w:szCs w:val="24"/>
                <w:u w:val="none"/>
                <w:lang w:val="en-US" w:eastAsia="zh-CN"/>
              </w:rPr>
            </w:pPr>
          </w:p>
          <w:p w14:paraId="32AA4550">
            <w:pPr>
              <w:pStyle w:val="6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i w:val="0"/>
                <w:iCs w:val="0"/>
                <w:color w:val="auto"/>
                <w:sz w:val="24"/>
                <w:szCs w:val="24"/>
                <w:u w:val="none"/>
                <w:lang w:val="en-US" w:eastAsia="zh-CN"/>
              </w:rPr>
            </w:pPr>
          </w:p>
          <w:p w14:paraId="4013B243">
            <w:pPr>
              <w:pStyle w:val="6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i w:val="0"/>
                <w:iCs w:val="0"/>
                <w:color w:val="auto"/>
                <w:sz w:val="24"/>
                <w:szCs w:val="24"/>
                <w:u w:val="none"/>
                <w:lang w:val="en-US" w:eastAsia="zh-CN"/>
              </w:rPr>
            </w:pPr>
          </w:p>
          <w:p w14:paraId="7220AFCE">
            <w:pPr>
              <w:pStyle w:val="6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i w:val="0"/>
                <w:iCs w:val="0"/>
                <w:color w:val="auto"/>
                <w:sz w:val="24"/>
                <w:szCs w:val="24"/>
                <w:u w:val="none"/>
                <w:lang w:val="en-US" w:eastAsia="zh-CN"/>
              </w:rPr>
            </w:pPr>
          </w:p>
          <w:p w14:paraId="1AA691E6">
            <w:pPr>
              <w:pStyle w:val="6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i w:val="0"/>
                <w:iCs w:val="0"/>
                <w:color w:val="auto"/>
                <w:sz w:val="24"/>
                <w:szCs w:val="24"/>
                <w:u w:val="none"/>
                <w:lang w:val="en-US" w:eastAsia="zh-CN"/>
              </w:rPr>
            </w:pPr>
          </w:p>
          <w:p w14:paraId="2C54C345">
            <w:pPr>
              <w:pStyle w:val="6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i w:val="0"/>
                <w:iCs w:val="0"/>
                <w:color w:val="auto"/>
                <w:sz w:val="24"/>
                <w:szCs w:val="24"/>
                <w:u w:val="none"/>
                <w:lang w:val="en-US" w:eastAsia="zh-CN"/>
              </w:rPr>
            </w:pPr>
          </w:p>
          <w:p w14:paraId="7598417B">
            <w:pPr>
              <w:pStyle w:val="6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i w:val="0"/>
                <w:iCs w:val="0"/>
                <w:color w:val="auto"/>
                <w:sz w:val="24"/>
                <w:szCs w:val="24"/>
                <w:u w:val="none"/>
                <w:lang w:val="en-US" w:eastAsia="zh-CN"/>
              </w:rPr>
            </w:pPr>
          </w:p>
          <w:p w14:paraId="43DCF535">
            <w:pPr>
              <w:pStyle w:val="66"/>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b w:val="0"/>
                <w:bCs/>
                <w:i w:val="0"/>
                <w:iCs w:val="0"/>
                <w:color w:val="auto"/>
                <w:sz w:val="24"/>
                <w:szCs w:val="24"/>
                <w:u w:val="none"/>
                <w:lang w:val="en-US" w:eastAsia="zh-CN"/>
              </w:rPr>
            </w:pPr>
          </w:p>
          <w:p w14:paraId="03B47359">
            <w:pPr>
              <w:pStyle w:val="6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i w:val="0"/>
                <w:iCs w:val="0"/>
                <w:color w:val="auto"/>
                <w:sz w:val="24"/>
                <w:szCs w:val="24"/>
                <w:u w:val="none"/>
                <w:lang w:val="en-US" w:eastAsia="zh-CN"/>
              </w:rPr>
            </w:pPr>
          </w:p>
          <w:p w14:paraId="103EDCB3">
            <w:pPr>
              <w:pStyle w:val="66"/>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cs="Times New Roman"/>
                <w:b w:val="0"/>
                <w:bCs/>
                <w:i w:val="0"/>
                <w:iCs w:val="0"/>
                <w:color w:val="auto"/>
                <w:sz w:val="24"/>
                <w:szCs w:val="24"/>
                <w:u w:val="none"/>
                <w:lang w:val="en-US" w:eastAsia="zh-CN"/>
              </w:rPr>
            </w:pPr>
          </w:p>
        </w:tc>
      </w:tr>
      <w:bookmarkEnd w:id="6"/>
      <w:bookmarkEnd w:id="7"/>
    </w:tbl>
    <w:p w14:paraId="127C8CCC">
      <w:pPr>
        <w:pStyle w:val="16"/>
        <w:jc w:val="center"/>
        <w:rPr>
          <w:rFonts w:ascii="Times New Roman" w:hAnsi="Times New Roman"/>
          <w:snapToGrid w:val="0"/>
          <w:color w:val="auto"/>
          <w:sz w:val="36"/>
          <w:szCs w:val="36"/>
        </w:rPr>
        <w:sectPr>
          <w:pgSz w:w="11906" w:h="16838"/>
          <w:pgMar w:top="1701" w:right="1531" w:bottom="1701" w:left="1531" w:header="851" w:footer="851" w:gutter="0"/>
          <w:cols w:space="720" w:num="1"/>
          <w:docGrid w:linePitch="312" w:charSpace="0"/>
        </w:sectPr>
      </w:pPr>
    </w:p>
    <w:p w14:paraId="5D9A18D1">
      <w:pPr>
        <w:pStyle w:val="16"/>
        <w:jc w:val="center"/>
        <w:outlineLvl w:val="0"/>
        <w:rPr>
          <w:rFonts w:ascii="Times New Roman" w:hAnsi="Times New Roman"/>
          <w:b/>
          <w:bCs/>
          <w:snapToGrid w:val="0"/>
          <w:color w:val="auto"/>
          <w:sz w:val="30"/>
          <w:szCs w:val="30"/>
        </w:rPr>
      </w:pPr>
      <w:bookmarkStart w:id="18" w:name="_Toc7595"/>
      <w:r>
        <w:rPr>
          <w:rFonts w:hint="eastAsia" w:ascii="Times New Roman" w:hAnsi="Times New Roman"/>
          <w:b/>
          <w:bCs/>
          <w:snapToGrid w:val="0"/>
          <w:color w:val="auto"/>
          <w:sz w:val="30"/>
          <w:szCs w:val="30"/>
        </w:rPr>
        <w:t>三、区域环境质量现状、环境保护目标及评价标准</w:t>
      </w:r>
      <w:bookmarkEnd w:id="18"/>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6"/>
        <w:gridCol w:w="8484"/>
      </w:tblGrid>
      <w:tr w14:paraId="02FAD8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506" w:type="dxa"/>
            <w:vAlign w:val="center"/>
          </w:tcPr>
          <w:p w14:paraId="0A7CA509">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区域</w:t>
            </w:r>
          </w:p>
          <w:p w14:paraId="484F400E">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环境</w:t>
            </w:r>
          </w:p>
          <w:p w14:paraId="09251E5B">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质量</w:t>
            </w:r>
          </w:p>
          <w:p w14:paraId="70EED785">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rPr>
              <w:t>现状</w:t>
            </w:r>
          </w:p>
        </w:tc>
        <w:tc>
          <w:tcPr>
            <w:tcW w:w="8484" w:type="dxa"/>
            <w:vAlign w:val="center"/>
          </w:tcPr>
          <w:p w14:paraId="2B5A149A">
            <w:pPr>
              <w:adjustRightInd w:val="0"/>
              <w:snapToGrid w:val="0"/>
              <w:spacing w:line="360" w:lineRule="auto"/>
              <w:ind w:firstLine="482" w:firstLineChars="200"/>
              <w:jc w:val="left"/>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1、环境空气质量现状</w:t>
            </w:r>
          </w:p>
          <w:p w14:paraId="05C81C4D">
            <w:pPr>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（1）基本污染物</w:t>
            </w:r>
          </w:p>
          <w:p w14:paraId="2660F1FE">
            <w:pPr>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本次评价引用江西省生态环境厅发布的2023年环境质量公报中庐山市数据，监测结果见表3-1。</w:t>
            </w:r>
          </w:p>
          <w:p w14:paraId="35F6AA6D">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表3-1  2023年庐山市空气质量监测结果一览表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6"/>
              <w:gridCol w:w="2175"/>
              <w:gridCol w:w="1322"/>
              <w:gridCol w:w="1384"/>
              <w:gridCol w:w="1433"/>
              <w:gridCol w:w="1058"/>
            </w:tblGrid>
            <w:tr w14:paraId="5D70A6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96" w:type="dxa"/>
                  <w:tcBorders>
                    <w:top w:val="single" w:color="auto" w:sz="12" w:space="0"/>
                  </w:tcBorders>
                  <w:vAlign w:val="center"/>
                </w:tcPr>
                <w:p w14:paraId="7773A5CF">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w:t>
                  </w:r>
                </w:p>
              </w:tc>
              <w:tc>
                <w:tcPr>
                  <w:tcW w:w="2175" w:type="dxa"/>
                  <w:tcBorders>
                    <w:top w:val="single" w:color="auto" w:sz="12" w:space="0"/>
                  </w:tcBorders>
                  <w:vAlign w:val="center"/>
                </w:tcPr>
                <w:p w14:paraId="33BE7F36">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评价指标</w:t>
                  </w:r>
                </w:p>
              </w:tc>
              <w:tc>
                <w:tcPr>
                  <w:tcW w:w="1322" w:type="dxa"/>
                  <w:tcBorders>
                    <w:top w:val="single" w:color="auto" w:sz="12" w:space="0"/>
                  </w:tcBorders>
                  <w:vAlign w:val="center"/>
                </w:tcPr>
                <w:p w14:paraId="7B8CFCC1">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现状浓度（μg/m</w:t>
                  </w:r>
                  <w:r>
                    <w:rPr>
                      <w:rFonts w:hint="default" w:ascii="Times New Roman" w:hAnsi="Times New Roman" w:cs="Times New Roman"/>
                      <w:b/>
                      <w:bCs/>
                      <w:color w:val="auto"/>
                      <w:szCs w:val="21"/>
                      <w:vertAlign w:val="superscript"/>
                    </w:rPr>
                    <w:t>3</w:t>
                  </w:r>
                  <w:r>
                    <w:rPr>
                      <w:rFonts w:hint="default" w:ascii="Times New Roman" w:hAnsi="Times New Roman" w:cs="Times New Roman"/>
                      <w:b/>
                      <w:bCs/>
                      <w:color w:val="auto"/>
                      <w:szCs w:val="21"/>
                    </w:rPr>
                    <w:t>）</w:t>
                  </w:r>
                </w:p>
              </w:tc>
              <w:tc>
                <w:tcPr>
                  <w:tcW w:w="1384" w:type="dxa"/>
                  <w:tcBorders>
                    <w:top w:val="single" w:color="auto" w:sz="12" w:space="0"/>
                  </w:tcBorders>
                  <w:vAlign w:val="center"/>
                </w:tcPr>
                <w:p w14:paraId="2D6A4587">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标准浓度（μg/m</w:t>
                  </w:r>
                  <w:r>
                    <w:rPr>
                      <w:rFonts w:hint="default" w:ascii="Times New Roman" w:hAnsi="Times New Roman" w:cs="Times New Roman"/>
                      <w:b/>
                      <w:bCs/>
                      <w:color w:val="auto"/>
                      <w:szCs w:val="21"/>
                      <w:vertAlign w:val="superscript"/>
                    </w:rPr>
                    <w:t>3</w:t>
                  </w:r>
                  <w:r>
                    <w:rPr>
                      <w:rFonts w:hint="default" w:ascii="Times New Roman" w:hAnsi="Times New Roman" w:cs="Times New Roman"/>
                      <w:b/>
                      <w:bCs/>
                      <w:color w:val="auto"/>
                      <w:szCs w:val="21"/>
                    </w:rPr>
                    <w:t>）</w:t>
                  </w:r>
                </w:p>
              </w:tc>
              <w:tc>
                <w:tcPr>
                  <w:tcW w:w="1433" w:type="dxa"/>
                  <w:tcBorders>
                    <w:top w:val="single" w:color="auto" w:sz="12" w:space="0"/>
                  </w:tcBorders>
                  <w:vAlign w:val="center"/>
                </w:tcPr>
                <w:p w14:paraId="51C84091">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占标率（%）</w:t>
                  </w:r>
                </w:p>
              </w:tc>
              <w:tc>
                <w:tcPr>
                  <w:tcW w:w="1058" w:type="dxa"/>
                  <w:tcBorders>
                    <w:top w:val="single" w:color="auto" w:sz="12" w:space="0"/>
                  </w:tcBorders>
                  <w:vAlign w:val="center"/>
                </w:tcPr>
                <w:p w14:paraId="127C4F6C">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达标情况</w:t>
                  </w:r>
                </w:p>
              </w:tc>
            </w:tr>
            <w:tr w14:paraId="31FB2A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dxa"/>
                  <w:vAlign w:val="center"/>
                </w:tcPr>
                <w:p w14:paraId="3912BAFD">
                  <w:pPr>
                    <w:adjustRightInd w:val="0"/>
                    <w:snapToGrid w:val="0"/>
                    <w:jc w:val="center"/>
                    <w:rPr>
                      <w:rFonts w:hint="default" w:ascii="Times New Roman" w:hAnsi="Times New Roman" w:cs="Times New Roman"/>
                      <w:color w:val="auto"/>
                      <w:szCs w:val="21"/>
                      <w:vertAlign w:val="subscript"/>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p>
              </w:tc>
              <w:tc>
                <w:tcPr>
                  <w:tcW w:w="2175" w:type="dxa"/>
                  <w:vMerge w:val="restart"/>
                  <w:vAlign w:val="center"/>
                </w:tcPr>
                <w:p w14:paraId="0B86CF2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年平均质量浓度</w:t>
                  </w:r>
                </w:p>
              </w:tc>
              <w:tc>
                <w:tcPr>
                  <w:tcW w:w="1322" w:type="dxa"/>
                  <w:vAlign w:val="center"/>
                </w:tcPr>
                <w:p w14:paraId="7D51F74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1384" w:type="dxa"/>
                  <w:vAlign w:val="center"/>
                </w:tcPr>
                <w:p w14:paraId="026644C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1433" w:type="dxa"/>
                  <w:vAlign w:val="center"/>
                </w:tcPr>
                <w:p w14:paraId="4A99F80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1058" w:type="dxa"/>
                  <w:vAlign w:val="center"/>
                </w:tcPr>
                <w:p w14:paraId="32F3E69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14:paraId="38812E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dxa"/>
                  <w:vAlign w:val="center"/>
                </w:tcPr>
                <w:p w14:paraId="422E8DD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rPr>
                    <w:t>2</w:t>
                  </w:r>
                </w:p>
              </w:tc>
              <w:tc>
                <w:tcPr>
                  <w:tcW w:w="2175" w:type="dxa"/>
                  <w:vMerge w:val="continue"/>
                  <w:vAlign w:val="center"/>
                </w:tcPr>
                <w:p w14:paraId="2DF7D07A">
                  <w:pPr>
                    <w:adjustRightInd w:val="0"/>
                    <w:snapToGrid w:val="0"/>
                    <w:jc w:val="center"/>
                    <w:rPr>
                      <w:rFonts w:hint="default" w:ascii="Times New Roman" w:hAnsi="Times New Roman" w:cs="Times New Roman"/>
                      <w:color w:val="auto"/>
                      <w:szCs w:val="21"/>
                    </w:rPr>
                  </w:pPr>
                </w:p>
              </w:tc>
              <w:tc>
                <w:tcPr>
                  <w:tcW w:w="1322" w:type="dxa"/>
                  <w:vAlign w:val="center"/>
                </w:tcPr>
                <w:p w14:paraId="2179AD9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13</w:t>
                  </w:r>
                </w:p>
              </w:tc>
              <w:tc>
                <w:tcPr>
                  <w:tcW w:w="1384" w:type="dxa"/>
                  <w:vAlign w:val="center"/>
                </w:tcPr>
                <w:p w14:paraId="1F632E0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1433" w:type="dxa"/>
                  <w:vAlign w:val="center"/>
                </w:tcPr>
                <w:p w14:paraId="5DCCEEF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32.5</w:t>
                  </w:r>
                </w:p>
              </w:tc>
              <w:tc>
                <w:tcPr>
                  <w:tcW w:w="1058" w:type="dxa"/>
                  <w:vAlign w:val="center"/>
                </w:tcPr>
                <w:p w14:paraId="16EB9C1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14:paraId="554C7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dxa"/>
                  <w:vAlign w:val="center"/>
                </w:tcPr>
                <w:p w14:paraId="4FC9B3C4">
                  <w:pPr>
                    <w:adjustRightInd w:val="0"/>
                    <w:snapToGrid w:val="0"/>
                    <w:jc w:val="center"/>
                    <w:rPr>
                      <w:rFonts w:hint="default" w:ascii="Times New Roman" w:hAnsi="Times New Roman" w:cs="Times New Roman"/>
                      <w:color w:val="auto"/>
                      <w:szCs w:val="21"/>
                      <w:vertAlign w:val="subscript"/>
                    </w:rPr>
                  </w:pPr>
                  <w:r>
                    <w:rPr>
                      <w:rFonts w:hint="default" w:ascii="Times New Roman" w:hAnsi="Times New Roman" w:cs="Times New Roman"/>
                      <w:color w:val="auto"/>
                      <w:szCs w:val="21"/>
                    </w:rPr>
                    <w:t>PM</w:t>
                  </w:r>
                  <w:r>
                    <w:rPr>
                      <w:rFonts w:hint="default" w:ascii="Times New Roman" w:hAnsi="Times New Roman" w:cs="Times New Roman"/>
                      <w:color w:val="auto"/>
                      <w:szCs w:val="21"/>
                      <w:vertAlign w:val="subscript"/>
                    </w:rPr>
                    <w:t>10</w:t>
                  </w:r>
                </w:p>
              </w:tc>
              <w:tc>
                <w:tcPr>
                  <w:tcW w:w="2175" w:type="dxa"/>
                  <w:vMerge w:val="continue"/>
                  <w:vAlign w:val="center"/>
                </w:tcPr>
                <w:p w14:paraId="1D6774B5">
                  <w:pPr>
                    <w:adjustRightInd w:val="0"/>
                    <w:snapToGrid w:val="0"/>
                    <w:jc w:val="center"/>
                    <w:rPr>
                      <w:rFonts w:hint="default" w:ascii="Times New Roman" w:hAnsi="Times New Roman" w:cs="Times New Roman"/>
                      <w:color w:val="auto"/>
                      <w:szCs w:val="21"/>
                    </w:rPr>
                  </w:pPr>
                </w:p>
              </w:tc>
              <w:tc>
                <w:tcPr>
                  <w:tcW w:w="1322" w:type="dxa"/>
                  <w:vAlign w:val="center"/>
                </w:tcPr>
                <w:p w14:paraId="6CD929B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48</w:t>
                  </w:r>
                </w:p>
              </w:tc>
              <w:tc>
                <w:tcPr>
                  <w:tcW w:w="1384" w:type="dxa"/>
                  <w:vAlign w:val="center"/>
                </w:tcPr>
                <w:p w14:paraId="4F836B6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70</w:t>
                  </w:r>
                </w:p>
              </w:tc>
              <w:tc>
                <w:tcPr>
                  <w:tcW w:w="1433" w:type="dxa"/>
                  <w:vAlign w:val="center"/>
                </w:tcPr>
                <w:p w14:paraId="40DBFEA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68.57</w:t>
                  </w:r>
                </w:p>
              </w:tc>
              <w:tc>
                <w:tcPr>
                  <w:tcW w:w="1058" w:type="dxa"/>
                  <w:vAlign w:val="center"/>
                </w:tcPr>
                <w:p w14:paraId="56234BD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14:paraId="689B19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dxa"/>
                  <w:vAlign w:val="center"/>
                </w:tcPr>
                <w:p w14:paraId="3FC79EF6">
                  <w:pPr>
                    <w:adjustRightInd w:val="0"/>
                    <w:snapToGrid w:val="0"/>
                    <w:jc w:val="center"/>
                    <w:rPr>
                      <w:rFonts w:hint="default" w:ascii="Times New Roman" w:hAnsi="Times New Roman" w:cs="Times New Roman"/>
                      <w:color w:val="auto"/>
                      <w:szCs w:val="21"/>
                      <w:vertAlign w:val="subscript"/>
                    </w:rPr>
                  </w:pPr>
                  <w:r>
                    <w:rPr>
                      <w:rFonts w:hint="default" w:ascii="Times New Roman" w:hAnsi="Times New Roman" w:cs="Times New Roman"/>
                      <w:color w:val="auto"/>
                      <w:szCs w:val="21"/>
                    </w:rPr>
                    <w:t>PM</w:t>
                  </w:r>
                  <w:r>
                    <w:rPr>
                      <w:rFonts w:hint="default" w:ascii="Times New Roman" w:hAnsi="Times New Roman" w:cs="Times New Roman"/>
                      <w:color w:val="auto"/>
                      <w:szCs w:val="21"/>
                      <w:vertAlign w:val="subscript"/>
                    </w:rPr>
                    <w:t>2.5</w:t>
                  </w:r>
                </w:p>
              </w:tc>
              <w:tc>
                <w:tcPr>
                  <w:tcW w:w="2175" w:type="dxa"/>
                  <w:vMerge w:val="continue"/>
                  <w:vAlign w:val="center"/>
                </w:tcPr>
                <w:p w14:paraId="5B5C5C55">
                  <w:pPr>
                    <w:adjustRightInd w:val="0"/>
                    <w:snapToGrid w:val="0"/>
                    <w:jc w:val="center"/>
                    <w:rPr>
                      <w:rFonts w:hint="default" w:ascii="Times New Roman" w:hAnsi="Times New Roman" w:cs="Times New Roman"/>
                      <w:color w:val="auto"/>
                      <w:szCs w:val="21"/>
                    </w:rPr>
                  </w:pPr>
                </w:p>
              </w:tc>
              <w:tc>
                <w:tcPr>
                  <w:tcW w:w="1322" w:type="dxa"/>
                  <w:vAlign w:val="center"/>
                </w:tcPr>
                <w:p w14:paraId="138069F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27</w:t>
                  </w:r>
                </w:p>
              </w:tc>
              <w:tc>
                <w:tcPr>
                  <w:tcW w:w="1384" w:type="dxa"/>
                  <w:vAlign w:val="center"/>
                </w:tcPr>
                <w:p w14:paraId="33C24EB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35</w:t>
                  </w:r>
                </w:p>
              </w:tc>
              <w:tc>
                <w:tcPr>
                  <w:tcW w:w="1433" w:type="dxa"/>
                  <w:vAlign w:val="center"/>
                </w:tcPr>
                <w:p w14:paraId="5796428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77.14</w:t>
                  </w:r>
                </w:p>
              </w:tc>
              <w:tc>
                <w:tcPr>
                  <w:tcW w:w="1058" w:type="dxa"/>
                  <w:vAlign w:val="center"/>
                </w:tcPr>
                <w:p w14:paraId="0B2CE07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14:paraId="514332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896" w:type="dxa"/>
                  <w:tcBorders>
                    <w:bottom w:val="single" w:color="auto" w:sz="2" w:space="0"/>
                  </w:tcBorders>
                  <w:vAlign w:val="center"/>
                </w:tcPr>
                <w:p w14:paraId="422597C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CO</w:t>
                  </w:r>
                </w:p>
              </w:tc>
              <w:tc>
                <w:tcPr>
                  <w:tcW w:w="2175" w:type="dxa"/>
                  <w:tcBorders>
                    <w:bottom w:val="single" w:color="auto" w:sz="2" w:space="0"/>
                  </w:tcBorders>
                  <w:vAlign w:val="center"/>
                </w:tcPr>
                <w:p w14:paraId="4B9C21E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日均值95%位数质量浓度</w:t>
                  </w:r>
                </w:p>
              </w:tc>
              <w:tc>
                <w:tcPr>
                  <w:tcW w:w="1322" w:type="dxa"/>
                  <w:tcBorders>
                    <w:bottom w:val="single" w:color="auto" w:sz="2" w:space="0"/>
                  </w:tcBorders>
                  <w:vAlign w:val="center"/>
                </w:tcPr>
                <w:p w14:paraId="5F6A9B2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800</w:t>
                  </w:r>
                </w:p>
              </w:tc>
              <w:tc>
                <w:tcPr>
                  <w:tcW w:w="1384" w:type="dxa"/>
                  <w:tcBorders>
                    <w:bottom w:val="single" w:color="auto" w:sz="2" w:space="0"/>
                  </w:tcBorders>
                  <w:vAlign w:val="center"/>
                </w:tcPr>
                <w:p w14:paraId="721EA16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4000</w:t>
                  </w:r>
                </w:p>
              </w:tc>
              <w:tc>
                <w:tcPr>
                  <w:tcW w:w="1433" w:type="dxa"/>
                  <w:tcBorders>
                    <w:bottom w:val="single" w:color="auto" w:sz="2" w:space="0"/>
                  </w:tcBorders>
                  <w:vAlign w:val="center"/>
                </w:tcPr>
                <w:p w14:paraId="2ABE5F6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1058" w:type="dxa"/>
                  <w:tcBorders>
                    <w:bottom w:val="single" w:color="auto" w:sz="2" w:space="0"/>
                  </w:tcBorders>
                  <w:vAlign w:val="center"/>
                </w:tcPr>
                <w:p w14:paraId="4A39946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14:paraId="275829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dxa"/>
                  <w:tcBorders>
                    <w:top w:val="single" w:color="auto" w:sz="2" w:space="0"/>
                    <w:bottom w:val="single" w:color="auto" w:sz="12" w:space="0"/>
                  </w:tcBorders>
                  <w:vAlign w:val="center"/>
                </w:tcPr>
                <w:p w14:paraId="4C679860">
                  <w:pPr>
                    <w:adjustRightInd w:val="0"/>
                    <w:snapToGrid w:val="0"/>
                    <w:jc w:val="center"/>
                    <w:rPr>
                      <w:rFonts w:hint="default" w:ascii="Times New Roman" w:hAnsi="Times New Roman" w:cs="Times New Roman"/>
                      <w:color w:val="auto"/>
                      <w:szCs w:val="21"/>
                      <w:vertAlign w:val="subscript"/>
                    </w:rPr>
                  </w:pPr>
                  <w:r>
                    <w:rPr>
                      <w:rFonts w:hint="default" w:ascii="Times New Roman" w:hAnsi="Times New Roman" w:cs="Times New Roman"/>
                      <w:color w:val="auto"/>
                      <w:szCs w:val="21"/>
                    </w:rPr>
                    <w:t>O</w:t>
                  </w:r>
                  <w:r>
                    <w:rPr>
                      <w:rFonts w:hint="default" w:ascii="Times New Roman" w:hAnsi="Times New Roman" w:cs="Times New Roman"/>
                      <w:color w:val="auto"/>
                      <w:szCs w:val="21"/>
                      <w:vertAlign w:val="subscript"/>
                    </w:rPr>
                    <w:t>3</w:t>
                  </w:r>
                </w:p>
              </w:tc>
              <w:tc>
                <w:tcPr>
                  <w:tcW w:w="2175" w:type="dxa"/>
                  <w:tcBorders>
                    <w:top w:val="single" w:color="auto" w:sz="2" w:space="0"/>
                    <w:bottom w:val="single" w:color="auto" w:sz="12" w:space="0"/>
                  </w:tcBorders>
                  <w:vAlign w:val="center"/>
                </w:tcPr>
                <w:p w14:paraId="0305484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日最大8小时值90%位数质量浓度</w:t>
                  </w:r>
                </w:p>
              </w:tc>
              <w:tc>
                <w:tcPr>
                  <w:tcW w:w="1322" w:type="dxa"/>
                  <w:tcBorders>
                    <w:top w:val="single" w:color="auto" w:sz="2" w:space="0"/>
                    <w:bottom w:val="single" w:color="auto" w:sz="12" w:space="0"/>
                  </w:tcBorders>
                  <w:vAlign w:val="center"/>
                </w:tcPr>
                <w:p w14:paraId="385B133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134</w:t>
                  </w:r>
                </w:p>
              </w:tc>
              <w:tc>
                <w:tcPr>
                  <w:tcW w:w="1384" w:type="dxa"/>
                  <w:tcBorders>
                    <w:top w:val="single" w:color="auto" w:sz="2" w:space="0"/>
                    <w:bottom w:val="single" w:color="auto" w:sz="12" w:space="0"/>
                  </w:tcBorders>
                  <w:vAlign w:val="center"/>
                </w:tcPr>
                <w:p w14:paraId="709C471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160</w:t>
                  </w:r>
                </w:p>
              </w:tc>
              <w:tc>
                <w:tcPr>
                  <w:tcW w:w="1433" w:type="dxa"/>
                  <w:tcBorders>
                    <w:top w:val="single" w:color="auto" w:sz="2" w:space="0"/>
                    <w:bottom w:val="single" w:color="auto" w:sz="12" w:space="0"/>
                  </w:tcBorders>
                  <w:vAlign w:val="center"/>
                </w:tcPr>
                <w:p w14:paraId="5101958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83.75</w:t>
                  </w:r>
                </w:p>
              </w:tc>
              <w:tc>
                <w:tcPr>
                  <w:tcW w:w="1058" w:type="dxa"/>
                  <w:tcBorders>
                    <w:top w:val="single" w:color="auto" w:sz="2" w:space="0"/>
                    <w:bottom w:val="single" w:color="auto" w:sz="12" w:space="0"/>
                  </w:tcBorders>
                  <w:vAlign w:val="center"/>
                </w:tcPr>
                <w:p w14:paraId="016C01D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bl>
          <w:p w14:paraId="32F900B9">
            <w:pPr>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由上表可见，庐山市2023年SO</w:t>
            </w:r>
            <w:r>
              <w:rPr>
                <w:rFonts w:hint="default" w:ascii="Times New Roman" w:hAnsi="Times New Roman" w:cs="Times New Roman"/>
                <w:color w:val="auto"/>
                <w:kern w:val="0"/>
                <w:sz w:val="24"/>
                <w:vertAlign w:val="subscript"/>
              </w:rPr>
              <w:t>2</w:t>
            </w:r>
            <w:r>
              <w:rPr>
                <w:rFonts w:hint="default" w:ascii="Times New Roman" w:hAnsi="Times New Roman" w:cs="Times New Roman"/>
                <w:color w:val="auto"/>
                <w:kern w:val="0"/>
                <w:sz w:val="24"/>
              </w:rPr>
              <w:t>、NO</w:t>
            </w:r>
            <w:r>
              <w:rPr>
                <w:rFonts w:hint="default" w:ascii="Times New Roman" w:hAnsi="Times New Roman" w:cs="Times New Roman"/>
                <w:color w:val="auto"/>
                <w:kern w:val="0"/>
                <w:sz w:val="24"/>
                <w:vertAlign w:val="subscript"/>
              </w:rPr>
              <w:t>2</w:t>
            </w:r>
            <w:r>
              <w:rPr>
                <w:rFonts w:hint="default" w:ascii="Times New Roman" w:hAnsi="Times New Roman" w:cs="Times New Roman"/>
                <w:color w:val="auto"/>
                <w:kern w:val="0"/>
                <w:sz w:val="24"/>
              </w:rPr>
              <w:t>、PM</w:t>
            </w:r>
            <w:r>
              <w:rPr>
                <w:rFonts w:hint="default" w:ascii="Times New Roman" w:hAnsi="Times New Roman" w:cs="Times New Roman"/>
                <w:color w:val="auto"/>
                <w:kern w:val="0"/>
                <w:sz w:val="24"/>
                <w:vertAlign w:val="subscript"/>
              </w:rPr>
              <w:t>10</w:t>
            </w:r>
            <w:r>
              <w:rPr>
                <w:rFonts w:hint="default" w:ascii="Times New Roman" w:hAnsi="Times New Roman" w:cs="Times New Roman"/>
                <w:color w:val="auto"/>
                <w:kern w:val="0"/>
                <w:sz w:val="24"/>
              </w:rPr>
              <w:t>、PM</w:t>
            </w:r>
            <w:r>
              <w:rPr>
                <w:rFonts w:hint="default" w:ascii="Times New Roman" w:hAnsi="Times New Roman" w:cs="Times New Roman"/>
                <w:color w:val="auto"/>
                <w:kern w:val="0"/>
                <w:sz w:val="24"/>
                <w:vertAlign w:val="subscript"/>
              </w:rPr>
              <w:t>2.5</w:t>
            </w:r>
            <w:r>
              <w:rPr>
                <w:rFonts w:hint="default" w:ascii="Times New Roman" w:hAnsi="Times New Roman" w:cs="Times New Roman"/>
                <w:color w:val="auto"/>
                <w:kern w:val="0"/>
                <w:sz w:val="24"/>
              </w:rPr>
              <w:t>、CO、O</w:t>
            </w:r>
            <w:r>
              <w:rPr>
                <w:rFonts w:hint="default" w:ascii="Times New Roman" w:hAnsi="Times New Roman" w:cs="Times New Roman"/>
                <w:color w:val="auto"/>
                <w:kern w:val="0"/>
                <w:sz w:val="24"/>
                <w:vertAlign w:val="subscript"/>
              </w:rPr>
              <w:t>3</w:t>
            </w:r>
            <w:r>
              <w:rPr>
                <w:rFonts w:hint="default" w:ascii="Times New Roman" w:hAnsi="Times New Roman" w:cs="Times New Roman"/>
                <w:color w:val="auto"/>
                <w:kern w:val="0"/>
                <w:sz w:val="24"/>
              </w:rPr>
              <w:t>因子能满足《环境空气质量标准》（GB3095-2012）中二级标准及其修改单要求。</w:t>
            </w:r>
          </w:p>
          <w:p w14:paraId="3908F5F5">
            <w:pPr>
              <w:numPr>
                <w:ilvl w:val="0"/>
                <w:numId w:val="7"/>
              </w:numPr>
              <w:adjustRightInd w:val="0"/>
              <w:snapToGrid w:val="0"/>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其他污染物环境空气质量现状</w:t>
            </w:r>
          </w:p>
          <w:p w14:paraId="770B8038">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eastAsia"/>
                <w:color w:val="auto"/>
                <w:lang w:eastAsia="zh-CN"/>
              </w:rPr>
            </w:pPr>
            <w:r>
              <w:rPr>
                <w:rFonts w:hint="eastAsia"/>
                <w:color w:val="auto"/>
                <w:lang w:eastAsia="zh-CN"/>
              </w:rPr>
              <w:t>项目运营产生的特征污染物为氨、硫化氢、臭气浓度、甲烷，《环境空气质量标准》（GB 3095-2012）中未涉及其相应的标准值。</w:t>
            </w:r>
          </w:p>
          <w:p w14:paraId="65D49C91">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color w:val="auto"/>
                <w:lang w:eastAsia="zh-CN"/>
              </w:rPr>
            </w:pPr>
            <w:r>
              <w:rPr>
                <w:rFonts w:hint="eastAsia"/>
                <w:color w:val="auto"/>
                <w:lang w:eastAsia="zh-CN"/>
              </w:rPr>
              <w:t>根据全国环评技术评估服务咨询平台http://iconsult-eia.china-eia.com/index?aimModule=searchinglist2&amp;question=%E7%89%B9%E5%BE%81解答内容“技术指南中提到”排放国家、地方环境空气质量标准中有标准限值要求的特征污染物”，其中环境空气质量标准指《环境空气质量标准》（GB3095</w:t>
            </w:r>
            <w:r>
              <w:rPr>
                <w:rFonts w:hint="eastAsia"/>
                <w:color w:val="auto"/>
                <w:lang w:val="en-US" w:eastAsia="zh-CN"/>
              </w:rPr>
              <w:t>-2012</w:t>
            </w:r>
            <w:r>
              <w:rPr>
                <w:rFonts w:hint="eastAsia"/>
                <w:color w:val="auto"/>
                <w:lang w:eastAsia="zh-CN"/>
              </w:rPr>
              <w:t>）和地方的环境空气质量标准，不包括《环境影响评价技术导则 大气环境》（HJ2.2-2018）附录D、《前苏联居住区标准》(CH245-71)、《大气污染物综合排放标准详解》等导则或参考资料。排放的特征污染物需要在国家、地方环境空气质量标准中有限值要求才涉及现状监测，且优先引用现有监测数据。”，因此，本项目不需要对大气特征污染物氨、硫化氢、臭气浓度、甲烷进行现状监测。</w:t>
            </w:r>
          </w:p>
          <w:p w14:paraId="017ECB33">
            <w:pPr>
              <w:adjustRightInd w:val="0"/>
              <w:snapToGrid w:val="0"/>
              <w:spacing w:line="360" w:lineRule="auto"/>
              <w:ind w:firstLine="482" w:firstLineChars="200"/>
              <w:jc w:val="left"/>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2、地表水环境质量现状</w:t>
            </w:r>
          </w:p>
          <w:p w14:paraId="0862411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项目附近主要地表水体为鄱阳湖干支流水系。根据</w:t>
            </w:r>
            <w:r>
              <w:rPr>
                <w:rFonts w:hint="default" w:ascii="Times New Roman" w:hAnsi="Times New Roman" w:eastAsia="宋体" w:cs="Times New Roman"/>
                <w:color w:val="auto"/>
                <w:sz w:val="24"/>
                <w:lang w:val="en-US" w:eastAsia="zh-CN"/>
              </w:rPr>
              <w:t>《九江市水生态环境质量月报》（2024年</w:t>
            </w:r>
            <w:r>
              <w:rPr>
                <w:rFonts w:hint="eastAsia" w:cs="Times New Roman"/>
                <w:color w:val="auto"/>
                <w:sz w:val="24"/>
                <w:lang w:val="en-US" w:eastAsia="zh-CN"/>
              </w:rPr>
              <w:t>12</w:t>
            </w:r>
            <w:r>
              <w:rPr>
                <w:rFonts w:hint="default" w:ascii="Times New Roman" w:hAnsi="Times New Roman" w:eastAsia="宋体" w:cs="Times New Roman"/>
                <w:color w:val="auto"/>
                <w:sz w:val="24"/>
                <w:lang w:val="en-US" w:eastAsia="zh-CN"/>
              </w:rPr>
              <w:t>月第</w:t>
            </w:r>
            <w:r>
              <w:rPr>
                <w:rFonts w:hint="eastAsia" w:cs="Times New Roman"/>
                <w:color w:val="auto"/>
                <w:sz w:val="24"/>
                <w:lang w:val="en-US" w:eastAsia="zh-CN"/>
              </w:rPr>
              <w:t>12</w:t>
            </w:r>
            <w:r>
              <w:rPr>
                <w:rFonts w:hint="default" w:ascii="Times New Roman" w:hAnsi="Times New Roman" w:eastAsia="宋体" w:cs="Times New Roman"/>
                <w:color w:val="auto"/>
                <w:sz w:val="24"/>
                <w:lang w:val="en-US" w:eastAsia="zh-CN"/>
              </w:rPr>
              <w:t>期）</w:t>
            </w:r>
          </w:p>
          <w:p w14:paraId="36559A1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一、集中式饮用水源地水质：3个市级饮用水源地，九江市第三水厂(长江)、第四水厂和九江市应急水源（石门水库）水质均合格。</w:t>
            </w:r>
          </w:p>
          <w:p w14:paraId="098110E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二、国控断面水质：长江九江段2个监测断面中，湖口（右岸）为Ⅱ类水质，姚港为Ⅱ类水质；修河5个监测断面中，东津桥和三都均为Ⅰ类水质，永修县城、武宁水河口和吴城修河均为Ⅱ类水质；潦河河口为Ⅱ类水质；吴城赣江为Ⅲ类水质；洋港镇为Ⅰ类水质；修水界上桥为Ⅲ类水质；共青城寨下为Ⅲ类水质；柘林湖2个监测断面中，柘林湖坝上为Ⅱ类水质，武宁渡口为Ⅲ类水质；新妙湖为Ⅳ类水质，主要污染物为总磷，超标倍数为0.60；鄱阳湖8个监测断面中，都昌、老爷庙、星子和吴城均为Ⅲ类水质，鄱阳湖出口、蛤蟆石和蚌湖均为Ⅳ类水质，主要污染物为总磷，超标倍数分别为鄱阳湖出口0.80、蛤蟆石0.50、蚌湖0.70，三山未采样监测。</w:t>
            </w:r>
          </w:p>
          <w:p w14:paraId="3B92B66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三、省控断面水质：长江7个监测断面，新港、浔阳锁江楼、金鸡坡、九江县大屋何、九江县青龙寺、彭泽红光村和庐山中粮均为Ⅱ类水质；修水县城为Ⅱ类水质;长河2个监测断面中，赛城湖口为Ⅰ类水质，九江县麦沟为Ⅱ类水质；渣津水2个监测断面,渣津水河口和渣津均为Ⅰ类水质；杨柳津河2个监测断面,星子沙湖山和永修尖角村均为Ⅲ类水质；武宁梅家湾为Ⅱ类水质；永修王家垄为Ⅰ类水质；永修桐溪为Ⅱ类水质；都昌曹家为Ⅱ类水质；共青城毛厂为Ⅲ类水质；柘林湖监测断面，武宁界牌为Ⅰ类水质；东津水库4个监测断面，兰窝里、松山上、东津坝前和下莲塘均为Ⅰ类水质；赤湖5个监测断面中，中圩闸前、原四千亩和赤湖水产场均为Ⅲ类水质，金鸡陈家和陈仁子均为Ⅳ类水质，主要污染物为氨氮，超标倍数分别为金鸡陈家0.17、陈仁子0.21；八里湖4个监测断面，中奥、官湖、胜利和海韵均为Ⅲ类水质。</w:t>
            </w:r>
          </w:p>
          <w:p w14:paraId="569E829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四、水功能区断面水质：20个水功能区监测断面中，虬津、东岸、陈家渡、王家河、武宁大桥下和武宁水厂均为Ⅰ类水质，宁红大桥、三角乡、芙蓉大闸、九江大桥、赛城湖闸、长棉堤、马当渡口、高沙、梁公堤和彭泽渡口均为Ⅱ类水质，湖口、蚌湖内和渚溪口均为Ⅲ类水质，棠荫为Ⅳ类水质，主要污染物为总磷，超标倍数为0.80。</w:t>
            </w:r>
          </w:p>
          <w:p w14:paraId="48CCC1B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综上</w:t>
            </w:r>
            <w:r>
              <w:rPr>
                <w:rFonts w:hint="default" w:ascii="Times New Roman" w:hAnsi="Times New Roman" w:cs="Times New Roman"/>
                <w:color w:val="auto"/>
                <w:sz w:val="24"/>
              </w:rPr>
              <w:t>，项目所在地</w:t>
            </w:r>
            <w:r>
              <w:rPr>
                <w:rFonts w:hint="default" w:ascii="Times New Roman" w:hAnsi="Times New Roman" w:cs="Times New Roman"/>
                <w:color w:val="auto"/>
                <w:sz w:val="24"/>
                <w:lang w:val="en-US" w:eastAsia="zh-CN"/>
              </w:rPr>
              <w:t>地表</w:t>
            </w:r>
            <w:r>
              <w:rPr>
                <w:rFonts w:hint="default" w:ascii="Times New Roman" w:hAnsi="Times New Roman" w:cs="Times New Roman"/>
                <w:color w:val="auto"/>
                <w:sz w:val="24"/>
              </w:rPr>
              <w:t>水质能够满足《地表水环境质量标准》(GB3838-2002)中的Ⅲ类标准要求</w:t>
            </w:r>
            <w:r>
              <w:rPr>
                <w:rFonts w:hint="default" w:ascii="Times New Roman" w:hAnsi="Times New Roman" w:cs="Times New Roman"/>
                <w:color w:val="auto"/>
                <w:sz w:val="24"/>
                <w:lang w:eastAsia="zh-CN"/>
              </w:rPr>
              <w:t>。</w:t>
            </w:r>
          </w:p>
          <w:p w14:paraId="3C685762">
            <w:pPr>
              <w:adjustRightInd w:val="0"/>
              <w:snapToGrid w:val="0"/>
              <w:spacing w:line="360" w:lineRule="auto"/>
              <w:ind w:firstLine="482" w:firstLineChars="200"/>
              <w:jc w:val="left"/>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3、声环境质量现状</w:t>
            </w:r>
          </w:p>
          <w:p w14:paraId="5E8D40BD">
            <w:pPr>
              <w:pStyle w:val="67"/>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olor w:val="auto"/>
                <w:sz w:val="24"/>
                <w:lang w:val="en-US" w:eastAsia="zh-CN"/>
              </w:rPr>
            </w:pPr>
            <w:r>
              <w:rPr>
                <w:rFonts w:hint="eastAsia" w:ascii="Times New Roman" w:hAnsi="Times New Roman" w:eastAsia="宋体"/>
                <w:color w:val="auto"/>
                <w:sz w:val="24"/>
              </w:rPr>
              <w:t>根据《</w:t>
            </w:r>
            <w:r>
              <w:rPr>
                <w:rFonts w:hint="eastAsia" w:ascii="Times New Roman" w:hAnsi="Times New Roman" w:eastAsia="宋体"/>
                <w:color w:val="auto"/>
                <w:sz w:val="24"/>
                <w:lang w:val="en-US" w:eastAsia="zh-CN"/>
              </w:rPr>
              <w:t>建设项目</w:t>
            </w:r>
            <w:r>
              <w:rPr>
                <w:rFonts w:hint="eastAsia" w:ascii="Times New Roman" w:hAnsi="Times New Roman" w:eastAsia="宋体"/>
                <w:color w:val="auto"/>
                <w:sz w:val="24"/>
              </w:rPr>
              <w:t>环境影响</w:t>
            </w:r>
            <w:r>
              <w:rPr>
                <w:rFonts w:hint="eastAsia" w:ascii="Times New Roman" w:hAnsi="Times New Roman" w:eastAsia="宋体"/>
                <w:color w:val="auto"/>
                <w:sz w:val="24"/>
                <w:lang w:val="en-US" w:eastAsia="zh-CN"/>
              </w:rPr>
              <w:t>报告表编制技术指南（污染影响类）（试行）》的</w:t>
            </w:r>
            <w:r>
              <w:rPr>
                <w:rFonts w:hint="eastAsia" w:ascii="Times New Roman" w:hAnsi="Times New Roman" w:eastAsia="宋体"/>
                <w:color w:val="auto"/>
                <w:sz w:val="24"/>
              </w:rPr>
              <w:t>规定：</w:t>
            </w:r>
            <w:r>
              <w:rPr>
                <w:rFonts w:hint="eastAsia" w:ascii="Times New Roman" w:hAnsi="Times New Roman" w:eastAsia="宋体"/>
                <w:color w:val="auto"/>
                <w:sz w:val="24"/>
                <w:lang w:val="en-US" w:eastAsia="zh-CN"/>
              </w:rPr>
              <w:t>厂界外周边50米范围内存在声环境保护目标的建设项目，应监测保护目标声环境质量现状并评价达标情况。</w:t>
            </w:r>
            <w:r>
              <w:rPr>
                <w:rFonts w:hint="eastAsia" w:ascii="Times New Roman" w:hAnsi="Times New Roman" w:eastAsia="宋体"/>
                <w:color w:val="auto"/>
                <w:sz w:val="24"/>
              </w:rPr>
              <w:t>本评价</w:t>
            </w:r>
            <w:r>
              <w:rPr>
                <w:rFonts w:hint="eastAsia" w:ascii="Times New Roman" w:hAnsi="Times New Roman" w:eastAsia="宋体"/>
                <w:color w:val="auto"/>
                <w:sz w:val="24"/>
                <w:lang w:val="en-US" w:eastAsia="zh-CN"/>
              </w:rPr>
              <w:t>厂界外周边50米范围内存在声环境保护目标，需监测声环境质量现状，建设单位</w:t>
            </w:r>
            <w:r>
              <w:rPr>
                <w:rFonts w:hint="eastAsia" w:ascii="Times New Roman" w:hAnsi="Times New Roman" w:eastAsia="宋体"/>
                <w:color w:val="auto"/>
                <w:sz w:val="24"/>
              </w:rPr>
              <w:t>委托江西九环检测有限公司于2024年</w:t>
            </w:r>
            <w:r>
              <w:rPr>
                <w:rFonts w:hint="eastAsia"/>
                <w:color w:val="auto"/>
                <w:sz w:val="24"/>
                <w:lang w:val="en-US" w:eastAsia="zh-CN"/>
              </w:rPr>
              <w:t>10</w:t>
            </w:r>
            <w:r>
              <w:rPr>
                <w:rFonts w:hint="eastAsia" w:ascii="Times New Roman" w:hAnsi="Times New Roman" w:eastAsia="宋体"/>
                <w:color w:val="auto"/>
                <w:sz w:val="24"/>
              </w:rPr>
              <w:t>月</w:t>
            </w:r>
            <w:r>
              <w:rPr>
                <w:rFonts w:hint="eastAsia"/>
                <w:color w:val="auto"/>
                <w:sz w:val="24"/>
                <w:lang w:val="en-US" w:eastAsia="zh-CN"/>
              </w:rPr>
              <w:t>14</w:t>
            </w:r>
            <w:r>
              <w:rPr>
                <w:rFonts w:hint="eastAsia" w:ascii="Times New Roman" w:hAnsi="Times New Roman" w:eastAsia="宋体"/>
                <w:color w:val="auto"/>
                <w:sz w:val="24"/>
              </w:rPr>
              <w:t>日</w:t>
            </w:r>
            <w:r>
              <w:rPr>
                <w:rFonts w:hint="eastAsia" w:ascii="Times New Roman" w:hAnsi="Times New Roman" w:eastAsia="宋体"/>
                <w:color w:val="auto"/>
                <w:sz w:val="24"/>
                <w:lang w:val="en-US" w:eastAsia="zh-CN"/>
              </w:rPr>
              <w:t>于敏感点处</w:t>
            </w:r>
            <w:r>
              <w:rPr>
                <w:rFonts w:hint="eastAsia" w:ascii="Times New Roman" w:hAnsi="Times New Roman" w:eastAsia="宋体"/>
                <w:color w:val="auto"/>
                <w:sz w:val="24"/>
              </w:rPr>
              <w:t>进行</w:t>
            </w:r>
            <w:r>
              <w:rPr>
                <w:rFonts w:hint="eastAsia" w:ascii="Times New Roman" w:hAnsi="Times New Roman" w:eastAsia="宋体"/>
                <w:color w:val="auto"/>
                <w:sz w:val="24"/>
                <w:lang w:val="en-US" w:eastAsia="zh-CN"/>
              </w:rPr>
              <w:t>现状采样</w:t>
            </w:r>
            <w:r>
              <w:rPr>
                <w:rFonts w:hint="eastAsia" w:ascii="Times New Roman" w:hAnsi="Times New Roman" w:eastAsia="宋体"/>
                <w:color w:val="auto"/>
                <w:sz w:val="24"/>
              </w:rPr>
              <w:t>监测</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监测点</w:t>
            </w:r>
            <w:r>
              <w:rPr>
                <w:rFonts w:hint="eastAsia" w:ascii="Times New Roman" w:hAnsi="Times New Roman" w:eastAsia="宋体"/>
                <w:color w:val="auto"/>
                <w:sz w:val="24"/>
                <w:lang w:val="en-US" w:eastAsia="zh-CN"/>
              </w:rPr>
              <w:t>分别</w:t>
            </w:r>
            <w:r>
              <w:rPr>
                <w:rFonts w:hint="eastAsia" w:ascii="Times New Roman" w:hAnsi="Times New Roman" w:eastAsia="宋体"/>
                <w:color w:val="auto"/>
                <w:sz w:val="24"/>
              </w:rPr>
              <w:t>位于项目南侧</w:t>
            </w:r>
            <w:r>
              <w:rPr>
                <w:rFonts w:hint="eastAsia"/>
                <w:color w:val="auto"/>
                <w:sz w:val="24"/>
                <w:lang w:val="en-US" w:eastAsia="zh-CN"/>
              </w:rPr>
              <w:t>华林中心小学</w:t>
            </w:r>
            <w:r>
              <w:rPr>
                <w:rFonts w:hint="eastAsia"/>
                <w:color w:val="auto"/>
                <w:sz w:val="24"/>
                <w:lang w:eastAsia="zh-CN"/>
              </w:rPr>
              <w:t>；</w:t>
            </w:r>
            <w:r>
              <w:rPr>
                <w:rFonts w:hint="eastAsia"/>
                <w:color w:val="auto"/>
                <w:sz w:val="24"/>
                <w:lang w:val="en-US" w:eastAsia="zh-CN"/>
              </w:rPr>
              <w:t>东侧、西侧及北侧</w:t>
            </w:r>
            <w:r>
              <w:rPr>
                <w:rFonts w:hint="eastAsia" w:ascii="Times New Roman" w:hAnsi="Times New Roman" w:eastAsia="宋体"/>
                <w:color w:val="auto"/>
                <w:sz w:val="24"/>
              </w:rPr>
              <w:t>的</w:t>
            </w:r>
            <w:r>
              <w:rPr>
                <w:rFonts w:hint="eastAsia" w:ascii="Times New Roman" w:hAnsi="Times New Roman" w:eastAsia="宋体"/>
                <w:color w:val="auto"/>
                <w:sz w:val="24"/>
                <w:lang w:val="en-US" w:eastAsia="zh-CN"/>
              </w:rPr>
              <w:t>居民点，</w:t>
            </w:r>
            <w:r>
              <w:rPr>
                <w:rFonts w:hint="eastAsia" w:ascii="Times New Roman" w:hAnsi="Times New Roman" w:eastAsia="宋体"/>
                <w:color w:val="auto"/>
                <w:sz w:val="24"/>
              </w:rPr>
              <w:t>监测布点详见附图。</w:t>
            </w:r>
            <w:r>
              <w:rPr>
                <w:rFonts w:hint="eastAsia" w:ascii="Times New Roman" w:hAnsi="Times New Roman" w:eastAsia="宋体"/>
                <w:color w:val="auto"/>
                <w:sz w:val="24"/>
                <w:lang w:val="en-US" w:eastAsia="zh-CN"/>
              </w:rPr>
              <w:t>噪声监测按《声环境质量标准》（GB3096-2008）和《环境影响评价技术导则 声环境》中监测要求监测。声环境执行《声环境质量标准》（GB3096-2008）中的</w:t>
            </w:r>
            <w:r>
              <w:rPr>
                <w:rFonts w:hint="eastAsia"/>
                <w:color w:val="auto"/>
                <w:sz w:val="24"/>
                <w:lang w:val="en-US" w:eastAsia="zh-CN"/>
              </w:rPr>
              <w:t>1</w:t>
            </w:r>
            <w:r>
              <w:rPr>
                <w:rFonts w:hint="eastAsia" w:ascii="Times New Roman" w:hAnsi="Times New Roman" w:eastAsia="宋体"/>
                <w:color w:val="auto"/>
                <w:sz w:val="24"/>
                <w:lang w:val="en-US" w:eastAsia="zh-CN"/>
              </w:rPr>
              <w:t>类，即昼间：</w:t>
            </w:r>
            <w:r>
              <w:rPr>
                <w:rFonts w:hint="eastAsia"/>
                <w:color w:val="auto"/>
                <w:sz w:val="24"/>
                <w:lang w:val="en-US" w:eastAsia="zh-CN"/>
              </w:rPr>
              <w:t>55</w:t>
            </w:r>
            <w:r>
              <w:rPr>
                <w:rFonts w:hint="eastAsia" w:ascii="Times New Roman" w:hAnsi="Times New Roman" w:eastAsia="宋体"/>
                <w:color w:val="auto"/>
                <w:sz w:val="24"/>
                <w:lang w:val="en-US" w:eastAsia="zh-CN"/>
              </w:rPr>
              <w:t>dB（A），夜间：</w:t>
            </w:r>
            <w:r>
              <w:rPr>
                <w:rFonts w:hint="eastAsia"/>
                <w:color w:val="auto"/>
                <w:sz w:val="24"/>
                <w:lang w:val="en-US" w:eastAsia="zh-CN"/>
              </w:rPr>
              <w:t>45</w:t>
            </w:r>
            <w:r>
              <w:rPr>
                <w:rFonts w:hint="eastAsia" w:ascii="Times New Roman" w:hAnsi="Times New Roman" w:eastAsia="宋体"/>
                <w:color w:val="auto"/>
                <w:sz w:val="24"/>
                <w:lang w:val="en-US" w:eastAsia="zh-CN"/>
              </w:rPr>
              <w:t>dB（A）。</w:t>
            </w:r>
          </w:p>
          <w:p w14:paraId="67D9D96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olor w:val="auto"/>
                <w:sz w:val="24"/>
                <w:lang w:val="en-US" w:eastAsia="zh-CN"/>
              </w:rPr>
            </w:pPr>
            <w:r>
              <w:rPr>
                <w:rFonts w:hint="eastAsia" w:ascii="Times New Roman" w:hAnsi="Times New Roman" w:eastAsia="宋体"/>
                <w:color w:val="auto"/>
                <w:sz w:val="24"/>
                <w:szCs w:val="24"/>
              </w:rPr>
              <w:t>《</w:t>
            </w:r>
            <w:r>
              <w:rPr>
                <w:rFonts w:hint="eastAsia" w:ascii="Times New Roman" w:hAnsi="Times New Roman" w:eastAsia="宋体" w:cs="Times New Roman"/>
                <w:color w:val="auto"/>
                <w:sz w:val="24"/>
                <w:szCs w:val="24"/>
              </w:rPr>
              <w:t>庐山市乡镇卫生院整体改造提升项目（华林镇卫生院）</w:t>
            </w:r>
            <w:r>
              <w:rPr>
                <w:rFonts w:hint="eastAsia" w:ascii="Times New Roman" w:hAnsi="Times New Roman" w:eastAsia="宋体" w:cs="Times New Roman"/>
                <w:color w:val="auto"/>
                <w:sz w:val="24"/>
                <w:szCs w:val="24"/>
                <w:lang w:val="en-US" w:eastAsia="zh-CN"/>
              </w:rPr>
              <w:t>噪声</w:t>
            </w:r>
            <w:r>
              <w:rPr>
                <w:rFonts w:hint="eastAsia" w:ascii="Times New Roman" w:hAnsi="Times New Roman" w:eastAsia="宋体"/>
                <w:color w:val="auto"/>
                <w:sz w:val="24"/>
                <w:szCs w:val="24"/>
              </w:rPr>
              <w:t>质量现状监测</w:t>
            </w:r>
            <w:r>
              <w:rPr>
                <w:rFonts w:hint="eastAsia" w:ascii="Times New Roman" w:hAnsi="Times New Roman" w:eastAsia="宋体"/>
                <w:color w:val="auto"/>
                <w:sz w:val="24"/>
                <w:szCs w:val="24"/>
                <w:lang w:val="en-US" w:eastAsia="zh-CN"/>
              </w:rPr>
              <w:t>报告</w:t>
            </w:r>
            <w:r>
              <w:rPr>
                <w:rFonts w:hint="eastAsia" w:ascii="Times New Roman" w:hAnsi="Times New Roman" w:eastAsia="宋体"/>
                <w:color w:val="auto"/>
                <w:sz w:val="24"/>
                <w:szCs w:val="24"/>
              </w:rPr>
              <w:t>》</w:t>
            </w:r>
            <w:r>
              <w:rPr>
                <w:rFonts w:hint="eastAsia" w:ascii="Times New Roman" w:hAnsi="Times New Roman" w:eastAsia="宋体"/>
                <w:color w:val="auto"/>
                <w:sz w:val="24"/>
              </w:rPr>
              <w:t>数据</w:t>
            </w:r>
            <w:r>
              <w:rPr>
                <w:rFonts w:hint="eastAsia" w:ascii="Times New Roman" w:hAnsi="Times New Roman" w:eastAsia="宋体"/>
                <w:color w:val="auto"/>
                <w:sz w:val="24"/>
                <w:lang w:val="en-US" w:eastAsia="zh-CN"/>
              </w:rPr>
              <w:t>表明，项目声环境敏感点噪声无超标现象，能够满足《声环境质量标准》（GB3096-2008）中</w:t>
            </w:r>
            <w:r>
              <w:rPr>
                <w:rFonts w:hint="eastAsia"/>
                <w:color w:val="auto"/>
                <w:sz w:val="24"/>
                <w:lang w:val="en-US" w:eastAsia="zh-CN"/>
              </w:rPr>
              <w:t>1</w:t>
            </w:r>
            <w:r>
              <w:rPr>
                <w:rFonts w:hint="eastAsia" w:ascii="Times New Roman" w:hAnsi="Times New Roman" w:eastAsia="宋体"/>
                <w:color w:val="auto"/>
                <w:sz w:val="24"/>
                <w:lang w:val="en-US" w:eastAsia="zh-CN"/>
              </w:rPr>
              <w:t>类标准，项目所在地声环境质量现状良好</w:t>
            </w: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现状监测结果见</w:t>
            </w:r>
            <w:r>
              <w:rPr>
                <w:rFonts w:hint="eastAsia"/>
                <w:color w:val="auto"/>
                <w:sz w:val="24"/>
                <w:lang w:val="en-US" w:eastAsia="zh-CN"/>
              </w:rPr>
              <w:t>下表</w:t>
            </w:r>
            <w:r>
              <w:rPr>
                <w:rFonts w:hint="eastAsia" w:ascii="Times New Roman" w:hAnsi="Times New Roman"/>
                <w:color w:val="auto"/>
                <w:sz w:val="24"/>
                <w:lang w:val="en-US" w:eastAsia="zh-CN"/>
              </w:rPr>
              <w:t>。</w:t>
            </w:r>
          </w:p>
          <w:p w14:paraId="5F708242">
            <w:pPr>
              <w:tabs>
                <w:tab w:val="left" w:pos="0"/>
              </w:tabs>
              <w:adjustRightInd w:val="0"/>
              <w:snapToGrid w:val="0"/>
              <w:spacing w:line="360" w:lineRule="auto"/>
              <w:jc w:val="center"/>
              <w:rPr>
                <w:rFonts w:hint="default" w:ascii="Times New Roman" w:hAnsi="Times New Roman" w:cs="Times New Roman"/>
                <w:b/>
                <w:color w:val="auto"/>
                <w:sz w:val="24"/>
              </w:rPr>
            </w:pPr>
            <w:r>
              <w:rPr>
                <w:rFonts w:hint="default" w:ascii="Times New Roman" w:hAnsi="Times New Roman" w:cs="Times New Roman"/>
                <w:b/>
                <w:color w:val="auto"/>
                <w:szCs w:val="21"/>
              </w:rPr>
              <w:t>表3-</w:t>
            </w:r>
            <w:r>
              <w:rPr>
                <w:rFonts w:hint="default" w:ascii="Times New Roman" w:hAnsi="Times New Roman" w:cs="Times New Roman"/>
                <w:b/>
                <w:color w:val="auto"/>
                <w:szCs w:val="21"/>
                <w:lang w:val="en-US" w:eastAsia="zh-CN"/>
              </w:rPr>
              <w:t>3</w:t>
            </w:r>
            <w:r>
              <w:rPr>
                <w:rFonts w:hint="default" w:ascii="Times New Roman" w:hAnsi="Times New Roman" w:cs="Times New Roman"/>
                <w:b/>
                <w:color w:val="auto"/>
                <w:szCs w:val="21"/>
              </w:rPr>
              <w:t xml:space="preserve"> 声环境监测结果一览表（单位：dB（A））</w:t>
            </w:r>
          </w:p>
          <w:tbl>
            <w:tblPr>
              <w:tblStyle w:val="17"/>
              <w:tblW w:w="4998" w:type="pct"/>
              <w:jc w:val="center"/>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999"/>
              <w:gridCol w:w="4185"/>
              <w:gridCol w:w="2081"/>
            </w:tblGrid>
            <w:tr w14:paraId="2FEDB1B1">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09" w:type="pct"/>
                  <w:vMerge w:val="restart"/>
                  <w:tcBorders>
                    <w:top w:val="single" w:color="auto" w:sz="12" w:space="0"/>
                  </w:tcBorders>
                  <w:vAlign w:val="center"/>
                </w:tcPr>
                <w:p w14:paraId="3B6EA062">
                  <w:pPr>
                    <w:adjustRightInd w:val="0"/>
                    <w:snapToGrid w:val="0"/>
                    <w:jc w:val="center"/>
                    <w:rPr>
                      <w:rFonts w:hint="default" w:ascii="Times New Roman" w:hAnsi="Times New Roman" w:eastAsia="宋体" w:cs="Times New Roman"/>
                      <w:b/>
                      <w:color w:val="auto"/>
                      <w:szCs w:val="21"/>
                      <w:lang w:val="en-US" w:eastAsia="zh-CN"/>
                    </w:rPr>
                  </w:pPr>
                  <w:r>
                    <w:rPr>
                      <w:rFonts w:hint="eastAsia" w:cs="Times New Roman"/>
                      <w:b/>
                      <w:color w:val="auto"/>
                      <w:szCs w:val="21"/>
                      <w:lang w:val="en-US" w:eastAsia="zh-CN"/>
                    </w:rPr>
                    <w:t>监测点位</w:t>
                  </w:r>
                </w:p>
              </w:tc>
              <w:tc>
                <w:tcPr>
                  <w:tcW w:w="2531" w:type="pct"/>
                  <w:tcBorders>
                    <w:top w:val="single" w:color="auto" w:sz="12" w:space="0"/>
                  </w:tcBorders>
                  <w:vAlign w:val="center"/>
                </w:tcPr>
                <w:p w14:paraId="562216C7">
                  <w:pPr>
                    <w:adjustRightInd w:val="0"/>
                    <w:snapToGrid w:val="0"/>
                    <w:jc w:val="center"/>
                    <w:rPr>
                      <w:rFonts w:hint="default" w:ascii="Times New Roman" w:hAnsi="Times New Roman" w:cs="Times New Roman"/>
                      <w:b/>
                      <w:color w:val="auto"/>
                      <w:szCs w:val="21"/>
                      <w:lang w:val="en-US"/>
                    </w:rPr>
                  </w:pPr>
                  <w:r>
                    <w:rPr>
                      <w:rFonts w:hint="eastAsia" w:cs="Times New Roman"/>
                      <w:b/>
                      <w:color w:val="auto"/>
                      <w:szCs w:val="21"/>
                      <w:lang w:val="en-US" w:eastAsia="zh-CN"/>
                    </w:rPr>
                    <w:t>监测时间</w:t>
                  </w:r>
                </w:p>
              </w:tc>
              <w:tc>
                <w:tcPr>
                  <w:tcW w:w="1258" w:type="pct"/>
                  <w:vMerge w:val="restart"/>
                  <w:tcBorders>
                    <w:top w:val="single" w:color="auto" w:sz="12" w:space="0"/>
                  </w:tcBorders>
                  <w:vAlign w:val="center"/>
                </w:tcPr>
                <w:p w14:paraId="69A1B112">
                  <w:pPr>
                    <w:adjustRightInd w:val="0"/>
                    <w:snapToGrid w:val="0"/>
                    <w:jc w:val="center"/>
                    <w:rPr>
                      <w:rFonts w:hint="default" w:cs="Times New Roman"/>
                      <w:b/>
                      <w:color w:val="auto"/>
                      <w:szCs w:val="21"/>
                      <w:lang w:val="en-US" w:eastAsia="zh-CN"/>
                    </w:rPr>
                  </w:pPr>
                  <w:r>
                    <w:rPr>
                      <w:rFonts w:hint="eastAsia" w:cs="Times New Roman"/>
                      <w:b/>
                      <w:color w:val="auto"/>
                      <w:szCs w:val="21"/>
                      <w:lang w:val="en-US" w:eastAsia="zh-CN"/>
                    </w:rPr>
                    <w:t>标准</w:t>
                  </w:r>
                </w:p>
              </w:tc>
            </w:tr>
            <w:tr w14:paraId="5EC179F5">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09" w:type="pct"/>
                  <w:vMerge w:val="continue"/>
                  <w:vAlign w:val="center"/>
                </w:tcPr>
                <w:p w14:paraId="10DDB139">
                  <w:pPr>
                    <w:adjustRightInd w:val="0"/>
                    <w:snapToGrid w:val="0"/>
                    <w:jc w:val="center"/>
                    <w:rPr>
                      <w:rFonts w:hint="eastAsia" w:cs="Times New Roman"/>
                      <w:b/>
                      <w:color w:val="auto"/>
                      <w:szCs w:val="21"/>
                      <w:lang w:val="en-US" w:eastAsia="zh-CN"/>
                    </w:rPr>
                  </w:pPr>
                </w:p>
              </w:tc>
              <w:tc>
                <w:tcPr>
                  <w:tcW w:w="2531" w:type="pct"/>
                  <w:tcBorders>
                    <w:top w:val="single" w:color="auto" w:sz="12" w:space="0"/>
                  </w:tcBorders>
                  <w:vAlign w:val="center"/>
                </w:tcPr>
                <w:p w14:paraId="66C7448C">
                  <w:pPr>
                    <w:adjustRightInd w:val="0"/>
                    <w:snapToGrid w:val="0"/>
                    <w:jc w:val="center"/>
                    <w:rPr>
                      <w:rFonts w:hint="default" w:cs="Times New Roman"/>
                      <w:b/>
                      <w:color w:val="auto"/>
                      <w:szCs w:val="21"/>
                      <w:lang w:val="en-US" w:eastAsia="zh-CN"/>
                    </w:rPr>
                  </w:pPr>
                  <w:r>
                    <w:rPr>
                      <w:rFonts w:hint="eastAsia" w:cs="Times New Roman"/>
                      <w:b/>
                      <w:color w:val="auto"/>
                      <w:szCs w:val="21"/>
                      <w:lang w:val="en-US" w:eastAsia="zh-CN"/>
                    </w:rPr>
                    <w:t>2024.10.14</w:t>
                  </w:r>
                </w:p>
              </w:tc>
              <w:tc>
                <w:tcPr>
                  <w:tcW w:w="1258" w:type="pct"/>
                  <w:vMerge w:val="continue"/>
                  <w:vAlign w:val="center"/>
                </w:tcPr>
                <w:p w14:paraId="07D34719">
                  <w:pPr>
                    <w:adjustRightInd w:val="0"/>
                    <w:snapToGrid w:val="0"/>
                    <w:jc w:val="center"/>
                    <w:rPr>
                      <w:rFonts w:hint="eastAsia" w:cs="Times New Roman"/>
                      <w:b/>
                      <w:color w:val="auto"/>
                      <w:szCs w:val="21"/>
                      <w:lang w:val="en-US" w:eastAsia="zh-CN"/>
                    </w:rPr>
                  </w:pPr>
                </w:p>
              </w:tc>
            </w:tr>
            <w:tr w14:paraId="0CDCFD91">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8" w:hRule="atLeast"/>
                <w:jc w:val="center"/>
              </w:trPr>
              <w:tc>
                <w:tcPr>
                  <w:tcW w:w="1209" w:type="pct"/>
                  <w:vMerge w:val="restart"/>
                  <w:vAlign w:val="center"/>
                </w:tcPr>
                <w:p w14:paraId="1B5B1DBD">
                  <w:pPr>
                    <w:adjustRightInd w:val="0"/>
                    <w:snapToGrid w:val="0"/>
                    <w:jc w:val="center"/>
                    <w:rPr>
                      <w:rFonts w:hint="default" w:eastAsia="宋体"/>
                      <w:color w:val="auto"/>
                      <w:lang w:val="en-US" w:eastAsia="zh-CN"/>
                    </w:rPr>
                  </w:pPr>
                  <w:r>
                    <w:rPr>
                      <w:rFonts w:hint="default" w:ascii="Times New Roman" w:hAnsi="Times New Roman" w:cs="Times New Roman"/>
                      <w:color w:val="auto"/>
                      <w:szCs w:val="21"/>
                    </w:rPr>
                    <w:t>北侧</w:t>
                  </w:r>
                  <w:r>
                    <w:rPr>
                      <w:rFonts w:hint="eastAsia" w:cs="Times New Roman"/>
                      <w:color w:val="auto"/>
                      <w:szCs w:val="21"/>
                      <w:lang w:val="en-US" w:eastAsia="zh-CN"/>
                    </w:rPr>
                    <w:t>最近</w:t>
                  </w:r>
                  <w:r>
                    <w:rPr>
                      <w:rFonts w:hint="eastAsia" w:ascii="Times New Roman" w:hAnsi="Times New Roman" w:cs="Times New Roman"/>
                      <w:color w:val="auto"/>
                      <w:sz w:val="21"/>
                      <w:szCs w:val="21"/>
                      <w:lang w:val="en-US" w:eastAsia="zh-CN"/>
                    </w:rPr>
                    <w:t>民房</w:t>
                  </w:r>
                  <w:r>
                    <w:rPr>
                      <w:rFonts w:hint="eastAsia" w:cs="Times New Roman"/>
                      <w:color w:val="auto"/>
                      <w:szCs w:val="21"/>
                      <w:lang w:val="en-US" w:eastAsia="zh-CN"/>
                    </w:rPr>
                    <w:t>N1</w:t>
                  </w:r>
                </w:p>
              </w:tc>
              <w:tc>
                <w:tcPr>
                  <w:tcW w:w="2531" w:type="pct"/>
                  <w:vAlign w:val="center"/>
                </w:tcPr>
                <w:p w14:paraId="0D3BD2C6">
                  <w:pPr>
                    <w:adjustRightInd w:val="0"/>
                    <w:snapToGrid w:val="0"/>
                    <w:jc w:val="center"/>
                    <w:rPr>
                      <w:rFonts w:hint="default" w:ascii="Times New Roman" w:hAnsi="Times New Roman" w:cs="Times New Roman"/>
                      <w:color w:val="auto"/>
                      <w:szCs w:val="21"/>
                      <w:lang w:val="en-US"/>
                    </w:rPr>
                  </w:pPr>
                  <w:r>
                    <w:rPr>
                      <w:rFonts w:hint="eastAsia" w:ascii="Times New Roman" w:hAnsi="Times New Roman" w:eastAsia="宋体" w:cs="Times New Roman"/>
                      <w:color w:val="auto"/>
                      <w:szCs w:val="21"/>
                      <w:lang w:val="en-US" w:eastAsia="zh-CN"/>
                    </w:rPr>
                    <w:t>昼间</w:t>
                  </w:r>
                  <w:r>
                    <w:rPr>
                      <w:rFonts w:hint="eastAsia" w:cs="Times New Roman"/>
                      <w:color w:val="auto"/>
                      <w:szCs w:val="21"/>
                      <w:lang w:val="en-US" w:eastAsia="zh-CN"/>
                    </w:rPr>
                    <w:t>：45.2</w:t>
                  </w:r>
                </w:p>
              </w:tc>
              <w:tc>
                <w:tcPr>
                  <w:tcW w:w="1258" w:type="pct"/>
                  <w:vMerge w:val="restart"/>
                  <w:vAlign w:val="center"/>
                </w:tcPr>
                <w:p w14:paraId="0173AAD0">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昼间：55dB（A）</w:t>
                  </w:r>
                </w:p>
                <w:p w14:paraId="2CCB5F31">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夜间：45dB（A）</w:t>
                  </w:r>
                </w:p>
              </w:tc>
            </w:tr>
            <w:tr w14:paraId="1B0CDAE5">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75" w:hRule="atLeast"/>
                <w:jc w:val="center"/>
              </w:trPr>
              <w:tc>
                <w:tcPr>
                  <w:tcW w:w="1209" w:type="pct"/>
                  <w:vMerge w:val="continue"/>
                  <w:vAlign w:val="center"/>
                </w:tcPr>
                <w:p w14:paraId="72884CCF">
                  <w:pPr>
                    <w:adjustRightInd w:val="0"/>
                    <w:snapToGrid w:val="0"/>
                    <w:jc w:val="center"/>
                    <w:rPr>
                      <w:rFonts w:hint="default" w:ascii="Times New Roman" w:hAnsi="Times New Roman" w:cs="Times New Roman"/>
                      <w:color w:val="auto"/>
                      <w:szCs w:val="21"/>
                    </w:rPr>
                  </w:pPr>
                </w:p>
              </w:tc>
              <w:tc>
                <w:tcPr>
                  <w:tcW w:w="2531" w:type="pct"/>
                  <w:vAlign w:val="center"/>
                </w:tcPr>
                <w:p w14:paraId="78AD2E01">
                  <w:pPr>
                    <w:adjustRightInd w:val="0"/>
                    <w:snapToGrid w:val="0"/>
                    <w:jc w:val="center"/>
                    <w:rPr>
                      <w:rFonts w:hint="default" w:ascii="Times New Roman" w:hAnsi="Times New Roman" w:cs="Times New Roman"/>
                      <w:color w:val="auto"/>
                      <w:szCs w:val="21"/>
                      <w:lang w:val="en-US"/>
                    </w:rPr>
                  </w:pPr>
                  <w:r>
                    <w:rPr>
                      <w:rFonts w:hint="eastAsia" w:ascii="Times New Roman" w:hAnsi="Times New Roman" w:eastAsia="宋体" w:cs="Times New Roman"/>
                      <w:color w:val="auto"/>
                      <w:szCs w:val="21"/>
                      <w:lang w:val="en-US" w:eastAsia="zh-CN"/>
                    </w:rPr>
                    <w:t>夜间</w:t>
                  </w:r>
                  <w:r>
                    <w:rPr>
                      <w:rFonts w:hint="eastAsia" w:cs="Times New Roman"/>
                      <w:color w:val="auto"/>
                      <w:szCs w:val="21"/>
                      <w:lang w:val="en-US" w:eastAsia="zh-CN"/>
                    </w:rPr>
                    <w:t>：38.1</w:t>
                  </w:r>
                </w:p>
              </w:tc>
              <w:tc>
                <w:tcPr>
                  <w:tcW w:w="1258" w:type="pct"/>
                  <w:vMerge w:val="continue"/>
                  <w:vAlign w:val="center"/>
                </w:tcPr>
                <w:p w14:paraId="2D5228C6">
                  <w:pPr>
                    <w:adjustRightInd w:val="0"/>
                    <w:snapToGrid w:val="0"/>
                    <w:jc w:val="center"/>
                    <w:rPr>
                      <w:rFonts w:hint="default" w:ascii="Times New Roman" w:hAnsi="Times New Roman" w:cs="Times New Roman"/>
                      <w:color w:val="auto"/>
                      <w:szCs w:val="21"/>
                    </w:rPr>
                  </w:pPr>
                </w:p>
              </w:tc>
            </w:tr>
            <w:tr w14:paraId="201E6CE0">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12" w:hRule="atLeast"/>
                <w:jc w:val="center"/>
              </w:trPr>
              <w:tc>
                <w:tcPr>
                  <w:tcW w:w="1209" w:type="pct"/>
                  <w:vMerge w:val="restart"/>
                  <w:vAlign w:val="center"/>
                </w:tcPr>
                <w:p w14:paraId="6E5BC67E">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西</w:t>
                  </w:r>
                  <w:r>
                    <w:rPr>
                      <w:rFonts w:hint="default" w:ascii="Times New Roman" w:hAnsi="Times New Roman" w:cs="Times New Roman"/>
                      <w:color w:val="auto"/>
                      <w:szCs w:val="21"/>
                    </w:rPr>
                    <w:t>侧</w:t>
                  </w:r>
                  <w:r>
                    <w:rPr>
                      <w:rFonts w:hint="eastAsia" w:cs="Times New Roman"/>
                      <w:color w:val="auto"/>
                      <w:szCs w:val="21"/>
                      <w:lang w:val="en-US" w:eastAsia="zh-CN"/>
                    </w:rPr>
                    <w:t>最近</w:t>
                  </w:r>
                  <w:r>
                    <w:rPr>
                      <w:rFonts w:hint="eastAsia" w:ascii="Times New Roman" w:hAnsi="Times New Roman" w:cs="Times New Roman"/>
                      <w:color w:val="auto"/>
                      <w:sz w:val="21"/>
                      <w:szCs w:val="21"/>
                      <w:lang w:val="en-US" w:eastAsia="zh-CN"/>
                    </w:rPr>
                    <w:t>民房</w:t>
                  </w:r>
                  <w:r>
                    <w:rPr>
                      <w:rFonts w:hint="eastAsia" w:cs="Times New Roman"/>
                      <w:color w:val="auto"/>
                      <w:szCs w:val="21"/>
                      <w:lang w:val="en-US" w:eastAsia="zh-CN"/>
                    </w:rPr>
                    <w:t>N2</w:t>
                  </w:r>
                </w:p>
              </w:tc>
              <w:tc>
                <w:tcPr>
                  <w:tcW w:w="2531" w:type="pct"/>
                  <w:shd w:val="clear" w:color="auto" w:fill="auto"/>
                  <w:vAlign w:val="center"/>
                </w:tcPr>
                <w:p w14:paraId="401DAAD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昼间</w:t>
                  </w:r>
                  <w:r>
                    <w:rPr>
                      <w:rFonts w:hint="eastAsia" w:cs="Times New Roman"/>
                      <w:color w:val="auto"/>
                      <w:szCs w:val="21"/>
                      <w:lang w:val="en-US" w:eastAsia="zh-CN"/>
                    </w:rPr>
                    <w:t>：46.7</w:t>
                  </w:r>
                </w:p>
              </w:tc>
              <w:tc>
                <w:tcPr>
                  <w:tcW w:w="1258" w:type="pct"/>
                  <w:vMerge w:val="continue"/>
                  <w:vAlign w:val="center"/>
                </w:tcPr>
                <w:p w14:paraId="7AB4B6E1">
                  <w:pPr>
                    <w:adjustRightInd w:val="0"/>
                    <w:snapToGrid w:val="0"/>
                    <w:jc w:val="center"/>
                    <w:rPr>
                      <w:rFonts w:hint="default" w:ascii="Times New Roman" w:hAnsi="Times New Roman" w:cs="Times New Roman"/>
                      <w:color w:val="auto"/>
                      <w:szCs w:val="21"/>
                    </w:rPr>
                  </w:pPr>
                </w:p>
              </w:tc>
            </w:tr>
            <w:tr w14:paraId="0C647711">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09" w:type="pct"/>
                  <w:vMerge w:val="continue"/>
                  <w:vAlign w:val="center"/>
                </w:tcPr>
                <w:p w14:paraId="702F900A">
                  <w:pPr>
                    <w:adjustRightInd w:val="0"/>
                    <w:snapToGrid w:val="0"/>
                    <w:jc w:val="center"/>
                    <w:rPr>
                      <w:rFonts w:hint="default" w:ascii="Times New Roman" w:hAnsi="Times New Roman" w:cs="Times New Roman"/>
                      <w:color w:val="auto"/>
                      <w:szCs w:val="21"/>
                    </w:rPr>
                  </w:pPr>
                </w:p>
              </w:tc>
              <w:tc>
                <w:tcPr>
                  <w:tcW w:w="2531" w:type="pct"/>
                  <w:shd w:val="clear" w:color="auto" w:fill="auto"/>
                  <w:vAlign w:val="center"/>
                </w:tcPr>
                <w:p w14:paraId="077FB18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夜间</w:t>
                  </w:r>
                  <w:r>
                    <w:rPr>
                      <w:rFonts w:hint="eastAsia" w:cs="Times New Roman"/>
                      <w:color w:val="auto"/>
                      <w:szCs w:val="21"/>
                      <w:lang w:val="en-US" w:eastAsia="zh-CN"/>
                    </w:rPr>
                    <w:t>：42.4</w:t>
                  </w:r>
                </w:p>
              </w:tc>
              <w:tc>
                <w:tcPr>
                  <w:tcW w:w="1258" w:type="pct"/>
                  <w:vMerge w:val="continue"/>
                  <w:vAlign w:val="center"/>
                </w:tcPr>
                <w:p w14:paraId="2C423460">
                  <w:pPr>
                    <w:adjustRightInd w:val="0"/>
                    <w:snapToGrid w:val="0"/>
                    <w:jc w:val="center"/>
                    <w:rPr>
                      <w:rFonts w:hint="default" w:ascii="Times New Roman" w:hAnsi="Times New Roman" w:cs="Times New Roman"/>
                      <w:color w:val="auto"/>
                      <w:szCs w:val="21"/>
                    </w:rPr>
                  </w:pPr>
                </w:p>
              </w:tc>
            </w:tr>
            <w:tr w14:paraId="783E9832">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09" w:type="pct"/>
                  <w:vMerge w:val="restart"/>
                  <w:vAlign w:val="center"/>
                </w:tcPr>
                <w:p w14:paraId="798B0F80">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华林中心小学N3</w:t>
                  </w:r>
                </w:p>
              </w:tc>
              <w:tc>
                <w:tcPr>
                  <w:tcW w:w="2531" w:type="pct"/>
                  <w:shd w:val="clear" w:color="auto" w:fill="auto"/>
                  <w:vAlign w:val="center"/>
                </w:tcPr>
                <w:p w14:paraId="5AF9D44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昼间</w:t>
                  </w:r>
                  <w:r>
                    <w:rPr>
                      <w:rFonts w:hint="eastAsia" w:cs="Times New Roman"/>
                      <w:color w:val="auto"/>
                      <w:szCs w:val="21"/>
                      <w:lang w:val="en-US" w:eastAsia="zh-CN"/>
                    </w:rPr>
                    <w:t>：43.1</w:t>
                  </w:r>
                </w:p>
              </w:tc>
              <w:tc>
                <w:tcPr>
                  <w:tcW w:w="1258" w:type="pct"/>
                  <w:vMerge w:val="continue"/>
                  <w:vAlign w:val="center"/>
                </w:tcPr>
                <w:p w14:paraId="4451FCF8">
                  <w:pPr>
                    <w:adjustRightInd w:val="0"/>
                    <w:snapToGrid w:val="0"/>
                    <w:jc w:val="center"/>
                    <w:rPr>
                      <w:rFonts w:hint="default" w:ascii="Times New Roman" w:hAnsi="Times New Roman" w:cs="Times New Roman"/>
                      <w:color w:val="auto"/>
                      <w:szCs w:val="21"/>
                    </w:rPr>
                  </w:pPr>
                </w:p>
              </w:tc>
            </w:tr>
            <w:tr w14:paraId="6867C345">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09" w:type="pct"/>
                  <w:vMerge w:val="continue"/>
                  <w:vAlign w:val="center"/>
                </w:tcPr>
                <w:p w14:paraId="1CD3F375">
                  <w:pPr>
                    <w:adjustRightInd w:val="0"/>
                    <w:snapToGrid w:val="0"/>
                    <w:jc w:val="center"/>
                    <w:rPr>
                      <w:rFonts w:hint="default" w:ascii="Times New Roman" w:hAnsi="Times New Roman" w:cs="Times New Roman"/>
                      <w:color w:val="auto"/>
                      <w:szCs w:val="21"/>
                    </w:rPr>
                  </w:pPr>
                </w:p>
              </w:tc>
              <w:tc>
                <w:tcPr>
                  <w:tcW w:w="2531" w:type="pct"/>
                  <w:shd w:val="clear" w:color="auto" w:fill="auto"/>
                  <w:vAlign w:val="center"/>
                </w:tcPr>
                <w:p w14:paraId="5D99ABA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夜间</w:t>
                  </w:r>
                  <w:r>
                    <w:rPr>
                      <w:rFonts w:hint="eastAsia" w:cs="Times New Roman"/>
                      <w:color w:val="auto"/>
                      <w:szCs w:val="21"/>
                      <w:lang w:val="en-US" w:eastAsia="zh-CN"/>
                    </w:rPr>
                    <w:t>：42.5</w:t>
                  </w:r>
                </w:p>
              </w:tc>
              <w:tc>
                <w:tcPr>
                  <w:tcW w:w="1258" w:type="pct"/>
                  <w:vMerge w:val="continue"/>
                  <w:vAlign w:val="center"/>
                </w:tcPr>
                <w:p w14:paraId="7B031181">
                  <w:pPr>
                    <w:adjustRightInd w:val="0"/>
                    <w:snapToGrid w:val="0"/>
                    <w:jc w:val="center"/>
                    <w:rPr>
                      <w:rFonts w:hint="default" w:ascii="Times New Roman" w:hAnsi="Times New Roman" w:cs="Times New Roman"/>
                      <w:color w:val="auto"/>
                      <w:szCs w:val="21"/>
                    </w:rPr>
                  </w:pPr>
                </w:p>
              </w:tc>
            </w:tr>
            <w:tr w14:paraId="3942AF8B">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09" w:type="pct"/>
                  <w:vMerge w:val="restart"/>
                  <w:vAlign w:val="center"/>
                </w:tcPr>
                <w:p w14:paraId="712D7A80">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东</w:t>
                  </w:r>
                  <w:r>
                    <w:rPr>
                      <w:rFonts w:hint="default" w:ascii="Times New Roman" w:hAnsi="Times New Roman" w:cs="Times New Roman"/>
                      <w:color w:val="auto"/>
                      <w:szCs w:val="21"/>
                    </w:rPr>
                    <w:t>侧</w:t>
                  </w:r>
                  <w:r>
                    <w:rPr>
                      <w:rFonts w:hint="eastAsia" w:cs="Times New Roman"/>
                      <w:color w:val="auto"/>
                      <w:szCs w:val="21"/>
                      <w:lang w:val="en-US" w:eastAsia="zh-CN"/>
                    </w:rPr>
                    <w:t>最近</w:t>
                  </w:r>
                  <w:r>
                    <w:rPr>
                      <w:rFonts w:hint="eastAsia" w:ascii="Times New Roman" w:hAnsi="Times New Roman" w:cs="Times New Roman"/>
                      <w:color w:val="auto"/>
                      <w:sz w:val="21"/>
                      <w:szCs w:val="21"/>
                      <w:lang w:val="en-US" w:eastAsia="zh-CN"/>
                    </w:rPr>
                    <w:t>民房</w:t>
                  </w:r>
                  <w:r>
                    <w:rPr>
                      <w:rFonts w:hint="eastAsia" w:cs="Times New Roman"/>
                      <w:color w:val="auto"/>
                      <w:szCs w:val="21"/>
                      <w:lang w:val="en-US" w:eastAsia="zh-CN"/>
                    </w:rPr>
                    <w:t>N4</w:t>
                  </w:r>
                </w:p>
              </w:tc>
              <w:tc>
                <w:tcPr>
                  <w:tcW w:w="2531" w:type="pct"/>
                  <w:shd w:val="clear" w:color="auto" w:fill="auto"/>
                  <w:vAlign w:val="center"/>
                </w:tcPr>
                <w:p w14:paraId="056657E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昼间</w:t>
                  </w:r>
                  <w:r>
                    <w:rPr>
                      <w:rFonts w:hint="eastAsia" w:cs="Times New Roman"/>
                      <w:color w:val="auto"/>
                      <w:szCs w:val="21"/>
                      <w:lang w:val="en-US" w:eastAsia="zh-CN"/>
                    </w:rPr>
                    <w:t>：47.4</w:t>
                  </w:r>
                </w:p>
              </w:tc>
              <w:tc>
                <w:tcPr>
                  <w:tcW w:w="1258" w:type="pct"/>
                  <w:vMerge w:val="continue"/>
                  <w:vAlign w:val="center"/>
                </w:tcPr>
                <w:p w14:paraId="00A85E21">
                  <w:pPr>
                    <w:adjustRightInd w:val="0"/>
                    <w:snapToGrid w:val="0"/>
                    <w:jc w:val="center"/>
                    <w:rPr>
                      <w:rFonts w:hint="default" w:ascii="Times New Roman" w:hAnsi="Times New Roman" w:cs="Times New Roman"/>
                      <w:color w:val="auto"/>
                      <w:szCs w:val="21"/>
                    </w:rPr>
                  </w:pPr>
                </w:p>
              </w:tc>
            </w:tr>
            <w:tr w14:paraId="5EF77127">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09" w:type="pct"/>
                  <w:vMerge w:val="continue"/>
                  <w:vAlign w:val="center"/>
                </w:tcPr>
                <w:p w14:paraId="582A9AB5">
                  <w:pPr>
                    <w:adjustRightInd w:val="0"/>
                    <w:snapToGrid w:val="0"/>
                    <w:jc w:val="center"/>
                    <w:rPr>
                      <w:rFonts w:hint="default" w:ascii="Times New Roman" w:hAnsi="Times New Roman" w:cs="Times New Roman"/>
                      <w:color w:val="auto"/>
                      <w:szCs w:val="21"/>
                    </w:rPr>
                  </w:pPr>
                </w:p>
              </w:tc>
              <w:tc>
                <w:tcPr>
                  <w:tcW w:w="2531" w:type="pct"/>
                  <w:shd w:val="clear" w:color="auto" w:fill="auto"/>
                  <w:vAlign w:val="center"/>
                </w:tcPr>
                <w:p w14:paraId="76F396E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夜间</w:t>
                  </w:r>
                  <w:r>
                    <w:rPr>
                      <w:rFonts w:hint="eastAsia" w:cs="Times New Roman"/>
                      <w:color w:val="auto"/>
                      <w:szCs w:val="21"/>
                      <w:lang w:val="en-US" w:eastAsia="zh-CN"/>
                    </w:rPr>
                    <w:t>：40.5</w:t>
                  </w:r>
                </w:p>
              </w:tc>
              <w:tc>
                <w:tcPr>
                  <w:tcW w:w="1258" w:type="pct"/>
                  <w:vMerge w:val="continue"/>
                  <w:vAlign w:val="center"/>
                </w:tcPr>
                <w:p w14:paraId="22E0BC16">
                  <w:pPr>
                    <w:adjustRightInd w:val="0"/>
                    <w:snapToGrid w:val="0"/>
                    <w:jc w:val="center"/>
                    <w:rPr>
                      <w:rFonts w:hint="default" w:ascii="Times New Roman" w:hAnsi="Times New Roman" w:cs="Times New Roman"/>
                      <w:color w:val="auto"/>
                      <w:szCs w:val="21"/>
                    </w:rPr>
                  </w:pPr>
                </w:p>
              </w:tc>
            </w:tr>
          </w:tbl>
          <w:p w14:paraId="009D15D4">
            <w:pPr>
              <w:spacing w:line="360" w:lineRule="auto"/>
              <w:ind w:firstLine="482"/>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4、地下水环境、土壤环境</w:t>
            </w:r>
          </w:p>
          <w:p w14:paraId="5BA8D53B">
            <w:pPr>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本项目厂界外500米范围内无地下水集中式饮用水水源和热水、矿泉水、温泉等特殊地下水资源。结合项目制定的环境风险防范措施，项目正常运营情况下，不存在污染土壤及地下水环境的途径，故不开展地下水、土壤环境现状调查。</w:t>
            </w:r>
          </w:p>
          <w:p w14:paraId="1A9A108B">
            <w:pPr>
              <w:spacing w:line="360" w:lineRule="auto"/>
              <w:ind w:firstLine="482"/>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5、生态环境</w:t>
            </w:r>
          </w:p>
          <w:p w14:paraId="3F919677">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本项目用地范围内不涉及生态环境保护目标，无需进行生态现状调查。</w:t>
            </w:r>
          </w:p>
        </w:tc>
      </w:tr>
      <w:tr w14:paraId="78B632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506" w:type="dxa"/>
            <w:vAlign w:val="center"/>
          </w:tcPr>
          <w:p w14:paraId="7DE80C53">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环境</w:t>
            </w:r>
          </w:p>
          <w:p w14:paraId="661F90D9">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保护</w:t>
            </w:r>
          </w:p>
          <w:p w14:paraId="16C40F64">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rPr>
              <w:t>目标</w:t>
            </w:r>
          </w:p>
        </w:tc>
        <w:tc>
          <w:tcPr>
            <w:tcW w:w="8484" w:type="dxa"/>
            <w:vAlign w:val="center"/>
          </w:tcPr>
          <w:p w14:paraId="13D8C752">
            <w:pPr>
              <w:numPr>
                <w:ilvl w:val="0"/>
                <w:numId w:val="8"/>
              </w:numPr>
              <w:adjustRightInd w:val="0"/>
              <w:snapToGrid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环境空气：项目厂界500m范围内大气环境保护目标详见下表。</w:t>
            </w:r>
          </w:p>
          <w:p w14:paraId="39F051E5">
            <w:pPr>
              <w:numPr>
                <w:ilvl w:val="0"/>
                <w:numId w:val="8"/>
              </w:numPr>
              <w:adjustRightInd w:val="0"/>
              <w:snapToGrid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声环境：项目厂界50m范围内声环境保护目标详见下表。</w:t>
            </w:r>
          </w:p>
          <w:p w14:paraId="4EB294B8">
            <w:pPr>
              <w:numPr>
                <w:ilvl w:val="0"/>
                <w:numId w:val="0"/>
              </w:numPr>
              <w:adjustRightInd w:val="0"/>
              <w:snapToGrid w:val="0"/>
              <w:spacing w:line="360" w:lineRule="auto"/>
              <w:ind w:firstLine="480" w:firstLineChars="200"/>
              <w:jc w:val="left"/>
              <w:rPr>
                <w:rFonts w:hint="default" w:ascii="Times New Roman" w:hAnsi="Times New Roman" w:eastAsia="宋体" w:cs="Times New Roman"/>
                <w:color w:val="auto"/>
                <w:kern w:val="0"/>
                <w:sz w:val="24"/>
              </w:rPr>
            </w:pPr>
            <w:r>
              <w:rPr>
                <w:rFonts w:hint="eastAsia" w:cs="Times New Roman"/>
                <w:color w:val="auto"/>
                <w:kern w:val="0"/>
                <w:sz w:val="24"/>
                <w:lang w:val="en-US" w:eastAsia="zh-CN"/>
              </w:rPr>
              <w:t>3、</w:t>
            </w:r>
            <w:r>
              <w:rPr>
                <w:rFonts w:hint="default" w:ascii="Times New Roman" w:hAnsi="Times New Roman" w:eastAsia="宋体" w:cs="Times New Roman"/>
                <w:color w:val="auto"/>
                <w:kern w:val="0"/>
                <w:sz w:val="24"/>
              </w:rPr>
              <w:t>地下水环境：项目厂界500m范围内无地下水集中式饮用水水源和热水、矿泉水、温泉等特殊地下水资源。</w:t>
            </w:r>
          </w:p>
          <w:p w14:paraId="12545410">
            <w:pPr>
              <w:pStyle w:val="9"/>
              <w:adjustRightInd w:val="0"/>
              <w:snapToGrid w:val="0"/>
              <w:spacing w:after="0" w:line="360" w:lineRule="auto"/>
              <w:ind w:left="0" w:leftChars="0" w:firstLine="480" w:firstLineChars="200"/>
              <w:jc w:val="both"/>
              <w:rPr>
                <w:rFonts w:hint="default" w:ascii="Times New Roman" w:hAnsi="Times New Roman" w:cs="Times New Roman"/>
                <w:color w:val="auto"/>
              </w:rPr>
            </w:pPr>
            <w:r>
              <w:rPr>
                <w:rFonts w:hint="eastAsia" w:cs="Times New Roman"/>
                <w:color w:val="auto"/>
                <w:lang w:val="en-US" w:eastAsia="zh-CN"/>
              </w:rPr>
              <w:t>4</w:t>
            </w:r>
            <w:r>
              <w:rPr>
                <w:rFonts w:hint="default" w:ascii="Times New Roman" w:hAnsi="Times New Roman" w:cs="Times New Roman"/>
                <w:color w:val="auto"/>
              </w:rPr>
              <w:t>、生态环境：通过调查，本项目用地红线范围内未涉及需要保护的珍稀野生动物及其繁殖栖息地，未涉及挂牌的古树名木，未涉及自然保护区核心区及缓冲区、永久基本农田、生态公益林。</w:t>
            </w:r>
          </w:p>
          <w:p w14:paraId="4589DF3E">
            <w:pPr>
              <w:pStyle w:val="39"/>
              <w:adjustRightInd w:val="0"/>
              <w:snapToGrid w:val="0"/>
              <w:ind w:firstLine="480"/>
              <w:jc w:val="both"/>
              <w:rPr>
                <w:rFonts w:hint="default" w:ascii="Times New Roman" w:hAnsi="Times New Roman" w:cs="Times New Roman"/>
                <w:b/>
                <w:bCs/>
                <w:color w:val="auto"/>
              </w:rPr>
            </w:pPr>
            <w:r>
              <w:rPr>
                <w:rFonts w:hint="default" w:ascii="Times New Roman" w:hAnsi="Times New Roman" w:cs="Times New Roman"/>
                <w:color w:val="auto"/>
              </w:rPr>
              <w:t>主要环境保护目标见下表。</w:t>
            </w:r>
          </w:p>
          <w:p w14:paraId="121D2156">
            <w:pPr>
              <w:tabs>
                <w:tab w:val="left" w:pos="0"/>
              </w:tabs>
              <w:adjustRightInd w:val="0"/>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表3-</w:t>
            </w:r>
            <w:r>
              <w:rPr>
                <w:rFonts w:hint="default" w:ascii="Times New Roman" w:hAnsi="Times New Roman" w:cs="Times New Roman"/>
                <w:b/>
                <w:color w:val="auto"/>
                <w:szCs w:val="21"/>
                <w:lang w:val="en-US" w:eastAsia="zh-CN"/>
              </w:rPr>
              <w:t>4</w:t>
            </w:r>
            <w:r>
              <w:rPr>
                <w:rFonts w:hint="default" w:ascii="Times New Roman" w:hAnsi="Times New Roman" w:cs="Times New Roman"/>
                <w:b/>
                <w:color w:val="auto"/>
                <w:szCs w:val="21"/>
              </w:rPr>
              <w:t xml:space="preserve">  环境保护目标一览表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9"/>
              <w:gridCol w:w="917"/>
              <w:gridCol w:w="1137"/>
              <w:gridCol w:w="1056"/>
              <w:gridCol w:w="769"/>
              <w:gridCol w:w="803"/>
              <w:gridCol w:w="868"/>
              <w:gridCol w:w="1007"/>
              <w:gridCol w:w="1292"/>
            </w:tblGrid>
            <w:tr w14:paraId="4AF088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419" w:type="dxa"/>
                  <w:vMerge w:val="restart"/>
                  <w:vAlign w:val="center"/>
                </w:tcPr>
                <w:p w14:paraId="648BB002">
                  <w:pPr>
                    <w:adjustRightInd w:val="0"/>
                    <w:snapToGrid w:val="0"/>
                    <w:jc w:val="center"/>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环境要素</w:t>
                  </w:r>
                </w:p>
              </w:tc>
              <w:tc>
                <w:tcPr>
                  <w:tcW w:w="917" w:type="dxa"/>
                  <w:vMerge w:val="restart"/>
                  <w:vAlign w:val="center"/>
                </w:tcPr>
                <w:p w14:paraId="1B0DC4BB">
                  <w:pPr>
                    <w:adjustRightInd w:val="0"/>
                    <w:snapToGrid w:val="0"/>
                    <w:jc w:val="center"/>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名称</w:t>
                  </w:r>
                </w:p>
              </w:tc>
              <w:tc>
                <w:tcPr>
                  <w:tcW w:w="2193" w:type="dxa"/>
                  <w:gridSpan w:val="2"/>
                  <w:vAlign w:val="center"/>
                </w:tcPr>
                <w:p w14:paraId="145700B3">
                  <w:pPr>
                    <w:adjustRightInd w:val="0"/>
                    <w:snapToGrid w:val="0"/>
                    <w:jc w:val="center"/>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经纬度</w:t>
                  </w:r>
                </w:p>
              </w:tc>
              <w:tc>
                <w:tcPr>
                  <w:tcW w:w="769" w:type="dxa"/>
                  <w:vMerge w:val="restart"/>
                  <w:vAlign w:val="center"/>
                </w:tcPr>
                <w:p w14:paraId="05360756">
                  <w:pPr>
                    <w:adjustRightInd w:val="0"/>
                    <w:snapToGrid w:val="0"/>
                    <w:jc w:val="center"/>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保护对象</w:t>
                  </w:r>
                </w:p>
              </w:tc>
              <w:tc>
                <w:tcPr>
                  <w:tcW w:w="803" w:type="dxa"/>
                  <w:vMerge w:val="restart"/>
                  <w:vAlign w:val="center"/>
                </w:tcPr>
                <w:p w14:paraId="2649572E">
                  <w:pPr>
                    <w:adjustRightInd w:val="0"/>
                    <w:snapToGrid w:val="0"/>
                    <w:jc w:val="center"/>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相对方位</w:t>
                  </w:r>
                </w:p>
              </w:tc>
              <w:tc>
                <w:tcPr>
                  <w:tcW w:w="868" w:type="dxa"/>
                  <w:vMerge w:val="restart"/>
                  <w:vAlign w:val="center"/>
                </w:tcPr>
                <w:p w14:paraId="60C3ED40">
                  <w:pPr>
                    <w:adjustRightInd w:val="0"/>
                    <w:snapToGrid w:val="0"/>
                    <w:jc w:val="center"/>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距离（m）</w:t>
                  </w:r>
                </w:p>
              </w:tc>
              <w:tc>
                <w:tcPr>
                  <w:tcW w:w="1007" w:type="dxa"/>
                  <w:vMerge w:val="restart"/>
                  <w:vAlign w:val="center"/>
                </w:tcPr>
                <w:p w14:paraId="645CF497">
                  <w:pPr>
                    <w:adjustRightInd w:val="0"/>
                    <w:snapToGrid w:val="0"/>
                    <w:jc w:val="center"/>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规模（人）</w:t>
                  </w:r>
                </w:p>
              </w:tc>
              <w:tc>
                <w:tcPr>
                  <w:tcW w:w="1292" w:type="dxa"/>
                  <w:vMerge w:val="restart"/>
                  <w:vAlign w:val="center"/>
                </w:tcPr>
                <w:p w14:paraId="5C132CF5">
                  <w:pPr>
                    <w:adjustRightInd w:val="0"/>
                    <w:snapToGrid w:val="0"/>
                    <w:jc w:val="center"/>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环境功能</w:t>
                  </w:r>
                </w:p>
              </w:tc>
            </w:tr>
            <w:tr w14:paraId="51C04D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30" w:hRule="atLeast"/>
                <w:jc w:val="center"/>
              </w:trPr>
              <w:tc>
                <w:tcPr>
                  <w:tcW w:w="419" w:type="dxa"/>
                  <w:vMerge w:val="continue"/>
                  <w:vAlign w:val="center"/>
                </w:tcPr>
                <w:p w14:paraId="6CF58779">
                  <w:pPr>
                    <w:adjustRightInd w:val="0"/>
                    <w:snapToGrid w:val="0"/>
                    <w:jc w:val="center"/>
                    <w:rPr>
                      <w:rFonts w:hint="default" w:ascii="Times New Roman" w:hAnsi="Times New Roman" w:cs="Times New Roman"/>
                      <w:color w:val="auto"/>
                      <w:sz w:val="18"/>
                      <w:szCs w:val="18"/>
                    </w:rPr>
                  </w:pPr>
                </w:p>
              </w:tc>
              <w:tc>
                <w:tcPr>
                  <w:tcW w:w="917" w:type="dxa"/>
                  <w:vMerge w:val="continue"/>
                  <w:vAlign w:val="center"/>
                </w:tcPr>
                <w:p w14:paraId="0D2B6CB1">
                  <w:pPr>
                    <w:adjustRightInd w:val="0"/>
                    <w:snapToGrid w:val="0"/>
                    <w:jc w:val="center"/>
                    <w:rPr>
                      <w:rFonts w:hint="default" w:ascii="Times New Roman" w:hAnsi="Times New Roman" w:cs="Times New Roman"/>
                      <w:color w:val="auto"/>
                      <w:sz w:val="18"/>
                      <w:szCs w:val="18"/>
                    </w:rPr>
                  </w:pPr>
                </w:p>
              </w:tc>
              <w:tc>
                <w:tcPr>
                  <w:tcW w:w="1137" w:type="dxa"/>
                  <w:vAlign w:val="center"/>
                </w:tcPr>
                <w:p w14:paraId="494831C2">
                  <w:pPr>
                    <w:adjustRightInd w:val="0"/>
                    <w:snapToGrid w:val="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经度</w:t>
                  </w:r>
                </w:p>
              </w:tc>
              <w:tc>
                <w:tcPr>
                  <w:tcW w:w="1056" w:type="dxa"/>
                  <w:vAlign w:val="center"/>
                </w:tcPr>
                <w:p w14:paraId="58AB0BC4">
                  <w:pPr>
                    <w:adjustRightInd w:val="0"/>
                    <w:snapToGrid w:val="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纬度</w:t>
                  </w:r>
                </w:p>
              </w:tc>
              <w:tc>
                <w:tcPr>
                  <w:tcW w:w="769" w:type="dxa"/>
                  <w:vMerge w:val="continue"/>
                  <w:vAlign w:val="center"/>
                </w:tcPr>
                <w:p w14:paraId="26873998">
                  <w:pPr>
                    <w:adjustRightInd w:val="0"/>
                    <w:snapToGrid w:val="0"/>
                    <w:jc w:val="center"/>
                    <w:rPr>
                      <w:rFonts w:hint="default" w:ascii="Times New Roman" w:hAnsi="Times New Roman" w:cs="Times New Roman"/>
                      <w:color w:val="auto"/>
                      <w:sz w:val="18"/>
                      <w:szCs w:val="18"/>
                    </w:rPr>
                  </w:pPr>
                </w:p>
              </w:tc>
              <w:tc>
                <w:tcPr>
                  <w:tcW w:w="803" w:type="dxa"/>
                  <w:vMerge w:val="continue"/>
                  <w:vAlign w:val="center"/>
                </w:tcPr>
                <w:p w14:paraId="713365F8">
                  <w:pPr>
                    <w:adjustRightInd w:val="0"/>
                    <w:snapToGrid w:val="0"/>
                    <w:jc w:val="center"/>
                    <w:rPr>
                      <w:rFonts w:hint="default" w:ascii="Times New Roman" w:hAnsi="Times New Roman" w:cs="Times New Roman"/>
                      <w:color w:val="auto"/>
                      <w:sz w:val="18"/>
                      <w:szCs w:val="18"/>
                    </w:rPr>
                  </w:pPr>
                </w:p>
              </w:tc>
              <w:tc>
                <w:tcPr>
                  <w:tcW w:w="868" w:type="dxa"/>
                  <w:vMerge w:val="continue"/>
                  <w:vAlign w:val="center"/>
                </w:tcPr>
                <w:p w14:paraId="2EBD0F28">
                  <w:pPr>
                    <w:adjustRightInd w:val="0"/>
                    <w:snapToGrid w:val="0"/>
                    <w:jc w:val="center"/>
                    <w:rPr>
                      <w:rFonts w:hint="default" w:ascii="Times New Roman" w:hAnsi="Times New Roman" w:cs="Times New Roman"/>
                      <w:color w:val="auto"/>
                      <w:sz w:val="18"/>
                      <w:szCs w:val="18"/>
                    </w:rPr>
                  </w:pPr>
                </w:p>
              </w:tc>
              <w:tc>
                <w:tcPr>
                  <w:tcW w:w="1007" w:type="dxa"/>
                  <w:vMerge w:val="continue"/>
                  <w:vAlign w:val="center"/>
                </w:tcPr>
                <w:p w14:paraId="5F5DD5FE">
                  <w:pPr>
                    <w:adjustRightInd w:val="0"/>
                    <w:snapToGrid w:val="0"/>
                    <w:jc w:val="center"/>
                    <w:rPr>
                      <w:rFonts w:hint="default" w:ascii="Times New Roman" w:hAnsi="Times New Roman" w:cs="Times New Roman"/>
                      <w:color w:val="auto"/>
                      <w:sz w:val="18"/>
                      <w:szCs w:val="18"/>
                    </w:rPr>
                  </w:pPr>
                </w:p>
              </w:tc>
              <w:tc>
                <w:tcPr>
                  <w:tcW w:w="1292" w:type="dxa"/>
                  <w:vMerge w:val="continue"/>
                  <w:vAlign w:val="center"/>
                </w:tcPr>
                <w:p w14:paraId="75249D73">
                  <w:pPr>
                    <w:adjustRightInd w:val="0"/>
                    <w:snapToGrid w:val="0"/>
                    <w:jc w:val="center"/>
                    <w:rPr>
                      <w:rFonts w:hint="default" w:ascii="Times New Roman" w:hAnsi="Times New Roman" w:cs="Times New Roman"/>
                      <w:color w:val="auto"/>
                      <w:sz w:val="18"/>
                      <w:szCs w:val="18"/>
                    </w:rPr>
                  </w:pPr>
                </w:p>
              </w:tc>
            </w:tr>
            <w:tr w14:paraId="3F9D58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dxa"/>
                  <w:vMerge w:val="restart"/>
                  <w:vAlign w:val="center"/>
                </w:tcPr>
                <w:p w14:paraId="37242356">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大气环境</w:t>
                  </w:r>
                </w:p>
              </w:tc>
              <w:tc>
                <w:tcPr>
                  <w:tcW w:w="917" w:type="dxa"/>
                  <w:vAlign w:val="center"/>
                </w:tcPr>
                <w:p w14:paraId="7132682A">
                  <w:pPr>
                    <w:adjustRightInd w:val="0"/>
                    <w:snapToGrid w:val="0"/>
                    <w:jc w:val="center"/>
                    <w:rPr>
                      <w:rFonts w:hint="default" w:ascii="Times New Roman" w:hAnsi="Times New Roman" w:cs="Times New Roman"/>
                      <w:color w:val="auto"/>
                      <w:kern w:val="18"/>
                      <w:sz w:val="18"/>
                      <w:szCs w:val="18"/>
                    </w:rPr>
                  </w:pPr>
                  <w:r>
                    <w:rPr>
                      <w:rFonts w:hint="default" w:ascii="Times New Roman" w:hAnsi="Times New Roman" w:cs="Times New Roman"/>
                      <w:color w:val="auto"/>
                      <w:kern w:val="18"/>
                      <w:sz w:val="18"/>
                      <w:szCs w:val="18"/>
                    </w:rPr>
                    <w:t>华林镇</w:t>
                  </w:r>
                </w:p>
              </w:tc>
              <w:tc>
                <w:tcPr>
                  <w:tcW w:w="1137" w:type="dxa"/>
                  <w:vAlign w:val="center"/>
                </w:tcPr>
                <w:p w14:paraId="2A5B49F3">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115.94902</w:t>
                  </w:r>
                </w:p>
              </w:tc>
              <w:tc>
                <w:tcPr>
                  <w:tcW w:w="1056" w:type="dxa"/>
                  <w:vAlign w:val="center"/>
                </w:tcPr>
                <w:p w14:paraId="38FCACD0">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29.36851</w:t>
                  </w:r>
                </w:p>
              </w:tc>
              <w:tc>
                <w:tcPr>
                  <w:tcW w:w="769" w:type="dxa"/>
                  <w:vAlign w:val="center"/>
                </w:tcPr>
                <w:p w14:paraId="3148AD8C">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居民区</w:t>
                  </w:r>
                </w:p>
              </w:tc>
              <w:tc>
                <w:tcPr>
                  <w:tcW w:w="803" w:type="dxa"/>
                  <w:vAlign w:val="center"/>
                </w:tcPr>
                <w:p w14:paraId="519E687C">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东、南、西、北</w:t>
                  </w:r>
                </w:p>
              </w:tc>
              <w:tc>
                <w:tcPr>
                  <w:tcW w:w="868" w:type="dxa"/>
                  <w:vAlign w:val="center"/>
                </w:tcPr>
                <w:p w14:paraId="7173E787">
                  <w:pPr>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3~500</w:t>
                  </w:r>
                </w:p>
              </w:tc>
              <w:tc>
                <w:tcPr>
                  <w:tcW w:w="1007" w:type="dxa"/>
                  <w:vAlign w:val="center"/>
                </w:tcPr>
                <w:p w14:paraId="0C37E2C7">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5000</w:t>
                  </w:r>
                </w:p>
              </w:tc>
              <w:tc>
                <w:tcPr>
                  <w:tcW w:w="1292" w:type="dxa"/>
                  <w:vMerge w:val="restart"/>
                  <w:vAlign w:val="center"/>
                </w:tcPr>
                <w:p w14:paraId="2B566CBF">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《环境空气质量标准》（GB3095-2012）中二级标准</w:t>
                  </w:r>
                </w:p>
              </w:tc>
            </w:tr>
            <w:tr w14:paraId="4DAA18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419" w:type="dxa"/>
                  <w:vMerge w:val="continue"/>
                  <w:vAlign w:val="center"/>
                </w:tcPr>
                <w:p w14:paraId="2F09760E">
                  <w:pPr>
                    <w:adjustRightInd w:val="0"/>
                    <w:snapToGrid w:val="0"/>
                    <w:jc w:val="center"/>
                    <w:rPr>
                      <w:rFonts w:hint="default" w:ascii="Times New Roman" w:hAnsi="Times New Roman" w:cs="Times New Roman"/>
                      <w:color w:val="auto"/>
                      <w:sz w:val="18"/>
                      <w:szCs w:val="18"/>
                    </w:rPr>
                  </w:pPr>
                </w:p>
              </w:tc>
              <w:tc>
                <w:tcPr>
                  <w:tcW w:w="917" w:type="dxa"/>
                  <w:vAlign w:val="center"/>
                </w:tcPr>
                <w:p w14:paraId="5DA9604A">
                  <w:pPr>
                    <w:adjustRightInd w:val="0"/>
                    <w:snapToGrid w:val="0"/>
                    <w:jc w:val="center"/>
                    <w:rPr>
                      <w:rFonts w:hint="default" w:ascii="Times New Roman" w:hAnsi="Times New Roman" w:cs="Times New Roman"/>
                      <w:color w:val="auto"/>
                      <w:kern w:val="18"/>
                      <w:sz w:val="18"/>
                      <w:szCs w:val="18"/>
                    </w:rPr>
                  </w:pPr>
                  <w:r>
                    <w:rPr>
                      <w:rFonts w:hint="default" w:ascii="Times New Roman" w:hAnsi="Times New Roman" w:cs="Times New Roman"/>
                      <w:color w:val="auto"/>
                      <w:kern w:val="18"/>
                      <w:sz w:val="18"/>
                      <w:szCs w:val="18"/>
                    </w:rPr>
                    <w:t>下屋王</w:t>
                  </w:r>
                </w:p>
              </w:tc>
              <w:tc>
                <w:tcPr>
                  <w:tcW w:w="1137" w:type="dxa"/>
                  <w:vAlign w:val="center"/>
                </w:tcPr>
                <w:p w14:paraId="590FC0CB">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115.95245</w:t>
                  </w:r>
                </w:p>
              </w:tc>
              <w:tc>
                <w:tcPr>
                  <w:tcW w:w="1056" w:type="dxa"/>
                  <w:vAlign w:val="center"/>
                </w:tcPr>
                <w:p w14:paraId="377EA1CF">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29.36508</w:t>
                  </w:r>
                </w:p>
              </w:tc>
              <w:tc>
                <w:tcPr>
                  <w:tcW w:w="769" w:type="dxa"/>
                  <w:vAlign w:val="center"/>
                </w:tcPr>
                <w:p w14:paraId="2C5D8E64">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居民区</w:t>
                  </w:r>
                </w:p>
              </w:tc>
              <w:tc>
                <w:tcPr>
                  <w:tcW w:w="803" w:type="dxa"/>
                  <w:vAlign w:val="center"/>
                </w:tcPr>
                <w:p w14:paraId="77292620">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东南</w:t>
                  </w:r>
                </w:p>
              </w:tc>
              <w:tc>
                <w:tcPr>
                  <w:tcW w:w="868" w:type="dxa"/>
                  <w:vAlign w:val="center"/>
                </w:tcPr>
                <w:p w14:paraId="6DB4F995">
                  <w:pPr>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252</w:t>
                  </w:r>
                </w:p>
              </w:tc>
              <w:tc>
                <w:tcPr>
                  <w:tcW w:w="1007" w:type="dxa"/>
                  <w:vAlign w:val="center"/>
                </w:tcPr>
                <w:p w14:paraId="5E1EEEF3">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220</w:t>
                  </w:r>
                </w:p>
              </w:tc>
              <w:tc>
                <w:tcPr>
                  <w:tcW w:w="1292" w:type="dxa"/>
                  <w:vMerge w:val="continue"/>
                  <w:vAlign w:val="center"/>
                </w:tcPr>
                <w:p w14:paraId="7A92F645">
                  <w:pPr>
                    <w:adjustRightInd w:val="0"/>
                    <w:snapToGrid w:val="0"/>
                    <w:rPr>
                      <w:rFonts w:hint="default" w:ascii="Times New Roman" w:hAnsi="Times New Roman" w:cs="Times New Roman"/>
                      <w:color w:val="auto"/>
                      <w:sz w:val="18"/>
                      <w:szCs w:val="18"/>
                    </w:rPr>
                  </w:pPr>
                </w:p>
              </w:tc>
            </w:tr>
            <w:tr w14:paraId="2CAC43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419" w:type="dxa"/>
                  <w:vMerge w:val="continue"/>
                  <w:vAlign w:val="center"/>
                </w:tcPr>
                <w:p w14:paraId="57858333">
                  <w:pPr>
                    <w:adjustRightInd w:val="0"/>
                    <w:snapToGrid w:val="0"/>
                    <w:jc w:val="center"/>
                    <w:rPr>
                      <w:rFonts w:hint="default" w:ascii="Times New Roman" w:hAnsi="Times New Roman" w:cs="Times New Roman"/>
                      <w:color w:val="auto"/>
                      <w:sz w:val="18"/>
                      <w:szCs w:val="18"/>
                    </w:rPr>
                  </w:pPr>
                </w:p>
              </w:tc>
              <w:tc>
                <w:tcPr>
                  <w:tcW w:w="917" w:type="dxa"/>
                  <w:vAlign w:val="center"/>
                </w:tcPr>
                <w:p w14:paraId="67D8192D">
                  <w:pPr>
                    <w:adjustRightInd w:val="0"/>
                    <w:snapToGrid w:val="0"/>
                    <w:jc w:val="center"/>
                    <w:rPr>
                      <w:rFonts w:hint="default" w:ascii="Times New Roman" w:hAnsi="Times New Roman" w:cs="Times New Roman"/>
                      <w:color w:val="auto"/>
                      <w:kern w:val="18"/>
                      <w:sz w:val="18"/>
                      <w:szCs w:val="18"/>
                    </w:rPr>
                  </w:pPr>
                  <w:r>
                    <w:rPr>
                      <w:rFonts w:hint="default" w:ascii="Times New Roman" w:hAnsi="Times New Roman" w:cs="Times New Roman"/>
                      <w:color w:val="auto"/>
                      <w:kern w:val="18"/>
                      <w:sz w:val="18"/>
                      <w:szCs w:val="18"/>
                    </w:rPr>
                    <w:t>张家岭</w:t>
                  </w:r>
                </w:p>
              </w:tc>
              <w:tc>
                <w:tcPr>
                  <w:tcW w:w="1137" w:type="dxa"/>
                  <w:shd w:val="clear" w:color="auto" w:fill="auto"/>
                  <w:vAlign w:val="center"/>
                </w:tcPr>
                <w:p w14:paraId="25A589A9">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115.94696</w:t>
                  </w:r>
                </w:p>
              </w:tc>
              <w:tc>
                <w:tcPr>
                  <w:tcW w:w="1056" w:type="dxa"/>
                  <w:shd w:val="clear" w:color="auto" w:fill="auto"/>
                  <w:vAlign w:val="center"/>
                </w:tcPr>
                <w:p w14:paraId="2A7FE5F1">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29.37057</w:t>
                  </w:r>
                </w:p>
              </w:tc>
              <w:tc>
                <w:tcPr>
                  <w:tcW w:w="769" w:type="dxa"/>
                  <w:vAlign w:val="center"/>
                </w:tcPr>
                <w:p w14:paraId="78BD338B">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居民区</w:t>
                  </w:r>
                </w:p>
              </w:tc>
              <w:tc>
                <w:tcPr>
                  <w:tcW w:w="803" w:type="dxa"/>
                  <w:vAlign w:val="center"/>
                </w:tcPr>
                <w:p w14:paraId="14EB0911">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西北</w:t>
                  </w:r>
                </w:p>
              </w:tc>
              <w:tc>
                <w:tcPr>
                  <w:tcW w:w="868" w:type="dxa"/>
                  <w:vAlign w:val="center"/>
                </w:tcPr>
                <w:p w14:paraId="65B89A8E">
                  <w:pPr>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340</w:t>
                  </w:r>
                </w:p>
              </w:tc>
              <w:tc>
                <w:tcPr>
                  <w:tcW w:w="1007" w:type="dxa"/>
                  <w:vAlign w:val="center"/>
                </w:tcPr>
                <w:p w14:paraId="0B4DDC0F">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220</w:t>
                  </w:r>
                </w:p>
              </w:tc>
              <w:tc>
                <w:tcPr>
                  <w:tcW w:w="1292" w:type="dxa"/>
                  <w:vMerge w:val="continue"/>
                  <w:vAlign w:val="center"/>
                </w:tcPr>
                <w:p w14:paraId="2DC81EEE">
                  <w:pPr>
                    <w:adjustRightInd w:val="0"/>
                    <w:snapToGrid w:val="0"/>
                    <w:rPr>
                      <w:rFonts w:hint="default" w:ascii="Times New Roman" w:hAnsi="Times New Roman" w:cs="Times New Roman"/>
                      <w:color w:val="auto"/>
                      <w:sz w:val="18"/>
                      <w:szCs w:val="18"/>
                    </w:rPr>
                  </w:pPr>
                </w:p>
              </w:tc>
            </w:tr>
            <w:tr w14:paraId="243CC5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1" w:hRule="atLeast"/>
                <w:jc w:val="center"/>
              </w:trPr>
              <w:tc>
                <w:tcPr>
                  <w:tcW w:w="419" w:type="dxa"/>
                  <w:vMerge w:val="continue"/>
                  <w:vAlign w:val="center"/>
                </w:tcPr>
                <w:p w14:paraId="7181FD6F">
                  <w:pPr>
                    <w:adjustRightInd w:val="0"/>
                    <w:snapToGrid w:val="0"/>
                    <w:jc w:val="center"/>
                    <w:rPr>
                      <w:rFonts w:hint="default" w:ascii="Times New Roman" w:hAnsi="Times New Roman" w:cs="Times New Roman"/>
                      <w:color w:val="auto"/>
                      <w:sz w:val="18"/>
                      <w:szCs w:val="18"/>
                    </w:rPr>
                  </w:pPr>
                </w:p>
              </w:tc>
              <w:tc>
                <w:tcPr>
                  <w:tcW w:w="917" w:type="dxa"/>
                  <w:vAlign w:val="center"/>
                </w:tcPr>
                <w:p w14:paraId="4C38A286">
                  <w:pPr>
                    <w:adjustRightInd w:val="0"/>
                    <w:snapToGrid w:val="0"/>
                    <w:jc w:val="both"/>
                    <w:rPr>
                      <w:rFonts w:hint="default" w:ascii="Times New Roman" w:hAnsi="Times New Roman" w:cs="Times New Roman"/>
                      <w:color w:val="auto"/>
                      <w:kern w:val="18"/>
                      <w:sz w:val="18"/>
                      <w:szCs w:val="18"/>
                    </w:rPr>
                  </w:pPr>
                  <w:r>
                    <w:rPr>
                      <w:rFonts w:hint="default" w:ascii="Times New Roman" w:hAnsi="Times New Roman" w:cs="Times New Roman"/>
                      <w:color w:val="auto"/>
                      <w:kern w:val="18"/>
                      <w:sz w:val="18"/>
                      <w:szCs w:val="18"/>
                    </w:rPr>
                    <w:t>华林中心小学</w:t>
                  </w:r>
                </w:p>
              </w:tc>
              <w:tc>
                <w:tcPr>
                  <w:tcW w:w="1137" w:type="dxa"/>
                  <w:vAlign w:val="center"/>
                </w:tcPr>
                <w:p w14:paraId="33D0DFCB">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115.94936</w:t>
                  </w:r>
                </w:p>
              </w:tc>
              <w:tc>
                <w:tcPr>
                  <w:tcW w:w="1056" w:type="dxa"/>
                  <w:vAlign w:val="center"/>
                </w:tcPr>
                <w:p w14:paraId="3167D9C3">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29.366798</w:t>
                  </w:r>
                </w:p>
              </w:tc>
              <w:tc>
                <w:tcPr>
                  <w:tcW w:w="769" w:type="dxa"/>
                  <w:vAlign w:val="center"/>
                </w:tcPr>
                <w:p w14:paraId="008C87CF">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学校</w:t>
                  </w:r>
                </w:p>
              </w:tc>
              <w:tc>
                <w:tcPr>
                  <w:tcW w:w="803" w:type="dxa"/>
                  <w:vAlign w:val="center"/>
                </w:tcPr>
                <w:p w14:paraId="198F68DD">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南</w:t>
                  </w:r>
                </w:p>
              </w:tc>
              <w:tc>
                <w:tcPr>
                  <w:tcW w:w="868" w:type="dxa"/>
                  <w:vAlign w:val="center"/>
                </w:tcPr>
                <w:p w14:paraId="57209228">
                  <w:pPr>
                    <w:adjustRightInd w:val="0"/>
                    <w:snapToGrid w:val="0"/>
                    <w:jc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8</w:t>
                  </w:r>
                </w:p>
              </w:tc>
              <w:tc>
                <w:tcPr>
                  <w:tcW w:w="1007" w:type="dxa"/>
                  <w:vAlign w:val="center"/>
                </w:tcPr>
                <w:p w14:paraId="4C6BAC02">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200</w:t>
                  </w:r>
                </w:p>
              </w:tc>
              <w:tc>
                <w:tcPr>
                  <w:tcW w:w="1292" w:type="dxa"/>
                  <w:vMerge w:val="continue"/>
                  <w:vAlign w:val="center"/>
                </w:tcPr>
                <w:p w14:paraId="2E076BDA">
                  <w:pPr>
                    <w:adjustRightInd w:val="0"/>
                    <w:snapToGrid w:val="0"/>
                    <w:rPr>
                      <w:rFonts w:hint="default" w:ascii="Times New Roman" w:hAnsi="Times New Roman" w:cs="Times New Roman"/>
                      <w:color w:val="auto"/>
                      <w:sz w:val="18"/>
                      <w:szCs w:val="18"/>
                    </w:rPr>
                  </w:pPr>
                </w:p>
              </w:tc>
            </w:tr>
            <w:tr w14:paraId="05D40B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419" w:type="dxa"/>
                  <w:vMerge w:val="continue"/>
                  <w:vAlign w:val="center"/>
                </w:tcPr>
                <w:p w14:paraId="47CAB302">
                  <w:pPr>
                    <w:adjustRightInd w:val="0"/>
                    <w:snapToGrid w:val="0"/>
                    <w:jc w:val="center"/>
                    <w:rPr>
                      <w:rFonts w:hint="default" w:ascii="Times New Roman" w:hAnsi="Times New Roman" w:cs="Times New Roman"/>
                      <w:color w:val="auto"/>
                      <w:sz w:val="18"/>
                      <w:szCs w:val="18"/>
                    </w:rPr>
                  </w:pPr>
                </w:p>
              </w:tc>
              <w:tc>
                <w:tcPr>
                  <w:tcW w:w="917" w:type="dxa"/>
                  <w:vAlign w:val="center"/>
                </w:tcPr>
                <w:p w14:paraId="294603E6">
                  <w:pPr>
                    <w:adjustRightInd w:val="0"/>
                    <w:snapToGrid w:val="0"/>
                    <w:jc w:val="both"/>
                    <w:rPr>
                      <w:rFonts w:hint="default" w:ascii="Times New Roman" w:hAnsi="Times New Roman" w:cs="Times New Roman"/>
                      <w:color w:val="auto"/>
                      <w:kern w:val="18"/>
                      <w:sz w:val="18"/>
                      <w:szCs w:val="18"/>
                    </w:rPr>
                  </w:pPr>
                  <w:r>
                    <w:rPr>
                      <w:rFonts w:hint="default" w:ascii="Times New Roman" w:hAnsi="Times New Roman" w:cs="Times New Roman"/>
                      <w:color w:val="auto"/>
                      <w:kern w:val="18"/>
                      <w:sz w:val="18"/>
                      <w:szCs w:val="18"/>
                    </w:rPr>
                    <w:t>华林镇人民政府</w:t>
                  </w:r>
                </w:p>
              </w:tc>
              <w:tc>
                <w:tcPr>
                  <w:tcW w:w="1137" w:type="dxa"/>
                  <w:vAlign w:val="center"/>
                </w:tcPr>
                <w:p w14:paraId="378EDB83">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115.95005</w:t>
                  </w:r>
                </w:p>
              </w:tc>
              <w:tc>
                <w:tcPr>
                  <w:tcW w:w="1056" w:type="dxa"/>
                  <w:vAlign w:val="center"/>
                </w:tcPr>
                <w:p w14:paraId="64929824">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29.36817</w:t>
                  </w:r>
                </w:p>
              </w:tc>
              <w:tc>
                <w:tcPr>
                  <w:tcW w:w="769" w:type="dxa"/>
                  <w:vAlign w:val="center"/>
                </w:tcPr>
                <w:p w14:paraId="4A7FFF44">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政府</w:t>
                  </w:r>
                </w:p>
              </w:tc>
              <w:tc>
                <w:tcPr>
                  <w:tcW w:w="803" w:type="dxa"/>
                  <w:vAlign w:val="center"/>
                </w:tcPr>
                <w:p w14:paraId="0B05A929">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东北</w:t>
                  </w:r>
                </w:p>
              </w:tc>
              <w:tc>
                <w:tcPr>
                  <w:tcW w:w="868" w:type="dxa"/>
                  <w:vAlign w:val="center"/>
                </w:tcPr>
                <w:p w14:paraId="76985A56">
                  <w:pPr>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70</w:t>
                  </w:r>
                </w:p>
              </w:tc>
              <w:tc>
                <w:tcPr>
                  <w:tcW w:w="1007" w:type="dxa"/>
                  <w:vAlign w:val="center"/>
                </w:tcPr>
                <w:p w14:paraId="2487C4DF">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w:t>
                  </w:r>
                </w:p>
              </w:tc>
              <w:tc>
                <w:tcPr>
                  <w:tcW w:w="1292" w:type="dxa"/>
                  <w:vMerge w:val="continue"/>
                  <w:vAlign w:val="center"/>
                </w:tcPr>
                <w:p w14:paraId="3372B615">
                  <w:pPr>
                    <w:adjustRightInd w:val="0"/>
                    <w:snapToGrid w:val="0"/>
                    <w:rPr>
                      <w:rFonts w:hint="default" w:ascii="Times New Roman" w:hAnsi="Times New Roman" w:cs="Times New Roman"/>
                      <w:color w:val="auto"/>
                      <w:sz w:val="18"/>
                      <w:szCs w:val="18"/>
                    </w:rPr>
                  </w:pPr>
                </w:p>
              </w:tc>
            </w:tr>
            <w:tr w14:paraId="436856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419" w:type="dxa"/>
                  <w:vMerge w:val="restart"/>
                  <w:vAlign w:val="center"/>
                </w:tcPr>
                <w:p w14:paraId="3ED607AA">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声环境</w:t>
                  </w:r>
                </w:p>
              </w:tc>
              <w:tc>
                <w:tcPr>
                  <w:tcW w:w="917" w:type="dxa"/>
                  <w:vAlign w:val="center"/>
                </w:tcPr>
                <w:p w14:paraId="6F09DB6B">
                  <w:pPr>
                    <w:adjustRightInd w:val="0"/>
                    <w:snapToGrid w:val="0"/>
                    <w:jc w:val="both"/>
                    <w:rPr>
                      <w:rFonts w:hint="default" w:ascii="Times New Roman" w:hAnsi="Times New Roman" w:cs="Times New Roman"/>
                      <w:color w:val="auto"/>
                      <w:kern w:val="18"/>
                      <w:sz w:val="18"/>
                      <w:szCs w:val="18"/>
                    </w:rPr>
                  </w:pPr>
                  <w:r>
                    <w:rPr>
                      <w:rFonts w:hint="default" w:ascii="Times New Roman" w:hAnsi="Times New Roman" w:cs="Times New Roman"/>
                      <w:color w:val="auto"/>
                      <w:kern w:val="18"/>
                      <w:sz w:val="18"/>
                      <w:szCs w:val="18"/>
                    </w:rPr>
                    <w:t>南侧-华林中心小学</w:t>
                  </w:r>
                </w:p>
              </w:tc>
              <w:tc>
                <w:tcPr>
                  <w:tcW w:w="1137" w:type="dxa"/>
                  <w:shd w:val="clear" w:color="auto" w:fill="auto"/>
                  <w:vAlign w:val="center"/>
                </w:tcPr>
                <w:p w14:paraId="1DB06D62">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115.94936</w:t>
                  </w:r>
                </w:p>
              </w:tc>
              <w:tc>
                <w:tcPr>
                  <w:tcW w:w="1056" w:type="dxa"/>
                  <w:shd w:val="clear" w:color="auto" w:fill="auto"/>
                  <w:vAlign w:val="center"/>
                </w:tcPr>
                <w:p w14:paraId="051DCE6E">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29.366798</w:t>
                  </w:r>
                </w:p>
              </w:tc>
              <w:tc>
                <w:tcPr>
                  <w:tcW w:w="769" w:type="dxa"/>
                  <w:vMerge w:val="restart"/>
                  <w:vAlign w:val="center"/>
                </w:tcPr>
                <w:p w14:paraId="3863BB32">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居民</w:t>
                  </w:r>
                </w:p>
              </w:tc>
              <w:tc>
                <w:tcPr>
                  <w:tcW w:w="803" w:type="dxa"/>
                  <w:vAlign w:val="center"/>
                </w:tcPr>
                <w:p w14:paraId="384E9C49">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南</w:t>
                  </w:r>
                </w:p>
              </w:tc>
              <w:tc>
                <w:tcPr>
                  <w:tcW w:w="868" w:type="dxa"/>
                  <w:vAlign w:val="center"/>
                </w:tcPr>
                <w:p w14:paraId="5937F3B7">
                  <w:pPr>
                    <w:adjustRightInd w:val="0"/>
                    <w:snapToGrid w:val="0"/>
                    <w:jc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8</w:t>
                  </w:r>
                </w:p>
              </w:tc>
              <w:tc>
                <w:tcPr>
                  <w:tcW w:w="1007" w:type="dxa"/>
                  <w:vAlign w:val="center"/>
                </w:tcPr>
                <w:p w14:paraId="291F0158">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200</w:t>
                  </w:r>
                </w:p>
              </w:tc>
              <w:tc>
                <w:tcPr>
                  <w:tcW w:w="1292" w:type="dxa"/>
                  <w:vMerge w:val="restart"/>
                  <w:vAlign w:val="center"/>
                </w:tcPr>
                <w:p w14:paraId="6E4DDD5D">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《声环境质量标准》（GB3096-2008）</w:t>
                  </w:r>
                  <w:r>
                    <w:rPr>
                      <w:rFonts w:hint="eastAsia" w:cs="Times New Roman"/>
                      <w:color w:val="auto"/>
                      <w:sz w:val="18"/>
                      <w:szCs w:val="18"/>
                      <w:lang w:val="en-US" w:eastAsia="zh-CN"/>
                    </w:rPr>
                    <w:t>1</w:t>
                  </w:r>
                  <w:r>
                    <w:rPr>
                      <w:rFonts w:hint="default" w:ascii="Times New Roman" w:hAnsi="Times New Roman" w:cs="Times New Roman"/>
                      <w:color w:val="auto"/>
                      <w:sz w:val="18"/>
                      <w:szCs w:val="18"/>
                    </w:rPr>
                    <w:t>类</w:t>
                  </w:r>
                </w:p>
              </w:tc>
            </w:tr>
            <w:tr w14:paraId="5F1408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dxa"/>
                  <w:vMerge w:val="continue"/>
                  <w:vAlign w:val="center"/>
                </w:tcPr>
                <w:p w14:paraId="4299EF07">
                  <w:pPr>
                    <w:adjustRightInd w:val="0"/>
                    <w:snapToGrid w:val="0"/>
                    <w:jc w:val="center"/>
                    <w:rPr>
                      <w:rFonts w:hint="default" w:ascii="Times New Roman" w:hAnsi="Times New Roman" w:cs="Times New Roman"/>
                      <w:color w:val="auto"/>
                      <w:sz w:val="18"/>
                      <w:szCs w:val="18"/>
                    </w:rPr>
                  </w:pPr>
                </w:p>
              </w:tc>
              <w:tc>
                <w:tcPr>
                  <w:tcW w:w="917" w:type="dxa"/>
                  <w:vAlign w:val="center"/>
                </w:tcPr>
                <w:p w14:paraId="16F01DD6">
                  <w:pPr>
                    <w:adjustRightInd w:val="0"/>
                    <w:snapToGrid w:val="0"/>
                    <w:jc w:val="both"/>
                    <w:rPr>
                      <w:rFonts w:hint="default" w:ascii="Times New Roman" w:hAnsi="Times New Roman" w:cs="Times New Roman"/>
                      <w:color w:val="auto"/>
                      <w:kern w:val="18"/>
                      <w:sz w:val="18"/>
                      <w:szCs w:val="18"/>
                    </w:rPr>
                  </w:pPr>
                  <w:r>
                    <w:rPr>
                      <w:rFonts w:hint="default" w:ascii="Times New Roman" w:hAnsi="Times New Roman" w:cs="Times New Roman"/>
                      <w:color w:val="auto"/>
                      <w:kern w:val="18"/>
                      <w:sz w:val="18"/>
                      <w:szCs w:val="18"/>
                    </w:rPr>
                    <w:t>东侧-</w:t>
                  </w:r>
                  <w:r>
                    <w:rPr>
                      <w:rFonts w:hint="eastAsia" w:cs="Times New Roman"/>
                      <w:color w:val="auto"/>
                      <w:kern w:val="18"/>
                      <w:sz w:val="18"/>
                      <w:szCs w:val="18"/>
                      <w:lang w:val="en-US" w:eastAsia="zh-CN"/>
                    </w:rPr>
                    <w:t>5</w:t>
                  </w:r>
                  <w:r>
                    <w:rPr>
                      <w:rFonts w:hint="default" w:ascii="Times New Roman" w:hAnsi="Times New Roman" w:cs="Times New Roman"/>
                      <w:color w:val="auto"/>
                      <w:kern w:val="18"/>
                      <w:sz w:val="18"/>
                      <w:szCs w:val="18"/>
                    </w:rPr>
                    <w:t>栋民房</w:t>
                  </w:r>
                </w:p>
              </w:tc>
              <w:tc>
                <w:tcPr>
                  <w:tcW w:w="1137" w:type="dxa"/>
                  <w:vAlign w:val="center"/>
                </w:tcPr>
                <w:p w14:paraId="010A2639">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115.95005</w:t>
                  </w:r>
                </w:p>
              </w:tc>
              <w:tc>
                <w:tcPr>
                  <w:tcW w:w="1056" w:type="dxa"/>
                  <w:vAlign w:val="center"/>
                </w:tcPr>
                <w:p w14:paraId="41442E0A">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29.36748</w:t>
                  </w:r>
                </w:p>
              </w:tc>
              <w:tc>
                <w:tcPr>
                  <w:tcW w:w="769" w:type="dxa"/>
                  <w:vMerge w:val="continue"/>
                  <w:vAlign w:val="center"/>
                </w:tcPr>
                <w:p w14:paraId="459533AC">
                  <w:pPr>
                    <w:adjustRightInd w:val="0"/>
                    <w:snapToGrid w:val="0"/>
                    <w:jc w:val="center"/>
                    <w:rPr>
                      <w:rFonts w:hint="default" w:ascii="Times New Roman" w:hAnsi="Times New Roman" w:cs="Times New Roman"/>
                      <w:color w:val="auto"/>
                      <w:sz w:val="18"/>
                      <w:szCs w:val="18"/>
                    </w:rPr>
                  </w:pPr>
                </w:p>
              </w:tc>
              <w:tc>
                <w:tcPr>
                  <w:tcW w:w="803" w:type="dxa"/>
                  <w:vAlign w:val="center"/>
                </w:tcPr>
                <w:p w14:paraId="351DD763">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东</w:t>
                  </w:r>
                </w:p>
              </w:tc>
              <w:tc>
                <w:tcPr>
                  <w:tcW w:w="868" w:type="dxa"/>
                  <w:vAlign w:val="center"/>
                </w:tcPr>
                <w:p w14:paraId="52747B73">
                  <w:pPr>
                    <w:adjustRightInd w:val="0"/>
                    <w:snapToGrid w:val="0"/>
                    <w:jc w:val="center"/>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5</w:t>
                  </w:r>
                  <w:r>
                    <w:rPr>
                      <w:rFonts w:hint="eastAsia" w:cs="Times New Roman"/>
                      <w:color w:val="auto"/>
                      <w:sz w:val="18"/>
                      <w:szCs w:val="18"/>
                      <w:lang w:val="en-US" w:eastAsia="zh-CN"/>
                    </w:rPr>
                    <w:t>~</w:t>
                  </w:r>
                  <w:r>
                    <w:rPr>
                      <w:rFonts w:hint="default" w:ascii="Times New Roman" w:hAnsi="Times New Roman" w:cs="Times New Roman"/>
                      <w:color w:val="auto"/>
                      <w:sz w:val="18"/>
                      <w:szCs w:val="18"/>
                    </w:rPr>
                    <w:t>4</w:t>
                  </w:r>
                  <w:r>
                    <w:rPr>
                      <w:rFonts w:hint="eastAsia" w:cs="Times New Roman"/>
                      <w:color w:val="auto"/>
                      <w:sz w:val="18"/>
                      <w:szCs w:val="18"/>
                      <w:lang w:val="en-US" w:eastAsia="zh-CN"/>
                    </w:rPr>
                    <w:t>7</w:t>
                  </w:r>
                </w:p>
              </w:tc>
              <w:tc>
                <w:tcPr>
                  <w:tcW w:w="1007" w:type="dxa"/>
                  <w:vAlign w:val="center"/>
                </w:tcPr>
                <w:p w14:paraId="6DF23102">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1292" w:type="dxa"/>
                  <w:vMerge w:val="continue"/>
                  <w:vAlign w:val="center"/>
                </w:tcPr>
                <w:p w14:paraId="6F546022">
                  <w:pPr>
                    <w:adjustRightInd w:val="0"/>
                    <w:snapToGrid w:val="0"/>
                    <w:jc w:val="center"/>
                    <w:rPr>
                      <w:rFonts w:hint="default" w:ascii="Times New Roman" w:hAnsi="Times New Roman" w:cs="Times New Roman"/>
                      <w:color w:val="auto"/>
                      <w:sz w:val="18"/>
                      <w:szCs w:val="18"/>
                    </w:rPr>
                  </w:pPr>
                </w:p>
              </w:tc>
            </w:tr>
            <w:tr w14:paraId="4EEED3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19" w:type="dxa"/>
                  <w:vMerge w:val="continue"/>
                  <w:vAlign w:val="center"/>
                </w:tcPr>
                <w:p w14:paraId="46ADEE67">
                  <w:pPr>
                    <w:adjustRightInd w:val="0"/>
                    <w:snapToGrid w:val="0"/>
                    <w:jc w:val="center"/>
                    <w:rPr>
                      <w:rFonts w:hint="default" w:ascii="Times New Roman" w:hAnsi="Times New Roman" w:cs="Times New Roman"/>
                      <w:color w:val="auto"/>
                      <w:sz w:val="18"/>
                      <w:szCs w:val="18"/>
                    </w:rPr>
                  </w:pPr>
                </w:p>
              </w:tc>
              <w:tc>
                <w:tcPr>
                  <w:tcW w:w="917" w:type="dxa"/>
                  <w:vAlign w:val="center"/>
                </w:tcPr>
                <w:p w14:paraId="7A10D933">
                  <w:pPr>
                    <w:adjustRightInd w:val="0"/>
                    <w:snapToGrid w:val="0"/>
                    <w:jc w:val="both"/>
                    <w:rPr>
                      <w:rFonts w:hint="default" w:ascii="Times New Roman" w:hAnsi="Times New Roman" w:cs="Times New Roman"/>
                      <w:color w:val="auto"/>
                      <w:kern w:val="18"/>
                      <w:sz w:val="18"/>
                      <w:szCs w:val="18"/>
                    </w:rPr>
                  </w:pPr>
                  <w:r>
                    <w:rPr>
                      <w:rFonts w:hint="default" w:ascii="Times New Roman" w:hAnsi="Times New Roman" w:cs="Times New Roman"/>
                      <w:color w:val="auto"/>
                      <w:kern w:val="18"/>
                      <w:sz w:val="18"/>
                      <w:szCs w:val="18"/>
                    </w:rPr>
                    <w:t>北侧-4栋民房</w:t>
                  </w:r>
                </w:p>
              </w:tc>
              <w:tc>
                <w:tcPr>
                  <w:tcW w:w="1137" w:type="dxa"/>
                  <w:vAlign w:val="center"/>
                </w:tcPr>
                <w:p w14:paraId="3435DAA8">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115.94936</w:t>
                  </w:r>
                </w:p>
              </w:tc>
              <w:tc>
                <w:tcPr>
                  <w:tcW w:w="1056" w:type="dxa"/>
                  <w:vAlign w:val="center"/>
                </w:tcPr>
                <w:p w14:paraId="51D7C520">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29.36782</w:t>
                  </w:r>
                </w:p>
              </w:tc>
              <w:tc>
                <w:tcPr>
                  <w:tcW w:w="769" w:type="dxa"/>
                  <w:vMerge w:val="continue"/>
                  <w:vAlign w:val="center"/>
                </w:tcPr>
                <w:p w14:paraId="55239BFB">
                  <w:pPr>
                    <w:adjustRightInd w:val="0"/>
                    <w:snapToGrid w:val="0"/>
                    <w:jc w:val="center"/>
                    <w:rPr>
                      <w:rFonts w:hint="default" w:ascii="Times New Roman" w:hAnsi="Times New Roman" w:cs="Times New Roman"/>
                      <w:color w:val="auto"/>
                      <w:sz w:val="18"/>
                      <w:szCs w:val="18"/>
                    </w:rPr>
                  </w:pPr>
                </w:p>
              </w:tc>
              <w:tc>
                <w:tcPr>
                  <w:tcW w:w="803" w:type="dxa"/>
                  <w:vAlign w:val="center"/>
                </w:tcPr>
                <w:p w14:paraId="6320E8D6">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西北</w:t>
                  </w:r>
                </w:p>
              </w:tc>
              <w:tc>
                <w:tcPr>
                  <w:tcW w:w="868" w:type="dxa"/>
                  <w:vAlign w:val="center"/>
                </w:tcPr>
                <w:p w14:paraId="6EF93E67">
                  <w:pPr>
                    <w:adjustRightInd w:val="0"/>
                    <w:snapToGrid w:val="0"/>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5~</w:t>
                  </w:r>
                  <w:r>
                    <w:rPr>
                      <w:rFonts w:hint="default" w:ascii="Times New Roman" w:hAnsi="Times New Roman" w:cs="Times New Roman"/>
                      <w:color w:val="auto"/>
                      <w:sz w:val="18"/>
                      <w:szCs w:val="18"/>
                    </w:rPr>
                    <w:t>49</w:t>
                  </w:r>
                </w:p>
              </w:tc>
              <w:tc>
                <w:tcPr>
                  <w:tcW w:w="1007" w:type="dxa"/>
                  <w:vAlign w:val="center"/>
                </w:tcPr>
                <w:p w14:paraId="3B517EC6">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1292" w:type="dxa"/>
                  <w:vMerge w:val="continue"/>
                  <w:vAlign w:val="center"/>
                </w:tcPr>
                <w:p w14:paraId="5D487B0C">
                  <w:pPr>
                    <w:adjustRightInd w:val="0"/>
                    <w:snapToGrid w:val="0"/>
                    <w:jc w:val="center"/>
                    <w:rPr>
                      <w:rFonts w:hint="default" w:ascii="Times New Roman" w:hAnsi="Times New Roman" w:cs="Times New Roman"/>
                      <w:color w:val="auto"/>
                      <w:sz w:val="18"/>
                      <w:szCs w:val="18"/>
                    </w:rPr>
                  </w:pPr>
                </w:p>
              </w:tc>
            </w:tr>
            <w:tr w14:paraId="76EFE5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dxa"/>
                  <w:vMerge w:val="continue"/>
                  <w:vAlign w:val="center"/>
                </w:tcPr>
                <w:p w14:paraId="0C12B9AE">
                  <w:pPr>
                    <w:adjustRightInd w:val="0"/>
                    <w:snapToGrid w:val="0"/>
                    <w:jc w:val="center"/>
                    <w:rPr>
                      <w:rFonts w:hint="default" w:ascii="Times New Roman" w:hAnsi="Times New Roman" w:cs="Times New Roman"/>
                      <w:color w:val="auto"/>
                      <w:sz w:val="18"/>
                      <w:szCs w:val="18"/>
                    </w:rPr>
                  </w:pPr>
                </w:p>
              </w:tc>
              <w:tc>
                <w:tcPr>
                  <w:tcW w:w="917" w:type="dxa"/>
                  <w:vAlign w:val="center"/>
                </w:tcPr>
                <w:p w14:paraId="5617D835">
                  <w:pPr>
                    <w:adjustRightInd w:val="0"/>
                    <w:snapToGrid w:val="0"/>
                    <w:jc w:val="both"/>
                    <w:rPr>
                      <w:rFonts w:hint="default" w:ascii="Times New Roman" w:hAnsi="Times New Roman" w:cs="Times New Roman"/>
                      <w:color w:val="auto"/>
                      <w:kern w:val="18"/>
                      <w:sz w:val="18"/>
                      <w:szCs w:val="18"/>
                    </w:rPr>
                  </w:pPr>
                  <w:r>
                    <w:rPr>
                      <w:rFonts w:hint="default" w:ascii="Times New Roman" w:hAnsi="Times New Roman" w:cs="Times New Roman"/>
                      <w:color w:val="auto"/>
                      <w:kern w:val="18"/>
                      <w:sz w:val="18"/>
                      <w:szCs w:val="18"/>
                    </w:rPr>
                    <w:t>西侧-5栋民房</w:t>
                  </w:r>
                </w:p>
              </w:tc>
              <w:tc>
                <w:tcPr>
                  <w:tcW w:w="1137" w:type="dxa"/>
                  <w:vAlign w:val="center"/>
                </w:tcPr>
                <w:p w14:paraId="22B2F820">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115.94867</w:t>
                  </w:r>
                </w:p>
              </w:tc>
              <w:tc>
                <w:tcPr>
                  <w:tcW w:w="1056" w:type="dxa"/>
                  <w:vAlign w:val="center"/>
                </w:tcPr>
                <w:p w14:paraId="09D3D1D2">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29.36748</w:t>
                  </w:r>
                </w:p>
              </w:tc>
              <w:tc>
                <w:tcPr>
                  <w:tcW w:w="769" w:type="dxa"/>
                  <w:vMerge w:val="continue"/>
                  <w:vAlign w:val="center"/>
                </w:tcPr>
                <w:p w14:paraId="14092A65">
                  <w:pPr>
                    <w:adjustRightInd w:val="0"/>
                    <w:snapToGrid w:val="0"/>
                    <w:jc w:val="center"/>
                    <w:rPr>
                      <w:rFonts w:hint="default" w:ascii="Times New Roman" w:hAnsi="Times New Roman" w:cs="Times New Roman"/>
                      <w:color w:val="auto"/>
                      <w:sz w:val="18"/>
                      <w:szCs w:val="18"/>
                    </w:rPr>
                  </w:pPr>
                </w:p>
              </w:tc>
              <w:tc>
                <w:tcPr>
                  <w:tcW w:w="803" w:type="dxa"/>
                  <w:vAlign w:val="center"/>
                </w:tcPr>
                <w:p w14:paraId="2D6C7716">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西</w:t>
                  </w:r>
                </w:p>
              </w:tc>
              <w:tc>
                <w:tcPr>
                  <w:tcW w:w="868" w:type="dxa"/>
                  <w:vAlign w:val="center"/>
                </w:tcPr>
                <w:p w14:paraId="5B53AB0A">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r>
                    <w:rPr>
                      <w:rFonts w:hint="eastAsia" w:cs="Times New Roman"/>
                      <w:color w:val="auto"/>
                      <w:sz w:val="18"/>
                      <w:szCs w:val="18"/>
                      <w:lang w:val="en-US" w:eastAsia="zh-CN"/>
                    </w:rPr>
                    <w:t>~</w:t>
                  </w:r>
                  <w:r>
                    <w:rPr>
                      <w:rFonts w:hint="default" w:ascii="Times New Roman" w:hAnsi="Times New Roman" w:cs="Times New Roman"/>
                      <w:color w:val="auto"/>
                      <w:sz w:val="18"/>
                      <w:szCs w:val="18"/>
                    </w:rPr>
                    <w:t>47</w:t>
                  </w:r>
                </w:p>
              </w:tc>
              <w:tc>
                <w:tcPr>
                  <w:tcW w:w="1007" w:type="dxa"/>
                  <w:vAlign w:val="center"/>
                </w:tcPr>
                <w:p w14:paraId="3557EE15">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w:t>
                  </w:r>
                </w:p>
              </w:tc>
              <w:tc>
                <w:tcPr>
                  <w:tcW w:w="1292" w:type="dxa"/>
                  <w:vMerge w:val="continue"/>
                  <w:vAlign w:val="center"/>
                </w:tcPr>
                <w:p w14:paraId="118D55A0">
                  <w:pPr>
                    <w:adjustRightInd w:val="0"/>
                    <w:snapToGrid w:val="0"/>
                    <w:jc w:val="center"/>
                    <w:rPr>
                      <w:rFonts w:hint="default" w:ascii="Times New Roman" w:hAnsi="Times New Roman" w:cs="Times New Roman"/>
                      <w:color w:val="auto"/>
                      <w:sz w:val="18"/>
                      <w:szCs w:val="18"/>
                    </w:rPr>
                  </w:pPr>
                </w:p>
              </w:tc>
            </w:tr>
          </w:tbl>
          <w:p w14:paraId="76BF008C">
            <w:pPr>
              <w:pStyle w:val="9"/>
              <w:ind w:left="0" w:leftChars="0"/>
              <w:rPr>
                <w:rFonts w:hint="default" w:ascii="Times New Roman" w:hAnsi="Times New Roman" w:cs="Times New Roman"/>
                <w:color w:val="auto"/>
              </w:rPr>
            </w:pPr>
          </w:p>
        </w:tc>
      </w:tr>
      <w:tr w14:paraId="6EAEA8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91" w:hRule="atLeast"/>
          <w:jc w:val="center"/>
        </w:trPr>
        <w:tc>
          <w:tcPr>
            <w:tcW w:w="506" w:type="dxa"/>
            <w:tcMar>
              <w:left w:w="28" w:type="dxa"/>
              <w:right w:w="28" w:type="dxa"/>
            </w:tcMar>
            <w:vAlign w:val="center"/>
          </w:tcPr>
          <w:p w14:paraId="6C72B870">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污染</w:t>
            </w:r>
          </w:p>
          <w:p w14:paraId="0C87DD8A">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物排</w:t>
            </w:r>
          </w:p>
          <w:p w14:paraId="610A2E39">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放控</w:t>
            </w:r>
          </w:p>
          <w:p w14:paraId="1DA3A9DC">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制标</w:t>
            </w:r>
          </w:p>
          <w:p w14:paraId="3A3694D7">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rPr>
              <w:t>准</w:t>
            </w:r>
          </w:p>
        </w:tc>
        <w:tc>
          <w:tcPr>
            <w:tcW w:w="8484" w:type="dxa"/>
            <w:vAlign w:val="center"/>
          </w:tcPr>
          <w:p w14:paraId="0FEEB367">
            <w:pPr>
              <w:spacing w:line="360" w:lineRule="auto"/>
              <w:ind w:firstLine="482" w:firstLineChars="200"/>
              <w:jc w:val="left"/>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二、污染物排放标准</w:t>
            </w:r>
          </w:p>
          <w:p w14:paraId="75457C66">
            <w:pPr>
              <w:spacing w:line="360" w:lineRule="auto"/>
              <w:ind w:firstLine="482" w:firstLineChars="200"/>
              <w:jc w:val="left"/>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1、废气</w:t>
            </w:r>
          </w:p>
          <w:p w14:paraId="4C053E59">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营运期废水处理站边界无组织氨气、硫化氢浓度及臭气浓度执行《医疗机构水污染物排放标准》（GB18466-2005）中表3医疗废水处理站周边大气污染物最高允许浓度；食堂油烟执行《饮食业油烟排放标准（试行）》（GB18483-2001）小型标准。</w:t>
            </w:r>
          </w:p>
          <w:p w14:paraId="256796C4">
            <w:pPr>
              <w:pStyle w:val="61"/>
              <w:bidi w:val="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表</w:t>
            </w:r>
            <w:r>
              <w:rPr>
                <w:rFonts w:hint="default" w:ascii="Times New Roman" w:hAnsi="Times New Roman" w:cs="Times New Roman"/>
                <w:color w:val="auto"/>
                <w:sz w:val="21"/>
                <w:szCs w:val="21"/>
                <w:lang w:val="en-US" w:eastAsia="zh-CN"/>
              </w:rPr>
              <w:t xml:space="preserve">3-5  </w:t>
            </w:r>
            <w:r>
              <w:rPr>
                <w:rFonts w:hint="default" w:ascii="Times New Roman" w:hAnsi="Times New Roman" w:eastAsia="宋体" w:cs="Times New Roman"/>
                <w:color w:val="auto"/>
                <w:sz w:val="21"/>
                <w:szCs w:val="21"/>
                <w:lang w:eastAsia="zh-CN"/>
              </w:rPr>
              <w:t>项目废气排放标准</w:t>
            </w:r>
          </w:p>
          <w:tbl>
            <w:tblPr>
              <w:tblStyle w:val="17"/>
              <w:tblW w:w="8522"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58"/>
              <w:gridCol w:w="1145"/>
              <w:gridCol w:w="1189"/>
              <w:gridCol w:w="1568"/>
              <w:gridCol w:w="863"/>
              <w:gridCol w:w="3199"/>
            </w:tblGrid>
            <w:tr w14:paraId="74BAD1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trHeight w:val="625" w:hRule="atLeast"/>
                <w:tblHeader/>
                <w:jc w:val="center"/>
              </w:trPr>
              <w:tc>
                <w:tcPr>
                  <w:tcW w:w="558" w:type="dxa"/>
                  <w:tcBorders>
                    <w:tl2br w:val="nil"/>
                    <w:tr2bl w:val="nil"/>
                  </w:tcBorders>
                  <w:noWrap w:val="0"/>
                  <w:vAlign w:val="center"/>
                </w:tcPr>
                <w:p w14:paraId="1D8C850D">
                  <w:pPr>
                    <w:pStyle w:val="61"/>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145" w:type="dxa"/>
                  <w:tcBorders>
                    <w:tl2br w:val="nil"/>
                    <w:tr2bl w:val="nil"/>
                  </w:tcBorders>
                  <w:noWrap w:val="0"/>
                  <w:vAlign w:val="center"/>
                </w:tcPr>
                <w:p w14:paraId="33DE7C8F">
                  <w:pPr>
                    <w:pStyle w:val="61"/>
                    <w:bidi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排放源</w:t>
                  </w:r>
                </w:p>
              </w:tc>
              <w:tc>
                <w:tcPr>
                  <w:tcW w:w="1189" w:type="dxa"/>
                  <w:tcBorders>
                    <w:tl2br w:val="nil"/>
                    <w:tr2bl w:val="nil"/>
                  </w:tcBorders>
                  <w:noWrap w:val="0"/>
                  <w:vAlign w:val="center"/>
                </w:tcPr>
                <w:p w14:paraId="57FD7851">
                  <w:pPr>
                    <w:pStyle w:val="61"/>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污染物名称</w:t>
                  </w:r>
                </w:p>
              </w:tc>
              <w:tc>
                <w:tcPr>
                  <w:tcW w:w="1568" w:type="dxa"/>
                  <w:tcBorders>
                    <w:tl2br w:val="nil"/>
                    <w:tr2bl w:val="nil"/>
                  </w:tcBorders>
                  <w:noWrap w:val="0"/>
                  <w:vAlign w:val="center"/>
                </w:tcPr>
                <w:p w14:paraId="17B81F71">
                  <w:pPr>
                    <w:pStyle w:val="61"/>
                    <w:bidi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标准</w:t>
                  </w:r>
                  <w:r>
                    <w:rPr>
                      <w:rFonts w:hint="default" w:ascii="Times New Roman" w:hAnsi="Times New Roman" w:eastAsia="宋体" w:cs="Times New Roman"/>
                      <w:color w:val="auto"/>
                      <w:sz w:val="21"/>
                      <w:szCs w:val="21"/>
                    </w:rPr>
                    <w:t>限值（</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rPr>
                    <w:t>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863" w:type="dxa"/>
                  <w:tcBorders>
                    <w:tl2br w:val="nil"/>
                    <w:tr2bl w:val="nil"/>
                  </w:tcBorders>
                  <w:noWrap w:val="0"/>
                  <w:vAlign w:val="center"/>
                </w:tcPr>
                <w:p w14:paraId="114E9FC6">
                  <w:pPr>
                    <w:pStyle w:val="61"/>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处理效率</w:t>
                  </w:r>
                </w:p>
              </w:tc>
              <w:tc>
                <w:tcPr>
                  <w:tcW w:w="3199" w:type="dxa"/>
                  <w:tcBorders>
                    <w:tl2br w:val="nil"/>
                    <w:tr2bl w:val="nil"/>
                  </w:tcBorders>
                  <w:noWrap w:val="0"/>
                  <w:vAlign w:val="center"/>
                </w:tcPr>
                <w:p w14:paraId="149FFA73">
                  <w:pPr>
                    <w:pStyle w:val="61"/>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标准来源</w:t>
                  </w:r>
                </w:p>
              </w:tc>
            </w:tr>
            <w:tr w14:paraId="561713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58" w:type="dxa"/>
                  <w:tcBorders>
                    <w:tl2br w:val="nil"/>
                    <w:tr2bl w:val="nil"/>
                  </w:tcBorders>
                  <w:noWrap w:val="0"/>
                  <w:vAlign w:val="center"/>
                </w:tcPr>
                <w:p w14:paraId="3B273B15">
                  <w:pPr>
                    <w:pStyle w:val="59"/>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145" w:type="dxa"/>
                  <w:vMerge w:val="restart"/>
                  <w:tcBorders>
                    <w:tl2br w:val="nil"/>
                    <w:tr2bl w:val="nil"/>
                  </w:tcBorders>
                  <w:noWrap w:val="0"/>
                  <w:vAlign w:val="center"/>
                </w:tcPr>
                <w:p w14:paraId="2CFF5979">
                  <w:pPr>
                    <w:pStyle w:val="5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污水处理站</w:t>
                  </w:r>
                </w:p>
              </w:tc>
              <w:tc>
                <w:tcPr>
                  <w:tcW w:w="1189" w:type="dxa"/>
                  <w:tcBorders>
                    <w:tl2br w:val="nil"/>
                    <w:tr2bl w:val="nil"/>
                  </w:tcBorders>
                  <w:noWrap w:val="0"/>
                  <w:vAlign w:val="center"/>
                </w:tcPr>
                <w:p w14:paraId="16F5B24C">
                  <w:pPr>
                    <w:pStyle w:val="5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p>
              </w:tc>
              <w:tc>
                <w:tcPr>
                  <w:tcW w:w="1568" w:type="dxa"/>
                  <w:tcBorders>
                    <w:tl2br w:val="nil"/>
                    <w:tr2bl w:val="nil"/>
                  </w:tcBorders>
                  <w:noWrap w:val="0"/>
                  <w:vAlign w:val="center"/>
                </w:tcPr>
                <w:p w14:paraId="086A44CF">
                  <w:pPr>
                    <w:pStyle w:val="5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863" w:type="dxa"/>
                  <w:tcBorders>
                    <w:tl2br w:val="nil"/>
                    <w:tr2bl w:val="nil"/>
                  </w:tcBorders>
                  <w:noWrap w:val="0"/>
                  <w:vAlign w:val="center"/>
                </w:tcPr>
                <w:p w14:paraId="163ED6A4">
                  <w:pPr>
                    <w:pStyle w:val="5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199" w:type="dxa"/>
                  <w:vMerge w:val="restart"/>
                  <w:tcBorders>
                    <w:tl2br w:val="nil"/>
                    <w:tr2bl w:val="nil"/>
                  </w:tcBorders>
                  <w:noWrap w:val="0"/>
                  <w:vAlign w:val="center"/>
                </w:tcPr>
                <w:p w14:paraId="33534A55">
                  <w:pPr>
                    <w:pStyle w:val="59"/>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《医疗机构水污染物排放标准》（GB18466-2005）</w:t>
                  </w:r>
                </w:p>
              </w:tc>
            </w:tr>
            <w:tr w14:paraId="628C3F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58" w:type="dxa"/>
                  <w:tcBorders>
                    <w:tl2br w:val="nil"/>
                    <w:tr2bl w:val="nil"/>
                  </w:tcBorders>
                  <w:noWrap w:val="0"/>
                  <w:vAlign w:val="center"/>
                </w:tcPr>
                <w:p w14:paraId="062D3C8B">
                  <w:pPr>
                    <w:pStyle w:val="59"/>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145" w:type="dxa"/>
                  <w:vMerge w:val="continue"/>
                  <w:tcBorders>
                    <w:tl2br w:val="nil"/>
                    <w:tr2bl w:val="nil"/>
                  </w:tcBorders>
                  <w:noWrap w:val="0"/>
                  <w:vAlign w:val="center"/>
                </w:tcPr>
                <w:p w14:paraId="5EA83F09">
                  <w:pPr>
                    <w:pStyle w:val="59"/>
                    <w:bidi w:val="0"/>
                    <w:jc w:val="center"/>
                    <w:rPr>
                      <w:rFonts w:hint="default" w:ascii="Times New Roman" w:hAnsi="Times New Roman" w:eastAsia="宋体" w:cs="Times New Roman"/>
                      <w:color w:val="auto"/>
                      <w:sz w:val="21"/>
                      <w:szCs w:val="21"/>
                    </w:rPr>
                  </w:pPr>
                </w:p>
              </w:tc>
              <w:tc>
                <w:tcPr>
                  <w:tcW w:w="1189" w:type="dxa"/>
                  <w:tcBorders>
                    <w:tl2br w:val="nil"/>
                    <w:tr2bl w:val="nil"/>
                  </w:tcBorders>
                  <w:noWrap w:val="0"/>
                  <w:vAlign w:val="center"/>
                </w:tcPr>
                <w:p w14:paraId="3147D7BA">
                  <w:pPr>
                    <w:pStyle w:val="5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1568" w:type="dxa"/>
                  <w:tcBorders>
                    <w:tl2br w:val="nil"/>
                    <w:tr2bl w:val="nil"/>
                  </w:tcBorders>
                  <w:noWrap w:val="0"/>
                  <w:vAlign w:val="center"/>
                </w:tcPr>
                <w:p w14:paraId="4ECAAB15">
                  <w:pPr>
                    <w:pStyle w:val="5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w:t>
                  </w:r>
                </w:p>
              </w:tc>
              <w:tc>
                <w:tcPr>
                  <w:tcW w:w="863" w:type="dxa"/>
                  <w:tcBorders>
                    <w:tl2br w:val="nil"/>
                    <w:tr2bl w:val="nil"/>
                  </w:tcBorders>
                  <w:noWrap w:val="0"/>
                  <w:vAlign w:val="center"/>
                </w:tcPr>
                <w:p w14:paraId="2C3D6E8F">
                  <w:pPr>
                    <w:pStyle w:val="5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199" w:type="dxa"/>
                  <w:vMerge w:val="continue"/>
                  <w:tcBorders>
                    <w:tl2br w:val="nil"/>
                    <w:tr2bl w:val="nil"/>
                  </w:tcBorders>
                  <w:noWrap w:val="0"/>
                  <w:vAlign w:val="center"/>
                </w:tcPr>
                <w:p w14:paraId="0A2D1201">
                  <w:pPr>
                    <w:pStyle w:val="59"/>
                    <w:bidi w:val="0"/>
                    <w:jc w:val="center"/>
                    <w:rPr>
                      <w:rFonts w:hint="default" w:ascii="Times New Roman" w:hAnsi="Times New Roman" w:eastAsia="宋体" w:cs="Times New Roman"/>
                      <w:color w:val="auto"/>
                      <w:sz w:val="21"/>
                      <w:szCs w:val="21"/>
                    </w:rPr>
                  </w:pPr>
                </w:p>
              </w:tc>
            </w:tr>
            <w:tr w14:paraId="799EED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58" w:type="dxa"/>
                  <w:tcBorders>
                    <w:tl2br w:val="nil"/>
                    <w:tr2bl w:val="nil"/>
                  </w:tcBorders>
                  <w:noWrap w:val="0"/>
                  <w:vAlign w:val="center"/>
                </w:tcPr>
                <w:p w14:paraId="0908B619">
                  <w:pPr>
                    <w:pStyle w:val="5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145" w:type="dxa"/>
                  <w:vMerge w:val="continue"/>
                  <w:tcBorders>
                    <w:tl2br w:val="nil"/>
                    <w:tr2bl w:val="nil"/>
                  </w:tcBorders>
                  <w:noWrap w:val="0"/>
                  <w:vAlign w:val="center"/>
                </w:tcPr>
                <w:p w14:paraId="3EA60B24">
                  <w:pPr>
                    <w:pStyle w:val="59"/>
                    <w:bidi w:val="0"/>
                    <w:jc w:val="center"/>
                    <w:rPr>
                      <w:rFonts w:hint="default" w:ascii="Times New Roman" w:hAnsi="Times New Roman" w:eastAsia="宋体" w:cs="Times New Roman"/>
                      <w:color w:val="auto"/>
                      <w:sz w:val="21"/>
                      <w:szCs w:val="21"/>
                    </w:rPr>
                  </w:pPr>
                </w:p>
              </w:tc>
              <w:tc>
                <w:tcPr>
                  <w:tcW w:w="1189" w:type="dxa"/>
                  <w:tcBorders>
                    <w:tl2br w:val="nil"/>
                    <w:tr2bl w:val="nil"/>
                  </w:tcBorders>
                  <w:noWrap w:val="0"/>
                  <w:vAlign w:val="center"/>
                </w:tcPr>
                <w:p w14:paraId="6ACB3892">
                  <w:pPr>
                    <w:pStyle w:val="5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臭气浓度</w:t>
                  </w:r>
                </w:p>
              </w:tc>
              <w:tc>
                <w:tcPr>
                  <w:tcW w:w="1568" w:type="dxa"/>
                  <w:tcBorders>
                    <w:tl2br w:val="nil"/>
                    <w:tr2bl w:val="nil"/>
                  </w:tcBorders>
                  <w:noWrap w:val="0"/>
                  <w:vAlign w:val="center"/>
                </w:tcPr>
                <w:p w14:paraId="2E55B067">
                  <w:pPr>
                    <w:pStyle w:val="5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863" w:type="dxa"/>
                  <w:tcBorders>
                    <w:tl2br w:val="nil"/>
                    <w:tr2bl w:val="nil"/>
                  </w:tcBorders>
                  <w:noWrap w:val="0"/>
                  <w:vAlign w:val="center"/>
                </w:tcPr>
                <w:p w14:paraId="691B3952">
                  <w:pPr>
                    <w:pStyle w:val="5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199" w:type="dxa"/>
                  <w:vMerge w:val="continue"/>
                  <w:tcBorders>
                    <w:tl2br w:val="nil"/>
                    <w:tr2bl w:val="nil"/>
                  </w:tcBorders>
                  <w:noWrap w:val="0"/>
                  <w:vAlign w:val="center"/>
                </w:tcPr>
                <w:p w14:paraId="57741C62">
                  <w:pPr>
                    <w:pStyle w:val="59"/>
                    <w:bidi w:val="0"/>
                    <w:jc w:val="center"/>
                    <w:rPr>
                      <w:rFonts w:hint="default" w:ascii="Times New Roman" w:hAnsi="Times New Roman" w:eastAsia="宋体" w:cs="Times New Roman"/>
                      <w:color w:val="auto"/>
                      <w:sz w:val="21"/>
                      <w:szCs w:val="21"/>
                    </w:rPr>
                  </w:pPr>
                </w:p>
              </w:tc>
            </w:tr>
            <w:tr w14:paraId="7C45C8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58" w:type="dxa"/>
                  <w:tcBorders>
                    <w:tl2br w:val="nil"/>
                    <w:tr2bl w:val="nil"/>
                  </w:tcBorders>
                  <w:noWrap w:val="0"/>
                  <w:vAlign w:val="center"/>
                </w:tcPr>
                <w:p w14:paraId="523DEDBC">
                  <w:pPr>
                    <w:pStyle w:val="59"/>
                    <w:bidi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4</w:t>
                  </w:r>
                </w:p>
              </w:tc>
              <w:tc>
                <w:tcPr>
                  <w:tcW w:w="1145" w:type="dxa"/>
                  <w:tcBorders>
                    <w:tl2br w:val="nil"/>
                    <w:tr2bl w:val="nil"/>
                  </w:tcBorders>
                  <w:noWrap w:val="0"/>
                  <w:vAlign w:val="center"/>
                </w:tcPr>
                <w:p w14:paraId="69045204">
                  <w:pPr>
                    <w:pStyle w:val="5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食堂</w:t>
                  </w:r>
                </w:p>
              </w:tc>
              <w:tc>
                <w:tcPr>
                  <w:tcW w:w="1189" w:type="dxa"/>
                  <w:tcBorders>
                    <w:tl2br w:val="nil"/>
                    <w:tr2bl w:val="nil"/>
                  </w:tcBorders>
                  <w:noWrap w:val="0"/>
                  <w:vAlign w:val="center"/>
                </w:tcPr>
                <w:p w14:paraId="44500837">
                  <w:pPr>
                    <w:pStyle w:val="59"/>
                    <w:bidi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油烟</w:t>
                  </w:r>
                </w:p>
              </w:tc>
              <w:tc>
                <w:tcPr>
                  <w:tcW w:w="1568" w:type="dxa"/>
                  <w:tcBorders>
                    <w:tl2br w:val="nil"/>
                    <w:tr2bl w:val="nil"/>
                  </w:tcBorders>
                  <w:noWrap w:val="0"/>
                  <w:vAlign w:val="center"/>
                </w:tcPr>
                <w:p w14:paraId="1A8D72E3">
                  <w:pPr>
                    <w:pStyle w:val="5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863" w:type="dxa"/>
                  <w:tcBorders>
                    <w:tl2br w:val="nil"/>
                    <w:tr2bl w:val="nil"/>
                  </w:tcBorders>
                  <w:noWrap w:val="0"/>
                  <w:vAlign w:val="center"/>
                </w:tcPr>
                <w:p w14:paraId="5162697F">
                  <w:pPr>
                    <w:pStyle w:val="59"/>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3199" w:type="dxa"/>
                  <w:tcBorders>
                    <w:tl2br w:val="nil"/>
                    <w:tr2bl w:val="nil"/>
                  </w:tcBorders>
                  <w:noWrap w:val="0"/>
                  <w:vAlign w:val="center"/>
                </w:tcPr>
                <w:p w14:paraId="17D6956B">
                  <w:pPr>
                    <w:pStyle w:val="59"/>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《饮食业油烟排放标准》（GB18483-2001）</w:t>
                  </w:r>
                </w:p>
              </w:tc>
            </w:tr>
          </w:tbl>
          <w:p w14:paraId="047FA4C8">
            <w:pPr>
              <w:spacing w:line="360" w:lineRule="auto"/>
              <w:ind w:firstLine="482" w:firstLineChars="200"/>
              <w:jc w:val="left"/>
              <w:rPr>
                <w:rFonts w:hint="default" w:ascii="Times New Roman" w:hAnsi="Times New Roman" w:cs="Times New Roman"/>
                <w:b/>
                <w:bCs/>
                <w:color w:val="auto"/>
                <w:kern w:val="0"/>
                <w:sz w:val="24"/>
                <w:lang w:val="en-US" w:eastAsia="zh-CN"/>
              </w:rPr>
            </w:pPr>
            <w:r>
              <w:rPr>
                <w:rFonts w:hint="default" w:ascii="Times New Roman" w:hAnsi="Times New Roman" w:cs="Times New Roman"/>
                <w:b/>
                <w:bCs/>
                <w:color w:val="auto"/>
                <w:kern w:val="0"/>
                <w:sz w:val="24"/>
                <w:lang w:val="en-US" w:eastAsia="zh-CN"/>
              </w:rPr>
              <w:t>2、废水</w:t>
            </w:r>
          </w:p>
          <w:p w14:paraId="0E9ACFE4">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项目产生的废水经“</w:t>
            </w:r>
            <w:r>
              <w:rPr>
                <w:rFonts w:hint="default" w:ascii="Times New Roman" w:hAnsi="Times New Roman" w:cs="Times New Roman"/>
                <w:color w:val="auto"/>
                <w:sz w:val="24"/>
              </w:rPr>
              <w:t>生化+MBR膜处理后+消毒</w:t>
            </w:r>
            <w:r>
              <w:rPr>
                <w:rFonts w:hint="default" w:ascii="Times New Roman" w:hAnsi="Times New Roman" w:cs="Times New Roman"/>
                <w:bCs/>
                <w:color w:val="auto"/>
                <w:sz w:val="24"/>
              </w:rPr>
              <w:t>”处理后的医疗废水（满足《医疗机构水污染物排放标准》（GB18466-2005）表2规定的预处理标准及华林集镇污水处理厂接管标准后（从严执行）进入华林集镇污水处理厂后进行深度处理，达《城镇污水处理厂污染物排放标准》（GB18918-2002）一级A标准后尾水最终排入鄱阳湖，综上本项目执行污水排放标准见下表。</w:t>
            </w:r>
          </w:p>
          <w:p w14:paraId="4BDDFA10">
            <w:pPr>
              <w:pStyle w:val="61"/>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表3-6  废水排放标准</w:t>
            </w:r>
          </w:p>
          <w:tbl>
            <w:tblPr>
              <w:tblStyle w:val="17"/>
              <w:tblW w:w="4995"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500"/>
              <w:gridCol w:w="1347"/>
              <w:gridCol w:w="1867"/>
              <w:gridCol w:w="1879"/>
              <w:gridCol w:w="1332"/>
              <w:gridCol w:w="1335"/>
            </w:tblGrid>
            <w:tr w14:paraId="3BB0750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03" w:type="pct"/>
                  <w:tcBorders>
                    <w:top w:val="single" w:color="auto" w:sz="12" w:space="0"/>
                  </w:tcBorders>
                  <w:vAlign w:val="center"/>
                </w:tcPr>
                <w:p w14:paraId="31A83B1F">
                  <w:pPr>
                    <w:widowControl/>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815" w:type="pct"/>
                  <w:tcBorders>
                    <w:top w:val="single" w:color="auto" w:sz="12" w:space="0"/>
                  </w:tcBorders>
                  <w:vAlign w:val="center"/>
                </w:tcPr>
                <w:p w14:paraId="25046D48">
                  <w:pPr>
                    <w:widowControl/>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污染物名称</w:t>
                  </w:r>
                </w:p>
              </w:tc>
              <w:tc>
                <w:tcPr>
                  <w:tcW w:w="1130" w:type="pct"/>
                  <w:tcBorders>
                    <w:top w:val="single" w:color="auto" w:sz="12" w:space="0"/>
                  </w:tcBorders>
                  <w:vAlign w:val="center"/>
                </w:tcPr>
                <w:p w14:paraId="01BB9D4B">
                  <w:pPr>
                    <w:widowControl/>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（GB18466-2005）表2预处理标准</w:t>
                  </w:r>
                </w:p>
                <w:p w14:paraId="2F17B61D">
                  <w:pPr>
                    <w:widowControl/>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color w:val="auto"/>
                      <w:szCs w:val="21"/>
                    </w:rPr>
                    <w:t>mg/L</w:t>
                  </w:r>
                </w:p>
              </w:tc>
              <w:tc>
                <w:tcPr>
                  <w:tcW w:w="1137" w:type="pct"/>
                  <w:tcBorders>
                    <w:top w:val="single" w:color="auto" w:sz="12" w:space="0"/>
                  </w:tcBorders>
                  <w:vAlign w:val="center"/>
                </w:tcPr>
                <w:p w14:paraId="1AA29CAA">
                  <w:pPr>
                    <w:widowControl/>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华林镇集镇污水处理厂接管标准</w:t>
                  </w:r>
                </w:p>
                <w:p w14:paraId="2F140D34">
                  <w:pPr>
                    <w:widowControl/>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color w:val="auto"/>
                      <w:szCs w:val="21"/>
                    </w:rPr>
                    <w:t>mg/L</w:t>
                  </w:r>
                </w:p>
              </w:tc>
              <w:tc>
                <w:tcPr>
                  <w:tcW w:w="806" w:type="pct"/>
                  <w:tcBorders>
                    <w:top w:val="single" w:color="auto" w:sz="12" w:space="0"/>
                  </w:tcBorders>
                  <w:shd w:val="clear" w:color="auto" w:fill="auto"/>
                  <w:vAlign w:val="center"/>
                </w:tcPr>
                <w:p w14:paraId="37C0A813">
                  <w:pPr>
                    <w:pStyle w:val="59"/>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本项目执行标准（从严）</w:t>
                  </w:r>
                </w:p>
              </w:tc>
              <w:tc>
                <w:tcPr>
                  <w:tcW w:w="808" w:type="pct"/>
                  <w:tcBorders>
                    <w:top w:val="single" w:color="auto" w:sz="12" w:space="0"/>
                  </w:tcBorders>
                  <w:shd w:val="clear" w:color="auto" w:fill="auto"/>
                  <w:vAlign w:val="center"/>
                </w:tcPr>
                <w:p w14:paraId="0E0B9D0B">
                  <w:pPr>
                    <w:pStyle w:val="59"/>
                    <w:rPr>
                      <w:rFonts w:hint="default" w:ascii="Times New Roman" w:hAnsi="Times New Roman" w:cs="Times New Roman"/>
                      <w:b/>
                      <w:bCs/>
                      <w:color w:val="auto"/>
                      <w:szCs w:val="21"/>
                    </w:rPr>
                  </w:pPr>
                  <w:r>
                    <w:rPr>
                      <w:rFonts w:hint="default" w:ascii="Times New Roman" w:hAnsi="Times New Roman" w:cs="Times New Roman"/>
                      <w:b/>
                      <w:bCs/>
                      <w:color w:val="auto"/>
                      <w:kern w:val="0"/>
                      <w:szCs w:val="21"/>
                    </w:rPr>
                    <w:t>污水处理厂排放标准</w:t>
                  </w:r>
                </w:p>
              </w:tc>
            </w:tr>
            <w:tr w14:paraId="1F248C0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03" w:type="pct"/>
                  <w:vAlign w:val="center"/>
                </w:tcPr>
                <w:p w14:paraId="4B5BBCCC">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815" w:type="pct"/>
                  <w:vAlign w:val="center"/>
                </w:tcPr>
                <w:p w14:paraId="45D6F2BD">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1130" w:type="pct"/>
                  <w:vAlign w:val="center"/>
                </w:tcPr>
                <w:p w14:paraId="3572AFF3">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6~9</w:t>
                  </w:r>
                </w:p>
              </w:tc>
              <w:tc>
                <w:tcPr>
                  <w:tcW w:w="1137" w:type="pct"/>
                  <w:vAlign w:val="center"/>
                </w:tcPr>
                <w:p w14:paraId="22C0CF3F">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6-9</w:t>
                  </w:r>
                </w:p>
              </w:tc>
              <w:tc>
                <w:tcPr>
                  <w:tcW w:w="806" w:type="pct"/>
                  <w:vAlign w:val="center"/>
                </w:tcPr>
                <w:p w14:paraId="1A852DCA">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6-9</w:t>
                  </w:r>
                </w:p>
              </w:tc>
              <w:tc>
                <w:tcPr>
                  <w:tcW w:w="808" w:type="pct"/>
                  <w:vAlign w:val="center"/>
                </w:tcPr>
                <w:p w14:paraId="2CF271AA">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6-9</w:t>
                  </w:r>
                </w:p>
              </w:tc>
            </w:tr>
            <w:tr w14:paraId="0382C37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03" w:type="pct"/>
                  <w:vAlign w:val="center"/>
                </w:tcPr>
                <w:p w14:paraId="037D3E6D">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815" w:type="pct"/>
                  <w:vAlign w:val="center"/>
                </w:tcPr>
                <w:p w14:paraId="29B6D2E2">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r>
                    <w:rPr>
                      <w:rFonts w:hint="default" w:ascii="Times New Roman" w:hAnsi="Times New Roman" w:cs="Times New Roman"/>
                      <w:color w:val="auto"/>
                      <w:szCs w:val="21"/>
                      <w:vertAlign w:val="subscript"/>
                    </w:rPr>
                    <w:t>Cr</w:t>
                  </w:r>
                </w:p>
              </w:tc>
              <w:tc>
                <w:tcPr>
                  <w:tcW w:w="1130" w:type="pct"/>
                  <w:vAlign w:val="center"/>
                </w:tcPr>
                <w:p w14:paraId="1F5512B4">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250</w:t>
                  </w:r>
                </w:p>
              </w:tc>
              <w:tc>
                <w:tcPr>
                  <w:tcW w:w="1137" w:type="pct"/>
                  <w:vAlign w:val="center"/>
                </w:tcPr>
                <w:p w14:paraId="297F2A53">
                  <w:pPr>
                    <w:widowControl/>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200</w:t>
                  </w:r>
                </w:p>
              </w:tc>
              <w:tc>
                <w:tcPr>
                  <w:tcW w:w="806" w:type="pct"/>
                  <w:vAlign w:val="center"/>
                </w:tcPr>
                <w:p w14:paraId="5098B264">
                  <w:pPr>
                    <w:widowControl/>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200</w:t>
                  </w:r>
                </w:p>
              </w:tc>
              <w:tc>
                <w:tcPr>
                  <w:tcW w:w="808" w:type="pct"/>
                  <w:vAlign w:val="center"/>
                </w:tcPr>
                <w:p w14:paraId="2EA6A0A2">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r>
            <w:tr w14:paraId="6A0B399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03" w:type="pct"/>
                  <w:vAlign w:val="center"/>
                </w:tcPr>
                <w:p w14:paraId="55B65DD9">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815" w:type="pct"/>
                  <w:vAlign w:val="center"/>
                </w:tcPr>
                <w:p w14:paraId="62EC1FA2">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1130" w:type="pct"/>
                  <w:vAlign w:val="center"/>
                </w:tcPr>
                <w:p w14:paraId="6069DD3A">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1137" w:type="pct"/>
                  <w:vAlign w:val="center"/>
                </w:tcPr>
                <w:p w14:paraId="3AEB4FB8">
                  <w:pPr>
                    <w:widowControl/>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100</w:t>
                  </w:r>
                </w:p>
              </w:tc>
              <w:tc>
                <w:tcPr>
                  <w:tcW w:w="806" w:type="pct"/>
                  <w:vAlign w:val="center"/>
                </w:tcPr>
                <w:p w14:paraId="0EFCB953">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808" w:type="pct"/>
                  <w:vAlign w:val="center"/>
                </w:tcPr>
                <w:p w14:paraId="0EE4DF4A">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r>
            <w:tr w14:paraId="2F9B92F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03" w:type="pct"/>
                  <w:vAlign w:val="center"/>
                </w:tcPr>
                <w:p w14:paraId="612F1FD3">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815" w:type="pct"/>
                  <w:vAlign w:val="center"/>
                </w:tcPr>
                <w:p w14:paraId="78EA54CA">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SS</w:t>
                  </w:r>
                </w:p>
              </w:tc>
              <w:tc>
                <w:tcPr>
                  <w:tcW w:w="1130" w:type="pct"/>
                  <w:vAlign w:val="center"/>
                </w:tcPr>
                <w:p w14:paraId="38A0F89F">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1137" w:type="pct"/>
                  <w:vAlign w:val="center"/>
                </w:tcPr>
                <w:p w14:paraId="1D11C745">
                  <w:pPr>
                    <w:widowControl/>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150</w:t>
                  </w:r>
                </w:p>
              </w:tc>
              <w:tc>
                <w:tcPr>
                  <w:tcW w:w="806" w:type="pct"/>
                  <w:vAlign w:val="center"/>
                </w:tcPr>
                <w:p w14:paraId="0A082363">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808" w:type="pct"/>
                  <w:vAlign w:val="center"/>
                </w:tcPr>
                <w:p w14:paraId="1A501754">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r>
            <w:tr w14:paraId="64B9C22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03" w:type="pct"/>
                  <w:tcBorders>
                    <w:bottom w:val="single" w:color="auto" w:sz="2" w:space="0"/>
                  </w:tcBorders>
                  <w:vAlign w:val="center"/>
                </w:tcPr>
                <w:p w14:paraId="0F0AA82F">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815" w:type="pct"/>
                  <w:tcBorders>
                    <w:bottom w:val="single" w:color="auto" w:sz="2" w:space="0"/>
                  </w:tcBorders>
                  <w:vAlign w:val="center"/>
                </w:tcPr>
                <w:p w14:paraId="15AA273D">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1130" w:type="pct"/>
                  <w:tcBorders>
                    <w:bottom w:val="single" w:color="auto" w:sz="2" w:space="0"/>
                  </w:tcBorders>
                  <w:vAlign w:val="center"/>
                </w:tcPr>
                <w:p w14:paraId="7CD57DBC">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37" w:type="pct"/>
                  <w:tcBorders>
                    <w:bottom w:val="single" w:color="auto" w:sz="2" w:space="0"/>
                  </w:tcBorders>
                  <w:vAlign w:val="center"/>
                </w:tcPr>
                <w:p w14:paraId="6613592C">
                  <w:pPr>
                    <w:widowControl/>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24</w:t>
                  </w:r>
                </w:p>
              </w:tc>
              <w:tc>
                <w:tcPr>
                  <w:tcW w:w="806" w:type="pct"/>
                  <w:tcBorders>
                    <w:bottom w:val="single" w:color="auto" w:sz="2" w:space="0"/>
                  </w:tcBorders>
                  <w:shd w:val="clear" w:color="auto" w:fill="auto"/>
                  <w:vAlign w:val="center"/>
                </w:tcPr>
                <w:p w14:paraId="23D092C8">
                  <w:pPr>
                    <w:widowControl/>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24</w:t>
                  </w:r>
                </w:p>
              </w:tc>
              <w:tc>
                <w:tcPr>
                  <w:tcW w:w="808" w:type="pct"/>
                  <w:tcBorders>
                    <w:bottom w:val="single" w:color="auto" w:sz="2" w:space="0"/>
                  </w:tcBorders>
                  <w:vAlign w:val="center"/>
                </w:tcPr>
                <w:p w14:paraId="62FA9EEE">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5(8)</w:t>
                  </w:r>
                </w:p>
              </w:tc>
            </w:tr>
            <w:tr w14:paraId="53AD2E3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03" w:type="pct"/>
                  <w:tcBorders>
                    <w:bottom w:val="single" w:color="auto" w:sz="2" w:space="0"/>
                  </w:tcBorders>
                  <w:vAlign w:val="center"/>
                </w:tcPr>
                <w:p w14:paraId="1F269780">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815" w:type="pct"/>
                  <w:tcBorders>
                    <w:bottom w:val="single" w:color="auto" w:sz="2" w:space="0"/>
                  </w:tcBorders>
                  <w:vAlign w:val="center"/>
                </w:tcPr>
                <w:p w14:paraId="35A251DE">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TN</w:t>
                  </w:r>
                </w:p>
              </w:tc>
              <w:tc>
                <w:tcPr>
                  <w:tcW w:w="1130" w:type="pct"/>
                  <w:tcBorders>
                    <w:bottom w:val="single" w:color="auto" w:sz="2" w:space="0"/>
                  </w:tcBorders>
                  <w:vAlign w:val="center"/>
                </w:tcPr>
                <w:p w14:paraId="1B97330D">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37" w:type="pct"/>
                  <w:tcBorders>
                    <w:bottom w:val="single" w:color="auto" w:sz="2" w:space="0"/>
                  </w:tcBorders>
                  <w:vAlign w:val="center"/>
                </w:tcPr>
                <w:p w14:paraId="7777B78F">
                  <w:pPr>
                    <w:widowControl/>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30</w:t>
                  </w:r>
                </w:p>
              </w:tc>
              <w:tc>
                <w:tcPr>
                  <w:tcW w:w="806" w:type="pct"/>
                  <w:tcBorders>
                    <w:bottom w:val="single" w:color="auto" w:sz="2" w:space="0"/>
                  </w:tcBorders>
                  <w:shd w:val="clear" w:color="auto" w:fill="auto"/>
                  <w:vAlign w:val="center"/>
                </w:tcPr>
                <w:p w14:paraId="1CEB4CE1">
                  <w:pPr>
                    <w:widowControl/>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30</w:t>
                  </w:r>
                </w:p>
              </w:tc>
              <w:tc>
                <w:tcPr>
                  <w:tcW w:w="808" w:type="pct"/>
                  <w:tcBorders>
                    <w:bottom w:val="single" w:color="auto" w:sz="2" w:space="0"/>
                  </w:tcBorders>
                  <w:vAlign w:val="center"/>
                </w:tcPr>
                <w:p w14:paraId="6C5A6FF6">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szCs w:val="21"/>
                    </w:rPr>
                    <w:t>15</w:t>
                  </w:r>
                </w:p>
              </w:tc>
            </w:tr>
            <w:tr w14:paraId="47583CE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03" w:type="pct"/>
                  <w:tcBorders>
                    <w:bottom w:val="single" w:color="auto" w:sz="2" w:space="0"/>
                  </w:tcBorders>
                  <w:vAlign w:val="center"/>
                </w:tcPr>
                <w:p w14:paraId="2BD2C21C">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7</w:t>
                  </w:r>
                </w:p>
              </w:tc>
              <w:tc>
                <w:tcPr>
                  <w:tcW w:w="815" w:type="pct"/>
                  <w:tcBorders>
                    <w:bottom w:val="single" w:color="auto" w:sz="2" w:space="0"/>
                  </w:tcBorders>
                  <w:vAlign w:val="center"/>
                </w:tcPr>
                <w:p w14:paraId="180CE4AB">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TP</w:t>
                  </w:r>
                </w:p>
              </w:tc>
              <w:tc>
                <w:tcPr>
                  <w:tcW w:w="1130" w:type="pct"/>
                  <w:tcBorders>
                    <w:bottom w:val="single" w:color="auto" w:sz="2" w:space="0"/>
                  </w:tcBorders>
                  <w:vAlign w:val="center"/>
                </w:tcPr>
                <w:p w14:paraId="73FE847C">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37" w:type="pct"/>
                  <w:tcBorders>
                    <w:bottom w:val="single" w:color="auto" w:sz="2" w:space="0"/>
                  </w:tcBorders>
                  <w:vAlign w:val="center"/>
                </w:tcPr>
                <w:p w14:paraId="3502B53D">
                  <w:pPr>
                    <w:widowControl/>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2</w:t>
                  </w:r>
                </w:p>
              </w:tc>
              <w:tc>
                <w:tcPr>
                  <w:tcW w:w="806" w:type="pct"/>
                  <w:tcBorders>
                    <w:bottom w:val="single" w:color="auto" w:sz="2" w:space="0"/>
                  </w:tcBorders>
                  <w:shd w:val="clear" w:color="auto" w:fill="auto"/>
                  <w:vAlign w:val="center"/>
                </w:tcPr>
                <w:p w14:paraId="6D1A9596">
                  <w:pPr>
                    <w:widowControl/>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2</w:t>
                  </w:r>
                </w:p>
              </w:tc>
              <w:tc>
                <w:tcPr>
                  <w:tcW w:w="808" w:type="pct"/>
                  <w:tcBorders>
                    <w:bottom w:val="single" w:color="auto" w:sz="2" w:space="0"/>
                  </w:tcBorders>
                  <w:vAlign w:val="center"/>
                </w:tcPr>
                <w:p w14:paraId="72490D38">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0.5</w:t>
                  </w:r>
                </w:p>
              </w:tc>
            </w:tr>
            <w:tr w14:paraId="277F527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03" w:type="pct"/>
                  <w:tcBorders>
                    <w:top w:val="single" w:color="auto" w:sz="2" w:space="0"/>
                    <w:bottom w:val="single" w:color="auto" w:sz="2" w:space="0"/>
                  </w:tcBorders>
                  <w:vAlign w:val="center"/>
                </w:tcPr>
                <w:p w14:paraId="11286B48">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815" w:type="pct"/>
                  <w:tcBorders>
                    <w:top w:val="single" w:color="auto" w:sz="2" w:space="0"/>
                    <w:bottom w:val="single" w:color="auto" w:sz="2" w:space="0"/>
                  </w:tcBorders>
                  <w:vAlign w:val="center"/>
                </w:tcPr>
                <w:p w14:paraId="6A276FB3">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粪大肠菌群</w:t>
                  </w:r>
                </w:p>
              </w:tc>
              <w:tc>
                <w:tcPr>
                  <w:tcW w:w="1130" w:type="pct"/>
                  <w:tcBorders>
                    <w:top w:val="single" w:color="auto" w:sz="2" w:space="0"/>
                    <w:bottom w:val="single" w:color="auto" w:sz="2" w:space="0"/>
                  </w:tcBorders>
                  <w:vAlign w:val="center"/>
                </w:tcPr>
                <w:p w14:paraId="5BC5C9EB">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5000MPN/L</w:t>
                  </w:r>
                </w:p>
              </w:tc>
              <w:tc>
                <w:tcPr>
                  <w:tcW w:w="1137" w:type="pct"/>
                  <w:tcBorders>
                    <w:top w:val="single" w:color="auto" w:sz="2" w:space="0"/>
                    <w:bottom w:val="single" w:color="auto" w:sz="2" w:space="0"/>
                  </w:tcBorders>
                  <w:vAlign w:val="center"/>
                </w:tcPr>
                <w:p w14:paraId="2754FB13">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806" w:type="pct"/>
                  <w:tcBorders>
                    <w:top w:val="single" w:color="auto" w:sz="2" w:space="0"/>
                    <w:bottom w:val="single" w:color="auto" w:sz="2" w:space="0"/>
                  </w:tcBorders>
                  <w:vAlign w:val="center"/>
                </w:tcPr>
                <w:p w14:paraId="2346C12C">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5000MPN/L</w:t>
                  </w:r>
                </w:p>
              </w:tc>
              <w:tc>
                <w:tcPr>
                  <w:tcW w:w="808" w:type="pct"/>
                  <w:tcBorders>
                    <w:top w:val="single" w:color="auto" w:sz="2" w:space="0"/>
                    <w:bottom w:val="single" w:color="auto" w:sz="2" w:space="0"/>
                  </w:tcBorders>
                  <w:vAlign w:val="center"/>
                </w:tcPr>
                <w:p w14:paraId="6CB48751">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1000</w:t>
                  </w:r>
                </w:p>
              </w:tc>
            </w:tr>
            <w:tr w14:paraId="1A072CB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03" w:type="pct"/>
                  <w:tcBorders>
                    <w:top w:val="single" w:color="auto" w:sz="2" w:space="0"/>
                    <w:bottom w:val="single" w:color="auto" w:sz="2" w:space="0"/>
                  </w:tcBorders>
                  <w:vAlign w:val="center"/>
                </w:tcPr>
                <w:p w14:paraId="6B017109">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9</w:t>
                  </w:r>
                </w:p>
              </w:tc>
              <w:tc>
                <w:tcPr>
                  <w:tcW w:w="815" w:type="pct"/>
                  <w:tcBorders>
                    <w:top w:val="single" w:color="auto" w:sz="2" w:space="0"/>
                    <w:bottom w:val="single" w:color="auto" w:sz="2" w:space="0"/>
                  </w:tcBorders>
                  <w:vAlign w:val="center"/>
                </w:tcPr>
                <w:p w14:paraId="3DF02ECF">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动植物油</w:t>
                  </w:r>
                </w:p>
              </w:tc>
              <w:tc>
                <w:tcPr>
                  <w:tcW w:w="1130" w:type="pct"/>
                  <w:tcBorders>
                    <w:top w:val="single" w:color="auto" w:sz="2" w:space="0"/>
                    <w:bottom w:val="single" w:color="auto" w:sz="2" w:space="0"/>
                  </w:tcBorders>
                  <w:vAlign w:val="center"/>
                </w:tcPr>
                <w:p w14:paraId="58F64A6C">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1137" w:type="pct"/>
                  <w:tcBorders>
                    <w:top w:val="single" w:color="auto" w:sz="2" w:space="0"/>
                    <w:bottom w:val="single" w:color="auto" w:sz="2" w:space="0"/>
                  </w:tcBorders>
                  <w:vAlign w:val="center"/>
                </w:tcPr>
                <w:p w14:paraId="26BA345E">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806" w:type="pct"/>
                  <w:tcBorders>
                    <w:top w:val="single" w:color="auto" w:sz="2" w:space="0"/>
                    <w:bottom w:val="single" w:color="auto" w:sz="2" w:space="0"/>
                  </w:tcBorders>
                  <w:vAlign w:val="center"/>
                </w:tcPr>
                <w:p w14:paraId="7AC6AC40">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808" w:type="pct"/>
                  <w:tcBorders>
                    <w:top w:val="single" w:color="auto" w:sz="2" w:space="0"/>
                    <w:bottom w:val="single" w:color="auto" w:sz="2" w:space="0"/>
                  </w:tcBorders>
                  <w:vAlign w:val="center"/>
                </w:tcPr>
                <w:p w14:paraId="40DCF229">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7D04F42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03" w:type="pct"/>
                  <w:tcBorders>
                    <w:top w:val="single" w:color="auto" w:sz="2" w:space="0"/>
                    <w:bottom w:val="single" w:color="auto" w:sz="2" w:space="0"/>
                  </w:tcBorders>
                  <w:vAlign w:val="center"/>
                </w:tcPr>
                <w:p w14:paraId="7CB017F7">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815" w:type="pct"/>
                  <w:tcBorders>
                    <w:top w:val="single" w:color="auto" w:sz="2" w:space="0"/>
                    <w:bottom w:val="single" w:color="auto" w:sz="2" w:space="0"/>
                  </w:tcBorders>
                  <w:vAlign w:val="center"/>
                </w:tcPr>
                <w:p w14:paraId="0C8D029D">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总余氯*</w:t>
                  </w:r>
                </w:p>
              </w:tc>
              <w:tc>
                <w:tcPr>
                  <w:tcW w:w="1130" w:type="pct"/>
                  <w:tcBorders>
                    <w:top w:val="single" w:color="auto" w:sz="2" w:space="0"/>
                    <w:bottom w:val="single" w:color="auto" w:sz="2" w:space="0"/>
                  </w:tcBorders>
                  <w:vAlign w:val="center"/>
                </w:tcPr>
                <w:p w14:paraId="2A3B1532">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2~8</w:t>
                  </w:r>
                </w:p>
              </w:tc>
              <w:tc>
                <w:tcPr>
                  <w:tcW w:w="1137" w:type="pct"/>
                  <w:tcBorders>
                    <w:top w:val="single" w:color="auto" w:sz="2" w:space="0"/>
                    <w:bottom w:val="single" w:color="auto" w:sz="2" w:space="0"/>
                  </w:tcBorders>
                  <w:vAlign w:val="center"/>
                </w:tcPr>
                <w:p w14:paraId="36BE62B0">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806" w:type="pct"/>
                  <w:tcBorders>
                    <w:top w:val="single" w:color="auto" w:sz="2" w:space="0"/>
                    <w:bottom w:val="single" w:color="auto" w:sz="2" w:space="0"/>
                  </w:tcBorders>
                  <w:vAlign w:val="center"/>
                </w:tcPr>
                <w:p w14:paraId="0993B410">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2-8mg/L</w:t>
                  </w:r>
                </w:p>
              </w:tc>
              <w:tc>
                <w:tcPr>
                  <w:tcW w:w="808" w:type="pct"/>
                  <w:tcBorders>
                    <w:top w:val="single" w:color="auto" w:sz="2" w:space="0"/>
                    <w:bottom w:val="single" w:color="auto" w:sz="2" w:space="0"/>
                  </w:tcBorders>
                  <w:vAlign w:val="center"/>
                </w:tcPr>
                <w:p w14:paraId="441E2A77">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079AC5D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03" w:type="pct"/>
                  <w:tcBorders>
                    <w:top w:val="single" w:color="auto" w:sz="2" w:space="0"/>
                    <w:bottom w:val="single" w:color="auto" w:sz="12" w:space="0"/>
                  </w:tcBorders>
                  <w:vAlign w:val="center"/>
                </w:tcPr>
                <w:p w14:paraId="5D03E661">
                  <w:pPr>
                    <w:widowControl/>
                    <w:adjustRightInd w:val="0"/>
                    <w:snapToGrid w:val="0"/>
                    <w:jc w:val="center"/>
                    <w:rPr>
                      <w:rFonts w:hint="default" w:ascii="Times New Roman" w:hAnsi="Times New Roman" w:eastAsia="宋体" w:cs="Times New Roman"/>
                      <w:color w:val="7030A0"/>
                      <w:szCs w:val="21"/>
                      <w:lang w:val="en-US" w:eastAsia="zh-CN"/>
                    </w:rPr>
                  </w:pPr>
                  <w:r>
                    <w:rPr>
                      <w:rFonts w:hint="eastAsia" w:cs="Times New Roman"/>
                      <w:color w:val="7030A0"/>
                      <w:szCs w:val="21"/>
                      <w:lang w:val="en-US" w:eastAsia="zh-CN"/>
                    </w:rPr>
                    <w:t>11</w:t>
                  </w:r>
                </w:p>
              </w:tc>
              <w:tc>
                <w:tcPr>
                  <w:tcW w:w="815" w:type="pct"/>
                  <w:tcBorders>
                    <w:top w:val="single" w:color="auto" w:sz="2" w:space="0"/>
                    <w:bottom w:val="single" w:color="auto" w:sz="12" w:space="0"/>
                  </w:tcBorders>
                  <w:vAlign w:val="center"/>
                </w:tcPr>
                <w:p w14:paraId="4E473B1A">
                  <w:pPr>
                    <w:widowControl/>
                    <w:adjustRightInd w:val="0"/>
                    <w:snapToGrid w:val="0"/>
                    <w:jc w:val="center"/>
                    <w:rPr>
                      <w:rFonts w:hint="eastAsia" w:ascii="Times New Roman" w:hAnsi="Times New Roman" w:eastAsia="宋体" w:cs="Times New Roman"/>
                      <w:color w:val="7030A0"/>
                      <w:szCs w:val="21"/>
                      <w:lang w:val="en-US" w:eastAsia="zh-CN"/>
                    </w:rPr>
                  </w:pPr>
                  <w:r>
                    <w:rPr>
                      <w:rFonts w:hint="eastAsia" w:cs="Times New Roman"/>
                      <w:color w:val="7030A0"/>
                      <w:szCs w:val="21"/>
                      <w:lang w:val="en-US" w:eastAsia="zh-CN"/>
                    </w:rPr>
                    <w:t>LAS</w:t>
                  </w:r>
                </w:p>
              </w:tc>
              <w:tc>
                <w:tcPr>
                  <w:tcW w:w="1130" w:type="pct"/>
                  <w:tcBorders>
                    <w:top w:val="single" w:color="auto" w:sz="2" w:space="0"/>
                    <w:bottom w:val="single" w:color="auto" w:sz="12" w:space="0"/>
                  </w:tcBorders>
                  <w:vAlign w:val="center"/>
                </w:tcPr>
                <w:p w14:paraId="71CACB92">
                  <w:pPr>
                    <w:widowControl/>
                    <w:adjustRightInd w:val="0"/>
                    <w:snapToGrid w:val="0"/>
                    <w:jc w:val="center"/>
                    <w:rPr>
                      <w:rFonts w:hint="default" w:ascii="Times New Roman" w:hAnsi="Times New Roman" w:eastAsia="宋体" w:cs="Times New Roman"/>
                      <w:color w:val="7030A0"/>
                      <w:szCs w:val="21"/>
                      <w:lang w:val="en-US" w:eastAsia="zh-CN"/>
                    </w:rPr>
                  </w:pPr>
                  <w:r>
                    <w:rPr>
                      <w:rFonts w:hint="eastAsia" w:cs="Times New Roman"/>
                      <w:color w:val="7030A0"/>
                      <w:szCs w:val="21"/>
                      <w:lang w:val="en-US" w:eastAsia="zh-CN"/>
                    </w:rPr>
                    <w:t>10</w:t>
                  </w:r>
                </w:p>
              </w:tc>
              <w:tc>
                <w:tcPr>
                  <w:tcW w:w="1137" w:type="pct"/>
                  <w:tcBorders>
                    <w:top w:val="single" w:color="auto" w:sz="2" w:space="0"/>
                    <w:bottom w:val="single" w:color="auto" w:sz="12" w:space="0"/>
                  </w:tcBorders>
                  <w:vAlign w:val="center"/>
                </w:tcPr>
                <w:p w14:paraId="6A9CFA99">
                  <w:pPr>
                    <w:widowControl/>
                    <w:adjustRightInd w:val="0"/>
                    <w:snapToGrid w:val="0"/>
                    <w:jc w:val="center"/>
                    <w:rPr>
                      <w:rFonts w:hint="default" w:ascii="Times New Roman" w:hAnsi="Times New Roman" w:cs="Times New Roman"/>
                      <w:color w:val="7030A0"/>
                      <w:szCs w:val="21"/>
                    </w:rPr>
                  </w:pPr>
                  <w:r>
                    <w:rPr>
                      <w:rFonts w:hint="default" w:ascii="Times New Roman" w:hAnsi="Times New Roman" w:cs="Times New Roman"/>
                      <w:color w:val="7030A0"/>
                      <w:szCs w:val="21"/>
                    </w:rPr>
                    <w:t>/</w:t>
                  </w:r>
                </w:p>
              </w:tc>
              <w:tc>
                <w:tcPr>
                  <w:tcW w:w="806" w:type="pct"/>
                  <w:tcBorders>
                    <w:top w:val="single" w:color="auto" w:sz="2" w:space="0"/>
                    <w:bottom w:val="single" w:color="auto" w:sz="12" w:space="0"/>
                  </w:tcBorders>
                  <w:vAlign w:val="center"/>
                </w:tcPr>
                <w:p w14:paraId="07A88A91">
                  <w:pPr>
                    <w:widowControl/>
                    <w:adjustRightInd w:val="0"/>
                    <w:snapToGrid w:val="0"/>
                    <w:jc w:val="center"/>
                    <w:rPr>
                      <w:rFonts w:hint="default" w:ascii="Times New Roman" w:hAnsi="Times New Roman" w:eastAsia="宋体" w:cs="Times New Roman"/>
                      <w:color w:val="7030A0"/>
                      <w:szCs w:val="21"/>
                      <w:lang w:val="en-US" w:eastAsia="zh-CN"/>
                    </w:rPr>
                  </w:pPr>
                  <w:r>
                    <w:rPr>
                      <w:rFonts w:hint="eastAsia" w:cs="Times New Roman"/>
                      <w:color w:val="7030A0"/>
                      <w:szCs w:val="21"/>
                      <w:lang w:val="en-US" w:eastAsia="zh-CN"/>
                    </w:rPr>
                    <w:t>10</w:t>
                  </w:r>
                </w:p>
              </w:tc>
              <w:tc>
                <w:tcPr>
                  <w:tcW w:w="808" w:type="pct"/>
                  <w:tcBorders>
                    <w:top w:val="single" w:color="auto" w:sz="2" w:space="0"/>
                    <w:bottom w:val="single" w:color="auto" w:sz="12" w:space="0"/>
                  </w:tcBorders>
                  <w:vAlign w:val="center"/>
                </w:tcPr>
                <w:p w14:paraId="242D27D9">
                  <w:pPr>
                    <w:widowControl/>
                    <w:adjustRightInd w:val="0"/>
                    <w:snapToGrid w:val="0"/>
                    <w:jc w:val="center"/>
                    <w:rPr>
                      <w:rFonts w:hint="default" w:ascii="Times New Roman" w:hAnsi="Times New Roman" w:eastAsia="宋体" w:cs="Times New Roman"/>
                      <w:color w:val="7030A0"/>
                      <w:szCs w:val="21"/>
                      <w:lang w:val="en-US" w:eastAsia="zh-CN"/>
                    </w:rPr>
                  </w:pPr>
                  <w:r>
                    <w:rPr>
                      <w:rFonts w:hint="eastAsia" w:cs="Times New Roman"/>
                      <w:color w:val="7030A0"/>
                      <w:szCs w:val="21"/>
                      <w:lang w:val="en-US" w:eastAsia="zh-CN"/>
                    </w:rPr>
                    <w:t>0.5</w:t>
                  </w:r>
                </w:p>
              </w:tc>
            </w:tr>
          </w:tbl>
          <w:p w14:paraId="2BA4A209">
            <w:pPr>
              <w:spacing w:line="360" w:lineRule="auto"/>
              <w:jc w:val="left"/>
              <w:rPr>
                <w:rFonts w:hint="default" w:ascii="Times New Roman" w:hAnsi="Times New Roman" w:cs="Times New Roman"/>
                <w:color w:val="auto"/>
                <w:kern w:val="0"/>
                <w:szCs w:val="21"/>
              </w:rPr>
            </w:pPr>
            <w:r>
              <w:rPr>
                <w:rFonts w:hint="default" w:ascii="Times New Roman" w:hAnsi="Times New Roman" w:cs="Times New Roman"/>
                <w:color w:val="auto"/>
                <w:szCs w:val="21"/>
              </w:rPr>
              <w:t>注：*为消毒接触池接触时间≥1h，接触池出口总余氯2~8mg/L。</w:t>
            </w:r>
          </w:p>
          <w:p w14:paraId="40BA1A59">
            <w:pPr>
              <w:spacing w:line="360" w:lineRule="auto"/>
              <w:ind w:firstLine="482" w:firstLineChars="200"/>
              <w:jc w:val="left"/>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3、噪声</w:t>
            </w:r>
          </w:p>
          <w:p w14:paraId="3687BAA6">
            <w:pPr>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营运期厂界噪声执行《工业企业厂界环境噪声排放标准》（GB12348-2008）中的</w:t>
            </w:r>
            <w:r>
              <w:rPr>
                <w:rFonts w:hint="default" w:ascii="Times New Roman" w:hAnsi="Times New Roman" w:cs="Times New Roman"/>
                <w:color w:val="auto"/>
                <w:kern w:val="0"/>
                <w:sz w:val="24"/>
                <w:lang w:val="en-US" w:eastAsia="zh-CN"/>
              </w:rPr>
              <w:t>1</w:t>
            </w:r>
            <w:r>
              <w:rPr>
                <w:rFonts w:hint="default" w:ascii="Times New Roman" w:hAnsi="Times New Roman" w:cs="Times New Roman"/>
                <w:color w:val="auto"/>
                <w:kern w:val="0"/>
                <w:sz w:val="24"/>
              </w:rPr>
              <w:t>类功能区噪声排放标准。具体标准值见表。</w:t>
            </w:r>
          </w:p>
          <w:p w14:paraId="4E5FEE1F">
            <w:pPr>
              <w:tabs>
                <w:tab w:val="left" w:pos="0"/>
              </w:tabs>
              <w:adjustRightInd w:val="0"/>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表3-7  噪声排放标准一览表（单位dB(A)）</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32"/>
              <w:gridCol w:w="3365"/>
              <w:gridCol w:w="3171"/>
            </w:tblGrid>
            <w:tr w14:paraId="59C9ED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42" w:type="dxa"/>
                  <w:vAlign w:val="center"/>
                </w:tcPr>
                <w:p w14:paraId="33BC1F40">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类别</w:t>
                  </w:r>
                </w:p>
              </w:tc>
              <w:tc>
                <w:tcPr>
                  <w:tcW w:w="3387" w:type="dxa"/>
                  <w:vAlign w:val="center"/>
                </w:tcPr>
                <w:p w14:paraId="42900AE3">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昼间</w:t>
                  </w:r>
                </w:p>
              </w:tc>
              <w:tc>
                <w:tcPr>
                  <w:tcW w:w="3191" w:type="dxa"/>
                  <w:vAlign w:val="center"/>
                </w:tcPr>
                <w:p w14:paraId="6ECD946C">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夜间</w:t>
                  </w:r>
                </w:p>
              </w:tc>
            </w:tr>
            <w:tr w14:paraId="37A9CF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42" w:type="dxa"/>
                  <w:vAlign w:val="center"/>
                </w:tcPr>
                <w:p w14:paraId="24A0925D">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类</w:t>
                  </w:r>
                </w:p>
              </w:tc>
              <w:tc>
                <w:tcPr>
                  <w:tcW w:w="3387" w:type="dxa"/>
                  <w:vAlign w:val="center"/>
                </w:tcPr>
                <w:p w14:paraId="5559B8AF">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55</w:t>
                  </w:r>
                </w:p>
              </w:tc>
              <w:tc>
                <w:tcPr>
                  <w:tcW w:w="3191" w:type="dxa"/>
                  <w:vAlign w:val="center"/>
                </w:tcPr>
                <w:p w14:paraId="43EE073D">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45</w:t>
                  </w:r>
                </w:p>
              </w:tc>
            </w:tr>
          </w:tbl>
          <w:p w14:paraId="281BC9F3">
            <w:pPr>
              <w:adjustRightInd w:val="0"/>
              <w:snapToGrid w:val="0"/>
              <w:spacing w:line="360" w:lineRule="auto"/>
              <w:ind w:firstLine="482" w:firstLineChars="200"/>
              <w:jc w:val="left"/>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4、固体废物</w:t>
            </w:r>
          </w:p>
          <w:p w14:paraId="4D4C8324">
            <w:pPr>
              <w:autoSpaceDE w:val="0"/>
              <w:autoSpaceDN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rPr>
              <w:t>一般固废的暂存执行《一般工业固体废物贮存和填埋污染控制标准》（GB18599-2020），污水处理站污泥执行《医疗机构水污染物排放标准》（GB18466-2005）中表4中医疗机构污泥控制标准要求；医疗废物执行《医疗废物集中处置技术规范（</w:t>
            </w:r>
            <w:bookmarkStart w:id="30" w:name="_GoBack"/>
            <w:bookmarkEnd w:id="30"/>
            <w:r>
              <w:rPr>
                <w:rFonts w:hint="default" w:ascii="Times New Roman" w:hAnsi="Times New Roman" w:cs="Times New Roman"/>
                <w:color w:val="auto"/>
                <w:sz w:val="24"/>
              </w:rPr>
              <w:t>试行）》（环发[2003]206号）、《危险废物贮存污染控制标准》（GB18597-2023）、《医疗废物处理处置污染控制标准》（GB39707-2020）。</w:t>
            </w:r>
            <w:r>
              <w:rPr>
                <w:rFonts w:hint="default" w:ascii="Times New Roman" w:hAnsi="Times New Roman" w:eastAsia="宋体" w:cs="Times New Roman"/>
                <w:color w:val="auto"/>
                <w:sz w:val="24"/>
                <w:szCs w:val="24"/>
                <w:lang w:val="en-US" w:eastAsia="zh-CN"/>
              </w:rPr>
              <w:t>生活垃圾经袋装收集后，暂存于分类垃圾桶，由市政环卫部门定期清运。</w:t>
            </w:r>
          </w:p>
          <w:p w14:paraId="145429E6">
            <w:pPr>
              <w:tabs>
                <w:tab w:val="left" w:pos="0"/>
              </w:tabs>
              <w:adjustRightInd w:val="0"/>
              <w:snapToGrid w:val="0"/>
              <w:spacing w:line="360" w:lineRule="auto"/>
              <w:jc w:val="center"/>
              <w:rPr>
                <w:rFonts w:hint="default" w:ascii="Times New Roman" w:hAnsi="Times New Roman" w:cs="Times New Roman"/>
                <w:b/>
                <w:color w:val="auto"/>
                <w:szCs w:val="21"/>
              </w:rPr>
            </w:pPr>
            <w:bookmarkStart w:id="19" w:name="_Ref78300396"/>
            <w:r>
              <w:rPr>
                <w:rFonts w:hint="default" w:ascii="Times New Roman" w:hAnsi="Times New Roman" w:cs="Times New Roman"/>
                <w:b/>
                <w:color w:val="auto"/>
                <w:szCs w:val="21"/>
              </w:rPr>
              <w:t>表3</w:t>
            </w:r>
            <w:r>
              <w:rPr>
                <w:rFonts w:hint="default" w:ascii="Times New Roman" w:hAnsi="Times New Roman" w:cs="Times New Roman"/>
                <w:b/>
                <w:color w:val="auto"/>
                <w:szCs w:val="21"/>
              </w:rPr>
              <w:noBreakHyphen/>
            </w:r>
            <w:bookmarkEnd w:id="19"/>
            <w:r>
              <w:rPr>
                <w:rFonts w:hint="default" w:ascii="Times New Roman" w:hAnsi="Times New Roman" w:cs="Times New Roman"/>
                <w:b/>
                <w:color w:val="auto"/>
                <w:szCs w:val="21"/>
              </w:rPr>
              <w:t>8  医疗机构污泥控制标准</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6"/>
              <w:gridCol w:w="1844"/>
              <w:gridCol w:w="983"/>
              <w:gridCol w:w="848"/>
              <w:gridCol w:w="848"/>
              <w:gridCol w:w="1689"/>
            </w:tblGrid>
            <w:tr w14:paraId="64566A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6" w:type="dxa"/>
                  <w:vAlign w:val="center"/>
                </w:tcPr>
                <w:p w14:paraId="18908F1D">
                  <w:pPr>
                    <w:widowControl/>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医疗机构类别</w:t>
                  </w:r>
                </w:p>
              </w:tc>
              <w:tc>
                <w:tcPr>
                  <w:tcW w:w="1781" w:type="dxa"/>
                  <w:vAlign w:val="center"/>
                </w:tcPr>
                <w:p w14:paraId="07E0CEE1">
                  <w:pPr>
                    <w:widowControl/>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粪大肠菌群数(MPN/g)</w:t>
                  </w:r>
                </w:p>
              </w:tc>
              <w:tc>
                <w:tcPr>
                  <w:tcW w:w="949" w:type="dxa"/>
                  <w:vAlign w:val="center"/>
                </w:tcPr>
                <w:p w14:paraId="360E9119">
                  <w:pPr>
                    <w:widowControl/>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肠道致病菌</w:t>
                  </w:r>
                </w:p>
              </w:tc>
              <w:tc>
                <w:tcPr>
                  <w:tcW w:w="819" w:type="dxa"/>
                  <w:vAlign w:val="center"/>
                </w:tcPr>
                <w:p w14:paraId="3E036CA4">
                  <w:pPr>
                    <w:widowControl/>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肠道病毒</w:t>
                  </w:r>
                </w:p>
              </w:tc>
              <w:tc>
                <w:tcPr>
                  <w:tcW w:w="819" w:type="dxa"/>
                  <w:vAlign w:val="center"/>
                </w:tcPr>
                <w:p w14:paraId="5C9EE644">
                  <w:pPr>
                    <w:widowControl/>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结核杆菌</w:t>
                  </w:r>
                </w:p>
              </w:tc>
              <w:tc>
                <w:tcPr>
                  <w:tcW w:w="1631" w:type="dxa"/>
                  <w:vAlign w:val="center"/>
                </w:tcPr>
                <w:p w14:paraId="0C8EB647">
                  <w:pPr>
                    <w:widowControl/>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蛔虫卵死亡率（%）</w:t>
                  </w:r>
                </w:p>
              </w:tc>
            </w:tr>
            <w:tr w14:paraId="2AD09C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6" w:type="dxa"/>
                  <w:vAlign w:val="center"/>
                </w:tcPr>
                <w:p w14:paraId="4664C06A">
                  <w:pPr>
                    <w:widowControl/>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综合医疗机构和其它医疗机构</w:t>
                  </w:r>
                </w:p>
              </w:tc>
              <w:tc>
                <w:tcPr>
                  <w:tcW w:w="1781" w:type="dxa"/>
                  <w:vAlign w:val="center"/>
                </w:tcPr>
                <w:p w14:paraId="310AE010">
                  <w:pPr>
                    <w:widowControl/>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949" w:type="dxa"/>
                  <w:vAlign w:val="center"/>
                </w:tcPr>
                <w:p w14:paraId="61333FCC">
                  <w:pPr>
                    <w:widowControl/>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819" w:type="dxa"/>
                  <w:vAlign w:val="center"/>
                </w:tcPr>
                <w:p w14:paraId="693795A4">
                  <w:pPr>
                    <w:widowControl/>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819" w:type="dxa"/>
                  <w:vAlign w:val="center"/>
                </w:tcPr>
                <w:p w14:paraId="26CA66AF">
                  <w:pPr>
                    <w:widowControl/>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631" w:type="dxa"/>
                  <w:vAlign w:val="center"/>
                </w:tcPr>
                <w:p w14:paraId="0640AA0B">
                  <w:pPr>
                    <w:widowControl/>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&gt;95</w:t>
                  </w:r>
                </w:p>
              </w:tc>
            </w:tr>
          </w:tbl>
          <w:p w14:paraId="41717489">
            <w:pPr>
              <w:pStyle w:val="7"/>
              <w:ind w:firstLine="0"/>
              <w:rPr>
                <w:rFonts w:hint="default" w:ascii="Times New Roman" w:hAnsi="Times New Roman" w:eastAsia="宋体" w:cs="Times New Roman"/>
                <w:color w:val="auto"/>
              </w:rPr>
            </w:pPr>
          </w:p>
        </w:tc>
      </w:tr>
      <w:tr w14:paraId="4BEAC4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76" w:hRule="atLeast"/>
          <w:jc w:val="center"/>
        </w:trPr>
        <w:tc>
          <w:tcPr>
            <w:tcW w:w="506" w:type="dxa"/>
            <w:vAlign w:val="center"/>
          </w:tcPr>
          <w:p w14:paraId="27CE8F74">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总量</w:t>
            </w:r>
          </w:p>
          <w:p w14:paraId="08F40187">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控制</w:t>
            </w:r>
          </w:p>
          <w:p w14:paraId="2FEA54C3">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rPr>
              <w:t>指标</w:t>
            </w:r>
          </w:p>
        </w:tc>
        <w:tc>
          <w:tcPr>
            <w:tcW w:w="8484" w:type="dxa"/>
            <w:vAlign w:val="center"/>
          </w:tcPr>
          <w:p w14:paraId="59A171BA">
            <w:pPr>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bCs/>
                <w:color w:val="auto"/>
                <w:kern w:val="0"/>
                <w:sz w:val="24"/>
              </w:rPr>
              <w:t>污染物排放实施总量控制是执行环保管理目标责任制的基本原则之一。本环评结合环保管理要求，对项目主要污染物的排放量进行总量控制分析。</w:t>
            </w:r>
            <w:r>
              <w:rPr>
                <w:rFonts w:hint="default" w:ascii="Times New Roman" w:hAnsi="Times New Roman" w:cs="Times New Roman"/>
                <w:color w:val="auto"/>
                <w:kern w:val="0"/>
                <w:sz w:val="24"/>
              </w:rPr>
              <w:t>本项目纳入总量控制的污染物为COD</w:t>
            </w:r>
            <w:r>
              <w:rPr>
                <w:rFonts w:hint="default" w:ascii="Times New Roman" w:hAnsi="Times New Roman" w:cs="Times New Roman"/>
                <w:color w:val="auto"/>
                <w:kern w:val="0"/>
                <w:sz w:val="24"/>
                <w:vertAlign w:val="subscript"/>
              </w:rPr>
              <w:t>Cr</w:t>
            </w:r>
            <w:r>
              <w:rPr>
                <w:rFonts w:hint="default" w:ascii="Times New Roman" w:hAnsi="Times New Roman" w:cs="Times New Roman"/>
                <w:color w:val="auto"/>
                <w:kern w:val="0"/>
                <w:sz w:val="24"/>
              </w:rPr>
              <w:t>、NH</w:t>
            </w:r>
            <w:r>
              <w:rPr>
                <w:rFonts w:hint="default" w:ascii="Times New Roman" w:hAnsi="Times New Roman" w:cs="Times New Roman"/>
                <w:color w:val="auto"/>
                <w:kern w:val="0"/>
                <w:sz w:val="24"/>
                <w:vertAlign w:val="subscript"/>
              </w:rPr>
              <w:t>3</w:t>
            </w:r>
            <w:r>
              <w:rPr>
                <w:rFonts w:hint="default" w:ascii="Times New Roman" w:hAnsi="Times New Roman" w:cs="Times New Roman"/>
                <w:color w:val="auto"/>
                <w:kern w:val="0"/>
                <w:sz w:val="24"/>
              </w:rPr>
              <w:t>-N、TP、TN。</w:t>
            </w:r>
          </w:p>
          <w:p w14:paraId="374269FA">
            <w:pPr>
              <w:spacing w:line="360" w:lineRule="auto"/>
              <w:ind w:firstLine="480" w:firstLineChars="200"/>
              <w:jc w:val="both"/>
              <w:textAlignment w:val="center"/>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rPr>
              <w:t>根据工程分析，本项目</w:t>
            </w:r>
            <w:r>
              <w:rPr>
                <w:rFonts w:hint="default" w:ascii="Times New Roman" w:hAnsi="Times New Roman" w:eastAsia="宋体" w:cs="Times New Roman"/>
                <w:b w:val="0"/>
                <w:bCs w:val="0"/>
                <w:color w:val="auto"/>
                <w:sz w:val="24"/>
                <w:szCs w:val="24"/>
                <w:highlight w:val="none"/>
                <w:lang w:val="en-US" w:eastAsia="zh-CN"/>
              </w:rPr>
              <w:t>废水</w:t>
            </w:r>
            <w:r>
              <w:rPr>
                <w:rFonts w:hint="default" w:ascii="Times New Roman" w:hAnsi="Times New Roman" w:eastAsia="宋体" w:cs="Times New Roman"/>
                <w:b w:val="0"/>
                <w:bCs w:val="0"/>
                <w:color w:val="auto"/>
                <w:sz w:val="24"/>
                <w:szCs w:val="24"/>
                <w:highlight w:val="none"/>
              </w:rPr>
              <w:t>排放量为</w:t>
            </w:r>
            <w:r>
              <w:rPr>
                <w:rFonts w:hint="default" w:ascii="Times New Roman" w:hAnsi="Times New Roman" w:cs="Times New Roman"/>
                <w:b w:val="0"/>
                <w:bCs w:val="0"/>
                <w:color w:val="auto"/>
                <w:sz w:val="24"/>
                <w:szCs w:val="24"/>
                <w:highlight w:val="none"/>
                <w:lang w:val="en-US" w:eastAsia="zh-CN"/>
              </w:rPr>
              <w:t>3</w:t>
            </w:r>
            <w:r>
              <w:rPr>
                <w:rFonts w:hint="eastAsia" w:cs="Times New Roman"/>
                <w:b w:val="0"/>
                <w:bCs w:val="0"/>
                <w:color w:val="auto"/>
                <w:sz w:val="24"/>
                <w:szCs w:val="24"/>
                <w:highlight w:val="none"/>
                <w:lang w:val="en-US" w:eastAsia="zh-CN"/>
              </w:rPr>
              <w:t>483</w:t>
            </w:r>
            <w:r>
              <w:rPr>
                <w:rFonts w:hint="default" w:ascii="Times New Roman" w:hAnsi="Times New Roman" w:eastAsia="宋体" w:cs="Times New Roman"/>
                <w:b w:val="0"/>
                <w:bCs w:val="0"/>
                <w:color w:val="auto"/>
                <w:sz w:val="24"/>
                <w:szCs w:val="24"/>
                <w:highlight w:val="none"/>
              </w:rPr>
              <w:t>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/a，项目</w:t>
            </w:r>
            <w:r>
              <w:rPr>
                <w:rFonts w:hint="default" w:ascii="Times New Roman" w:hAnsi="Times New Roman" w:eastAsia="宋体" w:cs="Times New Roman"/>
                <w:b w:val="0"/>
                <w:bCs w:val="0"/>
                <w:color w:val="auto"/>
                <w:sz w:val="24"/>
                <w:szCs w:val="24"/>
                <w:highlight w:val="none"/>
                <w:lang w:val="en-US" w:eastAsia="zh-CN"/>
              </w:rPr>
              <w:t>废水</w:t>
            </w:r>
            <w:r>
              <w:rPr>
                <w:rFonts w:hint="default" w:ascii="Times New Roman" w:hAnsi="Times New Roman" w:eastAsia="宋体" w:cs="Times New Roman"/>
                <w:b w:val="0"/>
                <w:bCs w:val="0"/>
                <w:color w:val="auto"/>
                <w:sz w:val="24"/>
                <w:szCs w:val="24"/>
                <w:highlight w:val="none"/>
              </w:rPr>
              <w:t>经厂内</w:t>
            </w:r>
            <w:r>
              <w:rPr>
                <w:rFonts w:hint="eastAsia" w:cs="Times New Roman"/>
                <w:b w:val="0"/>
                <w:bCs w:val="0"/>
                <w:color w:val="auto"/>
                <w:sz w:val="24"/>
                <w:szCs w:val="24"/>
                <w:highlight w:val="none"/>
                <w:lang w:val="en-US" w:eastAsia="zh-CN"/>
              </w:rPr>
              <w:t>隔油池、</w:t>
            </w:r>
            <w:r>
              <w:rPr>
                <w:rFonts w:hint="default" w:ascii="Times New Roman" w:hAnsi="Times New Roman" w:eastAsia="宋体" w:cs="Times New Roman"/>
                <w:b w:val="0"/>
                <w:bCs w:val="0"/>
                <w:color w:val="auto"/>
                <w:sz w:val="24"/>
                <w:szCs w:val="24"/>
                <w:highlight w:val="none"/>
              </w:rPr>
              <w:t>化粪池</w:t>
            </w:r>
            <w:r>
              <w:rPr>
                <w:rFonts w:hint="default" w:ascii="Times New Roman" w:hAnsi="Times New Roman" w:eastAsia="宋体" w:cs="Times New Roman"/>
                <w:b w:val="0"/>
                <w:bCs w:val="0"/>
                <w:color w:val="auto"/>
                <w:sz w:val="24"/>
                <w:szCs w:val="24"/>
                <w:highlight w:val="none"/>
                <w:lang w:val="en-US" w:eastAsia="zh-CN"/>
              </w:rPr>
              <w:t>及自建污水处理设备</w:t>
            </w:r>
            <w:r>
              <w:rPr>
                <w:rFonts w:hint="default" w:ascii="Times New Roman" w:hAnsi="Times New Roman" w:eastAsia="宋体" w:cs="Times New Roman"/>
                <w:b w:val="0"/>
                <w:bCs w:val="0"/>
                <w:color w:val="auto"/>
                <w:sz w:val="24"/>
                <w:szCs w:val="24"/>
                <w:highlight w:val="none"/>
              </w:rPr>
              <w:t>预处理后排入</w:t>
            </w:r>
            <w:r>
              <w:rPr>
                <w:rFonts w:hint="default" w:ascii="Times New Roman" w:hAnsi="Times New Roman" w:cs="Times New Roman"/>
                <w:b w:val="0"/>
                <w:bCs w:val="0"/>
                <w:color w:val="auto"/>
                <w:kern w:val="0"/>
                <w:sz w:val="24"/>
                <w:szCs w:val="24"/>
                <w:highlight w:val="none"/>
                <w:lang w:val="en-US" w:eastAsia="zh-CN"/>
              </w:rPr>
              <w:t>华林镇</w:t>
            </w:r>
            <w:r>
              <w:rPr>
                <w:rFonts w:hint="default" w:ascii="Times New Roman" w:hAnsi="Times New Roman" w:eastAsia="宋体" w:cs="Times New Roman"/>
                <w:b w:val="0"/>
                <w:bCs w:val="0"/>
                <w:color w:val="auto"/>
                <w:sz w:val="24"/>
                <w:szCs w:val="24"/>
                <w:highlight w:val="none"/>
              </w:rPr>
              <w:t>污水处理厂，经污水处理厂处理达《城镇污水处理厂污染物排放标准》（GB18918-2002）中一级</w:t>
            </w:r>
            <w:r>
              <w:rPr>
                <w:rFonts w:hint="default" w:ascii="Times New Roman" w:hAnsi="Times New Roman" w:eastAsia="宋体" w:cs="Times New Roman"/>
                <w:b w:val="0"/>
                <w:bCs w:val="0"/>
                <w:color w:val="auto"/>
                <w:sz w:val="24"/>
                <w:szCs w:val="24"/>
                <w:highlight w:val="none"/>
                <w:lang w:val="en-US" w:eastAsia="zh-CN"/>
              </w:rPr>
              <w:t>A</w:t>
            </w:r>
            <w:r>
              <w:rPr>
                <w:rFonts w:hint="default" w:ascii="Times New Roman" w:hAnsi="Times New Roman" w:eastAsia="宋体" w:cs="Times New Roman"/>
                <w:b w:val="0"/>
                <w:bCs w:val="0"/>
                <w:color w:val="auto"/>
                <w:sz w:val="24"/>
                <w:szCs w:val="24"/>
                <w:highlight w:val="none"/>
              </w:rPr>
              <w:t>标准后，排</w:t>
            </w:r>
            <w:r>
              <w:rPr>
                <w:rFonts w:hint="default" w:ascii="Times New Roman" w:hAnsi="Times New Roman" w:eastAsia="宋体" w:cs="Times New Roman"/>
                <w:b w:val="0"/>
                <w:bCs w:val="0"/>
                <w:color w:val="auto"/>
                <w:sz w:val="24"/>
                <w:szCs w:val="24"/>
                <w:highlight w:val="none"/>
                <w:lang w:val="en-US" w:eastAsia="zh-CN"/>
              </w:rPr>
              <w:t>入</w:t>
            </w:r>
            <w:r>
              <w:rPr>
                <w:rFonts w:hint="default" w:ascii="Times New Roman" w:hAnsi="Times New Roman" w:cs="Times New Roman"/>
                <w:b w:val="0"/>
                <w:bCs w:val="0"/>
                <w:color w:val="auto"/>
                <w:sz w:val="24"/>
                <w:szCs w:val="24"/>
                <w:highlight w:val="none"/>
                <w:lang w:val="en-US" w:eastAsia="zh-CN"/>
              </w:rPr>
              <w:t>鄱阳湖</w:t>
            </w:r>
            <w:r>
              <w:rPr>
                <w:rFonts w:hint="default" w:ascii="Times New Roman" w:hAnsi="Times New Roman" w:eastAsia="宋体" w:cs="Times New Roman"/>
                <w:b w:val="0"/>
                <w:bCs w:val="0"/>
                <w:color w:val="auto"/>
                <w:sz w:val="24"/>
                <w:szCs w:val="24"/>
                <w:highlight w:val="none"/>
              </w:rPr>
              <w:t>。其对应的CODcr、NH</w:t>
            </w:r>
            <w:r>
              <w:rPr>
                <w:rFonts w:hint="default" w:ascii="Times New Roman" w:hAnsi="Times New Roman" w:eastAsia="宋体" w:cs="Times New Roman"/>
                <w:b w:val="0"/>
                <w:bCs w:val="0"/>
                <w:color w:val="auto"/>
                <w:sz w:val="24"/>
                <w:szCs w:val="24"/>
                <w:highlight w:val="none"/>
                <w:vertAlign w:val="subscript"/>
              </w:rPr>
              <w:t>3</w:t>
            </w:r>
            <w:r>
              <w:rPr>
                <w:rFonts w:hint="default" w:ascii="Times New Roman" w:hAnsi="Times New Roman" w:eastAsia="宋体" w:cs="Times New Roman"/>
                <w:b w:val="0"/>
                <w:bCs w:val="0"/>
                <w:color w:val="auto"/>
                <w:sz w:val="24"/>
                <w:szCs w:val="24"/>
                <w:highlight w:val="none"/>
              </w:rPr>
              <w:t>-N</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TP、TN</w:t>
            </w:r>
            <w:r>
              <w:rPr>
                <w:rFonts w:hint="default" w:ascii="Times New Roman" w:hAnsi="Times New Roman" w:eastAsia="宋体" w:cs="Times New Roman"/>
                <w:b w:val="0"/>
                <w:bCs w:val="0"/>
                <w:color w:val="auto"/>
                <w:sz w:val="24"/>
                <w:szCs w:val="24"/>
                <w:highlight w:val="none"/>
              </w:rPr>
              <w:t>的排放浓度分别为：</w:t>
            </w:r>
            <w:r>
              <w:rPr>
                <w:rFonts w:hint="default" w:ascii="Times New Roman" w:hAnsi="Times New Roman" w:eastAsia="宋体" w:cs="Times New Roman"/>
                <w:b w:val="0"/>
                <w:bCs w:val="0"/>
                <w:color w:val="auto"/>
                <w:sz w:val="24"/>
                <w:szCs w:val="24"/>
                <w:highlight w:val="none"/>
                <w:lang w:val="en-US" w:eastAsia="zh-CN"/>
              </w:rPr>
              <w:t>50</w:t>
            </w:r>
            <w:r>
              <w:rPr>
                <w:rFonts w:hint="eastAsia"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rPr>
              <w:t>mg/L，</w:t>
            </w:r>
            <w:r>
              <w:rPr>
                <w:rFonts w:hint="default" w:ascii="Times New Roman" w:hAnsi="Times New Roman" w:eastAsia="宋体" w:cs="Times New Roman"/>
                <w:b w:val="0"/>
                <w:bCs w:val="0"/>
                <w:color w:val="auto"/>
                <w:sz w:val="24"/>
                <w:szCs w:val="24"/>
                <w:highlight w:val="none"/>
                <w:lang w:val="en-US" w:eastAsia="zh-CN"/>
              </w:rPr>
              <w:t>5</w:t>
            </w:r>
            <w:r>
              <w:rPr>
                <w:rFonts w:hint="eastAsia"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rPr>
              <w:t>mg/L</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0.5</w:t>
            </w:r>
            <w:r>
              <w:rPr>
                <w:rFonts w:hint="eastAsia"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rPr>
              <w:t>mg/L</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15</w:t>
            </w:r>
            <w:r>
              <w:rPr>
                <w:rFonts w:hint="eastAsia"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rPr>
              <w:t>mg/L</w:t>
            </w:r>
            <w:r>
              <w:rPr>
                <w:rFonts w:hint="default" w:ascii="Times New Roman" w:hAnsi="Times New Roman" w:eastAsia="宋体" w:cs="Times New Roman"/>
                <w:b w:val="0"/>
                <w:bCs w:val="0"/>
                <w:color w:val="auto"/>
                <w:sz w:val="24"/>
                <w:szCs w:val="24"/>
                <w:highlight w:val="none"/>
                <w:lang w:eastAsia="zh-CN"/>
              </w:rPr>
              <w:t>。</w:t>
            </w:r>
          </w:p>
          <w:p w14:paraId="31FC3BC5">
            <w:pPr>
              <w:spacing w:line="360" w:lineRule="auto"/>
              <w:ind w:firstLine="480" w:firstLineChars="200"/>
              <w:jc w:val="left"/>
              <w:textAlignment w:val="center"/>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则本项目总量控制指标计算如下：</w:t>
            </w:r>
          </w:p>
          <w:p w14:paraId="7B10536D">
            <w:pPr>
              <w:spacing w:line="360" w:lineRule="auto"/>
              <w:ind w:firstLine="480" w:firstLineChars="200"/>
              <w:jc w:val="left"/>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COD</w:t>
            </w:r>
            <w:r>
              <w:rPr>
                <w:rFonts w:hint="default" w:ascii="Times New Roman" w:hAnsi="Times New Roman" w:eastAsia="宋体" w:cs="Times New Roman"/>
                <w:color w:val="auto"/>
                <w:sz w:val="24"/>
                <w:szCs w:val="24"/>
                <w:highlight w:val="none"/>
                <w:vertAlign w:val="subscript"/>
              </w:rPr>
              <w:t>cr</w:t>
            </w:r>
            <w:r>
              <w:rPr>
                <w:rFonts w:hint="default" w:ascii="Times New Roman" w:hAnsi="Times New Roman" w:eastAsia="宋体" w:cs="Times New Roman"/>
                <w:color w:val="auto"/>
                <w:sz w:val="24"/>
                <w:szCs w:val="24"/>
                <w:highlight w:val="none"/>
              </w:rPr>
              <w:t>为：</w:t>
            </w:r>
            <w:r>
              <w:rPr>
                <w:rFonts w:hint="eastAsia" w:cs="Times New Roman"/>
                <w:b w:val="0"/>
                <w:bCs w:val="0"/>
                <w:color w:val="auto"/>
                <w:sz w:val="24"/>
                <w:szCs w:val="24"/>
                <w:highlight w:val="none"/>
                <w:lang w:val="en-US" w:eastAsia="zh-CN"/>
              </w:rPr>
              <w:t>3483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rPr>
              <w:t>÷1000000=</w:t>
            </w:r>
            <w:r>
              <w:rPr>
                <w:rFonts w:hint="default"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17415</w:t>
            </w:r>
            <w:r>
              <w:rPr>
                <w:rFonts w:hint="default" w:ascii="Times New Roman" w:hAnsi="Times New Roman" w:eastAsia="宋体" w:cs="Times New Roman"/>
                <w:color w:val="auto"/>
                <w:sz w:val="24"/>
                <w:szCs w:val="24"/>
                <w:highlight w:val="none"/>
              </w:rPr>
              <w:t>t/a</w:t>
            </w:r>
            <w:r>
              <w:rPr>
                <w:rFonts w:hint="default" w:ascii="Times New Roman" w:hAnsi="Times New Roman" w:cs="Times New Roman"/>
                <w:color w:val="auto"/>
                <w:sz w:val="24"/>
                <w:szCs w:val="24"/>
                <w:highlight w:val="none"/>
                <w:lang w:val="en-US" w:eastAsia="zh-CN"/>
              </w:rPr>
              <w:t>≈0.17</w:t>
            </w:r>
            <w:r>
              <w:rPr>
                <w:rFonts w:hint="eastAsia" w:cs="Times New Roman"/>
                <w:color w:val="auto"/>
                <w:sz w:val="24"/>
                <w:szCs w:val="24"/>
                <w:highlight w:val="none"/>
                <w:lang w:val="en-US" w:eastAsia="zh-CN"/>
              </w:rPr>
              <w:t>42</w:t>
            </w:r>
            <w:r>
              <w:rPr>
                <w:rFonts w:hint="default" w:ascii="Times New Roman" w:hAnsi="Times New Roman" w:eastAsia="宋体" w:cs="Times New Roman"/>
                <w:color w:val="auto"/>
                <w:sz w:val="24"/>
                <w:szCs w:val="24"/>
                <w:highlight w:val="none"/>
              </w:rPr>
              <w:t>t/a</w:t>
            </w:r>
          </w:p>
          <w:p w14:paraId="7047FF95">
            <w:pPr>
              <w:spacing w:line="360" w:lineRule="auto"/>
              <w:ind w:firstLine="480" w:firstLineChars="200"/>
              <w:jc w:val="left"/>
              <w:textAlignment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-N为：</w:t>
            </w:r>
            <w:r>
              <w:rPr>
                <w:rFonts w:hint="eastAsia" w:cs="Times New Roman"/>
                <w:b w:val="0"/>
                <w:bCs w:val="0"/>
                <w:color w:val="auto"/>
                <w:sz w:val="24"/>
                <w:szCs w:val="24"/>
                <w:highlight w:val="none"/>
                <w:lang w:val="en-US" w:eastAsia="zh-CN"/>
              </w:rPr>
              <w:t>3483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÷1000000=</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17415</w:t>
            </w:r>
            <w:r>
              <w:rPr>
                <w:rFonts w:hint="default" w:ascii="Times New Roman" w:hAnsi="Times New Roman" w:eastAsia="宋体" w:cs="Times New Roman"/>
                <w:color w:val="auto"/>
                <w:sz w:val="24"/>
                <w:szCs w:val="24"/>
                <w:highlight w:val="none"/>
              </w:rPr>
              <w:t>t/a</w:t>
            </w:r>
            <w:r>
              <w:rPr>
                <w:rFonts w:hint="default" w:ascii="Times New Roman" w:hAnsi="Times New Roman" w:cs="Times New Roman"/>
                <w:color w:val="auto"/>
                <w:sz w:val="24"/>
                <w:szCs w:val="24"/>
                <w:highlight w:val="none"/>
                <w:lang w:val="en-US" w:eastAsia="zh-CN"/>
              </w:rPr>
              <w:t>≈0.017</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t/a</w:t>
            </w:r>
          </w:p>
          <w:p w14:paraId="111FECDB">
            <w:pPr>
              <w:spacing w:line="360" w:lineRule="auto"/>
              <w:ind w:firstLine="480" w:firstLineChars="200"/>
              <w:jc w:val="left"/>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TN</w:t>
            </w:r>
            <w:r>
              <w:rPr>
                <w:rFonts w:hint="default" w:ascii="Times New Roman" w:hAnsi="Times New Roman" w:eastAsia="宋体" w:cs="Times New Roman"/>
                <w:color w:val="auto"/>
                <w:sz w:val="24"/>
                <w:szCs w:val="24"/>
                <w:highlight w:val="none"/>
              </w:rPr>
              <w:t>为：</w:t>
            </w:r>
            <w:r>
              <w:rPr>
                <w:rFonts w:hint="eastAsia" w:cs="Times New Roman"/>
                <w:b w:val="0"/>
                <w:bCs w:val="0"/>
                <w:color w:val="auto"/>
                <w:sz w:val="24"/>
                <w:szCs w:val="24"/>
                <w:highlight w:val="none"/>
                <w:lang w:val="en-US" w:eastAsia="zh-CN"/>
              </w:rPr>
              <w:t>3483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÷1000000=</w:t>
            </w:r>
            <w:r>
              <w:rPr>
                <w:rFonts w:hint="default" w:ascii="Times New Roman" w:hAnsi="Times New Roman" w:eastAsia="宋体" w:cs="Times New Roman"/>
                <w:color w:val="auto"/>
                <w:sz w:val="24"/>
                <w:szCs w:val="24"/>
                <w:highlight w:val="none"/>
                <w:lang w:val="en-US" w:eastAsia="zh-CN"/>
              </w:rPr>
              <w:t>0.05</w:t>
            </w:r>
            <w:r>
              <w:rPr>
                <w:rFonts w:hint="eastAsia" w:cs="Times New Roman"/>
                <w:color w:val="auto"/>
                <w:sz w:val="24"/>
                <w:szCs w:val="24"/>
                <w:highlight w:val="none"/>
                <w:lang w:val="en-US" w:eastAsia="zh-CN"/>
              </w:rPr>
              <w:t>2245</w:t>
            </w:r>
            <w:r>
              <w:rPr>
                <w:rFonts w:hint="default" w:ascii="Times New Roman" w:hAnsi="Times New Roman" w:eastAsia="宋体" w:cs="Times New Roman"/>
                <w:color w:val="auto"/>
                <w:sz w:val="24"/>
                <w:szCs w:val="24"/>
                <w:highlight w:val="none"/>
              </w:rPr>
              <w:t>t/a</w:t>
            </w:r>
            <w:r>
              <w:rPr>
                <w:rFonts w:hint="default" w:ascii="Times New Roman" w:hAnsi="Times New Roman" w:cs="Times New Roman"/>
                <w:color w:val="auto"/>
                <w:sz w:val="24"/>
                <w:szCs w:val="24"/>
                <w:highlight w:val="none"/>
                <w:lang w:val="en-US" w:eastAsia="zh-CN"/>
              </w:rPr>
              <w:t>≈0.0</w:t>
            </w:r>
            <w:r>
              <w:rPr>
                <w:rFonts w:hint="eastAsia" w:ascii="Times New Roman" w:hAnsi="Times New Roman" w:cs="Times New Roman"/>
                <w:color w:val="auto"/>
                <w:sz w:val="24"/>
                <w:szCs w:val="24"/>
                <w:highlight w:val="none"/>
                <w:lang w:val="en-US" w:eastAsia="zh-CN"/>
              </w:rPr>
              <w:t>522</w:t>
            </w:r>
            <w:r>
              <w:rPr>
                <w:rFonts w:hint="default" w:ascii="Times New Roman" w:hAnsi="Times New Roman" w:eastAsia="宋体" w:cs="Times New Roman"/>
                <w:color w:val="auto"/>
                <w:sz w:val="24"/>
                <w:szCs w:val="24"/>
                <w:highlight w:val="none"/>
              </w:rPr>
              <w:t>t/a</w:t>
            </w:r>
          </w:p>
          <w:p w14:paraId="75FC9432">
            <w:pPr>
              <w:spacing w:line="360" w:lineRule="auto"/>
              <w:ind w:firstLine="480" w:firstLineChars="200"/>
              <w:jc w:val="left"/>
              <w:textAlignment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eastAsia="zh-CN"/>
              </w:rPr>
              <w:t>TP</w:t>
            </w:r>
            <w:r>
              <w:rPr>
                <w:rFonts w:hint="default" w:ascii="Times New Roman" w:hAnsi="Times New Roman" w:eastAsia="宋体" w:cs="Times New Roman"/>
                <w:color w:val="auto"/>
                <w:sz w:val="24"/>
                <w:szCs w:val="24"/>
                <w:highlight w:val="none"/>
              </w:rPr>
              <w:t>为：</w:t>
            </w:r>
            <w:r>
              <w:rPr>
                <w:rFonts w:hint="eastAsia" w:cs="Times New Roman"/>
                <w:b w:val="0"/>
                <w:bCs w:val="0"/>
                <w:color w:val="auto"/>
                <w:sz w:val="24"/>
                <w:szCs w:val="24"/>
                <w:highlight w:val="none"/>
                <w:lang w:val="en-US" w:eastAsia="zh-CN"/>
              </w:rPr>
              <w:t>3483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0.5</w:t>
            </w:r>
            <w:r>
              <w:rPr>
                <w:rFonts w:hint="default" w:ascii="Times New Roman" w:hAnsi="Times New Roman" w:eastAsia="宋体" w:cs="Times New Roman"/>
                <w:color w:val="auto"/>
                <w:sz w:val="24"/>
                <w:szCs w:val="24"/>
                <w:highlight w:val="none"/>
              </w:rPr>
              <w:t>÷1000000=</w:t>
            </w:r>
            <w:r>
              <w:rPr>
                <w:rFonts w:hint="default" w:ascii="Times New Roman" w:hAnsi="Times New Roman" w:eastAsia="宋体" w:cs="Times New Roman"/>
                <w:color w:val="auto"/>
                <w:sz w:val="24"/>
                <w:szCs w:val="24"/>
                <w:highlight w:val="none"/>
                <w:lang w:val="en-US" w:eastAsia="zh-CN"/>
              </w:rPr>
              <w:t>0.001</w:t>
            </w:r>
            <w:r>
              <w:rPr>
                <w:rFonts w:hint="eastAsia" w:cs="Times New Roman"/>
                <w:color w:val="auto"/>
                <w:sz w:val="24"/>
                <w:szCs w:val="24"/>
                <w:highlight w:val="none"/>
                <w:lang w:val="en-US" w:eastAsia="zh-CN"/>
              </w:rPr>
              <w:t>7415</w:t>
            </w:r>
            <w:r>
              <w:rPr>
                <w:rFonts w:hint="default" w:ascii="Times New Roman" w:hAnsi="Times New Roman" w:eastAsia="宋体" w:cs="Times New Roman"/>
                <w:color w:val="auto"/>
                <w:sz w:val="24"/>
                <w:szCs w:val="24"/>
                <w:highlight w:val="none"/>
              </w:rPr>
              <w:t>t/a</w:t>
            </w:r>
            <w:r>
              <w:rPr>
                <w:rFonts w:hint="default" w:ascii="Times New Roman" w:hAnsi="Times New Roman" w:cs="Times New Roman"/>
                <w:color w:val="auto"/>
                <w:sz w:val="24"/>
                <w:szCs w:val="24"/>
                <w:highlight w:val="none"/>
                <w:lang w:val="en-US" w:eastAsia="zh-CN"/>
              </w:rPr>
              <w:t>≈0.0017</w:t>
            </w:r>
            <w:r>
              <w:rPr>
                <w:rFonts w:hint="default" w:ascii="Times New Roman" w:hAnsi="Times New Roman" w:eastAsia="宋体" w:cs="Times New Roman"/>
                <w:color w:val="auto"/>
                <w:sz w:val="24"/>
                <w:szCs w:val="24"/>
                <w:highlight w:val="none"/>
              </w:rPr>
              <w:t>t/a</w:t>
            </w:r>
          </w:p>
          <w:p w14:paraId="5A2DC117">
            <w:pPr>
              <w:spacing w:line="360" w:lineRule="auto"/>
              <w:ind w:firstLine="480" w:firstLineChars="200"/>
              <w:jc w:val="left"/>
              <w:textAlignment w:val="center"/>
              <w:rPr>
                <w:rFonts w:hint="default" w:ascii="Times New Roman" w:hAnsi="Times New Roman" w:eastAsia="宋体" w:cs="Times New Roman"/>
                <w:color w:val="auto"/>
                <w:sz w:val="24"/>
                <w:szCs w:val="24"/>
                <w:highlight w:val="none"/>
              </w:rPr>
            </w:pPr>
          </w:p>
          <w:p w14:paraId="285B51C4">
            <w:pPr>
              <w:adjustRightInd w:val="0"/>
              <w:snapToGrid w:val="0"/>
              <w:spacing w:line="360" w:lineRule="auto"/>
              <w:jc w:val="left"/>
              <w:rPr>
                <w:rFonts w:hint="default" w:ascii="Times New Roman" w:hAnsi="Times New Roman" w:cs="Times New Roman"/>
                <w:color w:val="auto"/>
                <w:kern w:val="0"/>
                <w:sz w:val="24"/>
              </w:rPr>
            </w:pPr>
          </w:p>
        </w:tc>
      </w:tr>
    </w:tbl>
    <w:p w14:paraId="5172FF26">
      <w:pPr>
        <w:pStyle w:val="16"/>
        <w:jc w:val="center"/>
        <w:outlineLvl w:val="0"/>
        <w:rPr>
          <w:rFonts w:ascii="Times New Roman" w:hAnsi="Times New Roman"/>
          <w:snapToGrid w:val="0"/>
          <w:color w:val="auto"/>
          <w:sz w:val="30"/>
          <w:szCs w:val="30"/>
        </w:rPr>
      </w:pPr>
      <w:r>
        <w:rPr>
          <w:rFonts w:ascii="Times New Roman" w:hAnsi="Times New Roman"/>
          <w:snapToGrid w:val="0"/>
          <w:color w:val="auto"/>
          <w:sz w:val="36"/>
          <w:szCs w:val="36"/>
        </w:rPr>
        <w:br w:type="page"/>
      </w:r>
      <w:bookmarkStart w:id="20" w:name="_Toc3509"/>
      <w:r>
        <w:rPr>
          <w:rFonts w:ascii="Times New Roman" w:hAnsi="Times New Roman"/>
          <w:snapToGrid w:val="0"/>
          <w:color w:val="auto"/>
          <w:sz w:val="30"/>
          <w:szCs w:val="30"/>
        </w:rPr>
        <w:t>四、</w:t>
      </w:r>
      <w:bookmarkStart w:id="21" w:name="_Hlk141865835"/>
      <w:r>
        <w:rPr>
          <w:rFonts w:ascii="Times New Roman" w:hAnsi="Times New Roman"/>
          <w:snapToGrid w:val="0"/>
          <w:color w:val="auto"/>
          <w:sz w:val="30"/>
          <w:szCs w:val="30"/>
        </w:rPr>
        <w:t>主要环境影响和保护措施</w:t>
      </w:r>
      <w:bookmarkEnd w:id="20"/>
    </w:p>
    <w:tbl>
      <w:tblPr>
        <w:tblStyle w:val="17"/>
        <w:tblW w:w="89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35"/>
        <w:gridCol w:w="8545"/>
      </w:tblGrid>
      <w:tr w14:paraId="340AF0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94" w:hRule="atLeast"/>
          <w:jc w:val="center"/>
        </w:trPr>
        <w:tc>
          <w:tcPr>
            <w:tcW w:w="435" w:type="dxa"/>
            <w:tcMar>
              <w:left w:w="28" w:type="dxa"/>
              <w:right w:w="28" w:type="dxa"/>
            </w:tcMar>
            <w:vAlign w:val="center"/>
          </w:tcPr>
          <w:p w14:paraId="7D6647D4">
            <w:pPr>
              <w:pStyle w:val="16"/>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施工</w:t>
            </w:r>
          </w:p>
          <w:p w14:paraId="79BE26EE">
            <w:pPr>
              <w:pStyle w:val="16"/>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期环</w:t>
            </w:r>
          </w:p>
          <w:p w14:paraId="09312864">
            <w:pPr>
              <w:pStyle w:val="16"/>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境保</w:t>
            </w:r>
          </w:p>
          <w:p w14:paraId="00DBADD6">
            <w:pPr>
              <w:pStyle w:val="16"/>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护措</w:t>
            </w:r>
          </w:p>
          <w:p w14:paraId="615FC432">
            <w:pPr>
              <w:pStyle w:val="16"/>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color w:val="auto"/>
                <w:kern w:val="2"/>
                <w:szCs w:val="24"/>
              </w:rPr>
              <w:t>施</w:t>
            </w:r>
          </w:p>
        </w:tc>
        <w:tc>
          <w:tcPr>
            <w:tcW w:w="8545" w:type="dxa"/>
            <w:vAlign w:val="center"/>
          </w:tcPr>
          <w:p w14:paraId="78B95842">
            <w:pPr>
              <w:snapToGrid w:val="0"/>
              <w:spacing w:line="360" w:lineRule="auto"/>
              <w:ind w:firstLine="480" w:firstLineChars="200"/>
              <w:rPr>
                <w:rFonts w:hint="default" w:ascii="Times New Roman" w:hAnsi="Times New Roman" w:cs="Times New Roman"/>
                <w:color w:val="auto"/>
                <w:sz w:val="24"/>
                <w:szCs w:val="24"/>
                <w:u w:val="none"/>
                <w:lang w:val="en-US" w:eastAsia="zh-CN"/>
              </w:rPr>
            </w:pPr>
            <w:r>
              <w:rPr>
                <w:rFonts w:hint="eastAsia" w:ascii="Times New Roman" w:hAnsi="Times New Roman" w:eastAsia="宋体"/>
                <w:color w:val="auto"/>
                <w:sz w:val="24"/>
                <w:vertAlign w:val="baseline"/>
                <w:lang w:val="en-US" w:eastAsia="zh-CN"/>
              </w:rPr>
              <w:t>本项目位于</w:t>
            </w:r>
            <w:r>
              <w:rPr>
                <w:rFonts w:ascii="Helvetica" w:hAnsi="Helvetica" w:eastAsia="Helvetica" w:cs="Helvetica"/>
                <w:color w:val="auto"/>
                <w:sz w:val="24"/>
                <w:shd w:val="clear" w:color="auto" w:fill="FFFFFF"/>
              </w:rPr>
              <w:t>江西省九江市庐山市</w:t>
            </w:r>
            <w:r>
              <w:rPr>
                <w:rFonts w:hint="eastAsia" w:ascii="Helvetica" w:hAnsi="Helvetica" w:eastAsia="宋体" w:cs="Helvetica"/>
                <w:color w:val="auto"/>
                <w:sz w:val="24"/>
                <w:shd w:val="clear" w:color="auto" w:fill="FFFFFF"/>
                <w:lang w:eastAsia="zh-CN"/>
              </w:rPr>
              <w:t>华林镇华林街西南侧</w:t>
            </w:r>
            <w:r>
              <w:rPr>
                <w:rFonts w:hint="eastAsia" w:ascii="Times New Roman" w:hAnsi="Times New Roman" w:eastAsia="宋体" w:cs="Times New Roman"/>
                <w:color w:val="auto"/>
                <w:kern w:val="2"/>
                <w:sz w:val="24"/>
                <w:szCs w:val="24"/>
                <w:lang w:val="en-US" w:eastAsia="zh-CN" w:bidi="ar-SA"/>
              </w:rPr>
              <w:t>（地理中心坐标：</w:t>
            </w:r>
            <w:r>
              <w:rPr>
                <w:color w:val="auto"/>
                <w:sz w:val="24"/>
              </w:rPr>
              <w:t>经度：115°5</w:t>
            </w:r>
            <w:r>
              <w:rPr>
                <w:rFonts w:hint="eastAsia"/>
                <w:color w:val="auto"/>
                <w:sz w:val="24"/>
              </w:rPr>
              <w:t>6</w:t>
            </w:r>
            <w:r>
              <w:rPr>
                <w:color w:val="auto"/>
                <w:sz w:val="24"/>
              </w:rPr>
              <w:t>′</w:t>
            </w:r>
            <w:r>
              <w:rPr>
                <w:rFonts w:hint="eastAsia"/>
                <w:color w:val="auto"/>
                <w:sz w:val="24"/>
                <w:lang w:eastAsia="zh-CN"/>
              </w:rPr>
              <w:t>57.709</w:t>
            </w:r>
            <w:r>
              <w:rPr>
                <w:color w:val="auto"/>
                <w:sz w:val="24"/>
              </w:rPr>
              <w:t>"，纬度：29°</w:t>
            </w:r>
            <w:r>
              <w:rPr>
                <w:rFonts w:hint="eastAsia"/>
                <w:color w:val="auto"/>
                <w:sz w:val="24"/>
              </w:rPr>
              <w:t>22</w:t>
            </w:r>
            <w:r>
              <w:rPr>
                <w:color w:val="auto"/>
                <w:sz w:val="24"/>
              </w:rPr>
              <w:t>′</w:t>
            </w:r>
            <w:r>
              <w:rPr>
                <w:rFonts w:hint="eastAsia"/>
                <w:color w:val="auto"/>
                <w:sz w:val="24"/>
              </w:rPr>
              <w:t>2.946</w:t>
            </w:r>
            <w:r>
              <w:rPr>
                <w:color w:val="auto"/>
                <w:sz w:val="24"/>
              </w:rPr>
              <w:t>"</w:t>
            </w:r>
            <w:r>
              <w:rPr>
                <w:rFonts w:hint="eastAsia" w:ascii="Times New Roman" w:hAnsi="Times New Roman" w:eastAsia="宋体" w:cs="Times New Roman"/>
                <w:i w:val="0"/>
                <w:iCs w:val="0"/>
                <w:color w:val="auto"/>
                <w:sz w:val="24"/>
                <w:szCs w:val="24"/>
                <w:u w:val="none"/>
                <w:lang w:val="en-US" w:eastAsia="zh-CN"/>
              </w:rPr>
              <w:t>）</w:t>
            </w:r>
            <w:r>
              <w:rPr>
                <w:rFonts w:hint="eastAsia" w:ascii="Times New Roman" w:hAnsi="Times New Roman" w:eastAsia="宋体" w:cs="Times New Roman"/>
                <w:color w:val="auto"/>
                <w:sz w:val="24"/>
                <w:lang w:val="en-US" w:eastAsia="zh-CN"/>
              </w:rPr>
              <w:t>。</w:t>
            </w:r>
            <w:r>
              <w:rPr>
                <w:rFonts w:hint="eastAsia" w:ascii="Times New Roman" w:hAnsi="Times New Roman" w:cs="Times New Roman"/>
                <w:color w:val="auto"/>
                <w:sz w:val="24"/>
                <w:szCs w:val="24"/>
                <w:u w:val="none"/>
                <w:lang w:val="en-US" w:eastAsia="zh-CN"/>
              </w:rPr>
              <w:t>本项目</w:t>
            </w:r>
            <w:r>
              <w:rPr>
                <w:rFonts w:hint="eastAsia" w:cs="Times New Roman"/>
                <w:color w:val="auto"/>
                <w:sz w:val="24"/>
                <w:szCs w:val="24"/>
                <w:u w:val="none"/>
                <w:lang w:val="en-US" w:eastAsia="zh-CN"/>
              </w:rPr>
              <w:t>为改造工程</w:t>
            </w:r>
            <w:r>
              <w:rPr>
                <w:rFonts w:hint="eastAsia" w:ascii="Times New Roman" w:hAnsi="Times New Roman" w:cs="Times New Roman"/>
                <w:color w:val="auto"/>
                <w:sz w:val="24"/>
                <w:szCs w:val="24"/>
                <w:u w:val="none"/>
                <w:lang w:val="en-US" w:eastAsia="zh-CN"/>
              </w:rPr>
              <w:t>，</w:t>
            </w:r>
            <w:r>
              <w:rPr>
                <w:rFonts w:hint="eastAsia" w:cs="Times New Roman"/>
                <w:color w:val="auto"/>
                <w:sz w:val="24"/>
                <w:szCs w:val="24"/>
                <w:u w:val="none"/>
                <w:lang w:val="en-US" w:eastAsia="zh-CN"/>
              </w:rPr>
              <w:t>目前改造工程未实施。</w:t>
            </w:r>
            <w:r>
              <w:rPr>
                <w:rFonts w:hint="default" w:ascii="Times New Roman" w:hAnsi="Times New Roman" w:cs="Times New Roman"/>
                <w:color w:val="auto"/>
                <w:sz w:val="24"/>
                <w:szCs w:val="24"/>
                <w:u w:val="none"/>
                <w:lang w:val="en-US" w:eastAsia="zh-CN"/>
              </w:rPr>
              <w:t>施工活动将产生噪声、废气或扬尘、废水以及建筑和生活垃圾等环境污染因子，同时施工期对项目周围生态环境有轻度和短暂的影响。</w:t>
            </w:r>
            <w:r>
              <w:rPr>
                <w:rFonts w:hint="eastAsia" w:ascii="Times New Roman" w:hAnsi="Times New Roman" w:cs="Times New Roman"/>
                <w:color w:val="auto"/>
                <w:sz w:val="24"/>
                <w:szCs w:val="24"/>
                <w:u w:val="none"/>
                <w:lang w:val="en-US" w:eastAsia="zh-CN"/>
              </w:rPr>
              <w:t>以下简单</w:t>
            </w:r>
            <w:r>
              <w:rPr>
                <w:rFonts w:hint="default" w:ascii="Times New Roman" w:hAnsi="Times New Roman" w:cs="Times New Roman"/>
                <w:color w:val="auto"/>
                <w:sz w:val="24"/>
                <w:szCs w:val="24"/>
                <w:u w:val="none"/>
                <w:lang w:val="en-US" w:eastAsia="zh-CN"/>
              </w:rPr>
              <w:t>叙述施工期间的污染预防治理措施。</w:t>
            </w:r>
          </w:p>
          <w:p w14:paraId="684F051B">
            <w:pPr>
              <w:pStyle w:val="8"/>
              <w:ind w:left="0" w:leftChars="0" w:firstLine="480" w:firstLineChars="200"/>
              <w:rPr>
                <w:rFonts w:hint="default"/>
                <w:b/>
                <w:bCs/>
                <w:color w:val="auto"/>
                <w:sz w:val="24"/>
                <w:szCs w:val="24"/>
                <w:lang w:val="en-US" w:eastAsia="zh-CN"/>
              </w:rPr>
            </w:pPr>
            <w:r>
              <w:rPr>
                <w:rFonts w:hint="eastAsia" w:ascii="Times New Roman" w:hAnsi="Times New Roman" w:cs="Times New Roman"/>
                <w:b/>
                <w:bCs/>
                <w:color w:val="auto"/>
                <w:sz w:val="24"/>
                <w:szCs w:val="24"/>
                <w:u w:val="none"/>
                <w:lang w:val="en-US" w:eastAsia="zh-CN"/>
              </w:rPr>
              <w:t>1、废气保护措施</w:t>
            </w:r>
          </w:p>
          <w:p w14:paraId="033B8CF3">
            <w:pPr>
              <w:adjustRightInd w:val="0"/>
              <w:snapToGrid w:val="0"/>
              <w:spacing w:line="360" w:lineRule="auto"/>
              <w:ind w:firstLine="480" w:firstLineChars="200"/>
              <w:rPr>
                <w:rFonts w:hint="default" w:ascii="Times New Roman" w:hAnsi="Times New Roman" w:eastAsia="宋体" w:cs="Times New Roman"/>
                <w:color w:val="auto"/>
                <w:sz w:val="24"/>
                <w:szCs w:val="32"/>
                <w:lang w:val="en-US" w:eastAsia="zh-CN"/>
              </w:rPr>
            </w:pPr>
            <w:r>
              <w:rPr>
                <w:rFonts w:hint="default" w:ascii="Times New Roman" w:hAnsi="Times New Roman" w:eastAsia="宋体" w:cs="Times New Roman"/>
                <w:color w:val="auto"/>
                <w:sz w:val="24"/>
                <w:szCs w:val="32"/>
                <w:lang w:val="en-US" w:eastAsia="zh-CN"/>
              </w:rPr>
              <w:t>本项目施工期废气主要为车辆行驶扬尘、施工扬尘、施工运输车辆尾气、施工机械排放的废气。</w:t>
            </w:r>
          </w:p>
          <w:p w14:paraId="76697290">
            <w:pPr>
              <w:adjustRightInd w:val="0"/>
              <w:snapToGrid w:val="0"/>
              <w:spacing w:line="360" w:lineRule="auto"/>
              <w:ind w:firstLine="480" w:firstLineChars="200"/>
              <w:rPr>
                <w:rFonts w:hint="default" w:ascii="Times New Roman" w:hAnsi="Times New Roman" w:eastAsia="宋体" w:cs="Times New Roman"/>
                <w:color w:val="auto"/>
                <w:sz w:val="24"/>
                <w:szCs w:val="32"/>
                <w:lang w:val="en-US" w:eastAsia="zh-CN"/>
              </w:rPr>
            </w:pPr>
            <w:r>
              <w:rPr>
                <w:rFonts w:hint="default" w:ascii="Times New Roman" w:hAnsi="Times New Roman" w:eastAsia="宋体" w:cs="Times New Roman"/>
                <w:color w:val="auto"/>
                <w:sz w:val="24"/>
                <w:szCs w:val="32"/>
                <w:lang w:val="en-US" w:eastAsia="zh-CN"/>
              </w:rPr>
              <w:t>（1）车辆行驶扬尘</w:t>
            </w:r>
          </w:p>
          <w:p w14:paraId="27C3BEA0">
            <w:pPr>
              <w:adjustRightInd w:val="0"/>
              <w:snapToGrid w:val="0"/>
              <w:spacing w:line="360" w:lineRule="auto"/>
              <w:ind w:firstLine="480" w:firstLineChars="200"/>
              <w:rPr>
                <w:rFonts w:hint="default" w:ascii="Times New Roman" w:hAnsi="Times New Roman" w:eastAsia="宋体" w:cs="Times New Roman"/>
                <w:color w:val="auto"/>
                <w:sz w:val="24"/>
                <w:szCs w:val="32"/>
                <w:lang w:val="en-US" w:eastAsia="zh-CN"/>
              </w:rPr>
            </w:pPr>
            <w:r>
              <w:rPr>
                <w:rFonts w:hint="default" w:ascii="Times New Roman" w:hAnsi="Times New Roman" w:eastAsia="宋体" w:cs="Times New Roman"/>
                <w:color w:val="auto"/>
                <w:sz w:val="24"/>
                <w:szCs w:val="32"/>
                <w:lang w:val="en-US" w:eastAsia="zh-CN"/>
              </w:rPr>
              <w:t>施工过程中，车辆行驶产生的扬尘占总扬尘的60%以上，在路面同样清洁程度下，车速越快，扬程量越大；而在同样车速情况下，路面越脏，扬程量越大。在施工期间对车辆行驶的路面实施洒水抑尘，每天洒水4～5次，可有效地控制施工扬尘，可将PM</w:t>
            </w:r>
            <w:r>
              <w:rPr>
                <w:rFonts w:hint="default" w:ascii="Times New Roman" w:hAnsi="Times New Roman" w:eastAsia="宋体" w:cs="Times New Roman"/>
                <w:color w:val="auto"/>
                <w:sz w:val="24"/>
                <w:szCs w:val="32"/>
                <w:vertAlign w:val="subscript"/>
                <w:lang w:val="en-US" w:eastAsia="zh-CN"/>
              </w:rPr>
              <w:t>10</w:t>
            </w:r>
            <w:r>
              <w:rPr>
                <w:rFonts w:hint="default" w:ascii="Times New Roman" w:hAnsi="Times New Roman" w:eastAsia="宋体" w:cs="Times New Roman"/>
                <w:color w:val="auto"/>
                <w:sz w:val="24"/>
                <w:szCs w:val="32"/>
                <w:lang w:val="en-US" w:eastAsia="zh-CN"/>
              </w:rPr>
              <w:t>的污染距离缩小到20～50m范围，即在此范围内的区域扬尘较为明显，但仍属于局部性短期污染，不会对区域环境空气质量产生长期的、不可恢复的危害影响。</w:t>
            </w:r>
          </w:p>
          <w:p w14:paraId="05F27589">
            <w:pPr>
              <w:adjustRightInd w:val="0"/>
              <w:snapToGrid w:val="0"/>
              <w:spacing w:line="360" w:lineRule="auto"/>
              <w:ind w:firstLine="480" w:firstLineChars="200"/>
              <w:rPr>
                <w:rFonts w:hint="default" w:ascii="Times New Roman" w:hAnsi="Times New Roman" w:eastAsia="宋体" w:cs="Times New Roman"/>
                <w:color w:val="auto"/>
                <w:sz w:val="24"/>
                <w:szCs w:val="32"/>
                <w:lang w:val="en-US" w:eastAsia="zh-CN"/>
              </w:rPr>
            </w:pPr>
            <w:r>
              <w:rPr>
                <w:rFonts w:hint="default" w:ascii="Times New Roman" w:hAnsi="Times New Roman" w:eastAsia="宋体" w:cs="Times New Roman"/>
                <w:color w:val="auto"/>
                <w:sz w:val="24"/>
                <w:szCs w:val="32"/>
                <w:lang w:val="en-US" w:eastAsia="zh-CN"/>
              </w:rPr>
              <w:t>（2）施工扬尘</w:t>
            </w:r>
          </w:p>
          <w:p w14:paraId="2B8DB184">
            <w:pPr>
              <w:adjustRightInd w:val="0"/>
              <w:snapToGrid w:val="0"/>
              <w:spacing w:line="360" w:lineRule="auto"/>
              <w:ind w:firstLine="480" w:firstLineChars="200"/>
              <w:rPr>
                <w:rFonts w:hint="default" w:ascii="Times New Roman" w:hAnsi="Times New Roman" w:eastAsia="宋体" w:cs="Times New Roman"/>
                <w:color w:val="auto"/>
                <w:sz w:val="24"/>
                <w:szCs w:val="32"/>
                <w:lang w:val="en-US" w:eastAsia="zh-CN"/>
              </w:rPr>
            </w:pPr>
            <w:r>
              <w:rPr>
                <w:rFonts w:hint="default" w:ascii="Times New Roman" w:hAnsi="Times New Roman" w:eastAsia="宋体" w:cs="Times New Roman"/>
                <w:color w:val="auto"/>
                <w:sz w:val="24"/>
                <w:szCs w:val="32"/>
                <w:lang w:val="en-US" w:eastAsia="zh-CN"/>
              </w:rPr>
              <w:t>施工阶段扬尘的另一个主要来源是露天堆场的风力扬尘。由于施工需要，一些建筑材料需要露天堆放，一些施工作业点的表层土壤在经过人工开挖后，临时堆放于露天，在气候干燥且有风的情况下，会产生大量的扬尘。考虑到项目施工现场土壤湿度大，大颗粒在大气中会很快沉降地面等特点，经类比调查，在采取适当防护措施后，施工区域扬尘浓度将在50m以内超标。若不采取防护措施，施工扬尘超标影响范围为150m。</w:t>
            </w:r>
          </w:p>
          <w:p w14:paraId="5F324182">
            <w:pPr>
              <w:pStyle w:val="27"/>
              <w:ind w:firstLine="480"/>
              <w:rPr>
                <w:rFonts w:hint="default" w:ascii="Times New Roman" w:hAnsi="Times New Roman" w:cs="Times New Roman"/>
                <w:color w:val="auto"/>
                <w:sz w:val="24"/>
                <w:szCs w:val="24"/>
                <w:u w:val="none"/>
              </w:rPr>
            </w:pPr>
            <w:r>
              <w:rPr>
                <w:rFonts w:hint="default" w:ascii="Times New Roman" w:hAnsi="Times New Roman" w:eastAsia="宋体" w:cs="Times New Roman"/>
                <w:color w:val="auto"/>
                <w:kern w:val="2"/>
                <w:sz w:val="24"/>
                <w:szCs w:val="32"/>
                <w:lang w:val="en-US" w:eastAsia="zh-CN" w:bidi="ar-SA"/>
              </w:rPr>
              <w:t>为减少施工扬尘对外环境的影响，本评价要求严格执行建筑施工管理的</w:t>
            </w:r>
            <w:r>
              <w:rPr>
                <w:rFonts w:hint="eastAsia" w:ascii="Times New Roman" w:hAnsi="Times New Roman" w:eastAsia="宋体" w:cs="Times New Roman"/>
                <w:color w:val="auto"/>
                <w:kern w:val="2"/>
                <w:sz w:val="24"/>
                <w:szCs w:val="32"/>
                <w:lang w:val="en-US" w:eastAsia="zh-CN" w:bidi="ar-SA"/>
              </w:rPr>
              <w:t>8个百分百</w:t>
            </w:r>
            <w:r>
              <w:rPr>
                <w:rFonts w:hint="default" w:ascii="Times New Roman" w:hAnsi="Times New Roman" w:eastAsia="宋体" w:cs="Times New Roman"/>
                <w:color w:val="auto"/>
                <w:kern w:val="2"/>
                <w:sz w:val="24"/>
                <w:szCs w:val="32"/>
                <w:lang w:val="en-US" w:eastAsia="zh-CN" w:bidi="ar-SA"/>
              </w:rPr>
              <w:t>要求：①施工工地现场围挡和外架防护100%全封闭；</w:t>
            </w:r>
            <w:r>
              <w:rPr>
                <w:rFonts w:hint="default" w:ascii="Times New Roman" w:hAnsi="Times New Roman" w:cs="Times New Roman"/>
                <w:color w:val="auto"/>
                <w:sz w:val="24"/>
                <w:szCs w:val="24"/>
                <w:u w:val="none"/>
              </w:rPr>
              <w:t>②施工现场出入口及车行道路100%硬化；③施工现场出入口100%设置车辆冲洗设施；④易起扬尘作业面100%湿法施工；⑤裸露黄土及易起尘物料100%覆盖；⑥渣土实施100%密封运输；⑦建筑垃圾100%规范管理，必须集中堆放、及时清运，严禁高空抛洒和焚烧；⑧非道路移动工程机械尾气排放100%达标，严禁使用劣质油品，严禁冒烟作业。</w:t>
            </w:r>
          </w:p>
          <w:p w14:paraId="11AF3EFC">
            <w:pPr>
              <w:adjustRightInd w:val="0"/>
              <w:snapToGrid w:val="0"/>
              <w:spacing w:line="360" w:lineRule="auto"/>
              <w:ind w:firstLine="480" w:firstLineChars="200"/>
              <w:rPr>
                <w:rFonts w:hint="default" w:ascii="Times New Roman" w:hAnsi="Times New Roman" w:eastAsia="宋体" w:cs="Times New Roman"/>
                <w:color w:val="auto"/>
                <w:sz w:val="24"/>
                <w:szCs w:val="32"/>
                <w:lang w:val="en-US" w:eastAsia="zh-CN"/>
              </w:rPr>
            </w:pPr>
            <w:r>
              <w:rPr>
                <w:rFonts w:hint="default" w:ascii="Times New Roman" w:hAnsi="Times New Roman" w:eastAsia="宋体" w:cs="Times New Roman"/>
                <w:color w:val="auto"/>
                <w:sz w:val="24"/>
                <w:szCs w:val="32"/>
                <w:lang w:val="en-US" w:eastAsia="zh-CN"/>
              </w:rPr>
              <w:t>采取上述措施后，项目扬尘对周边环境影响较小。</w:t>
            </w:r>
          </w:p>
          <w:p w14:paraId="7CC40837">
            <w:pPr>
              <w:adjustRightInd w:val="0"/>
              <w:snapToGrid w:val="0"/>
              <w:spacing w:line="360" w:lineRule="auto"/>
              <w:ind w:firstLine="480" w:firstLineChars="200"/>
              <w:rPr>
                <w:rFonts w:hint="default" w:ascii="Times New Roman" w:hAnsi="Times New Roman" w:eastAsia="宋体" w:cs="Times New Roman"/>
                <w:color w:val="auto"/>
                <w:sz w:val="24"/>
                <w:szCs w:val="32"/>
                <w:lang w:val="en-US" w:eastAsia="zh-CN"/>
              </w:rPr>
            </w:pPr>
            <w:r>
              <w:rPr>
                <w:rFonts w:hint="default" w:ascii="Times New Roman" w:hAnsi="Times New Roman" w:eastAsia="宋体" w:cs="Times New Roman"/>
                <w:color w:val="auto"/>
                <w:sz w:val="24"/>
                <w:szCs w:val="32"/>
                <w:lang w:val="en-US" w:eastAsia="zh-CN"/>
              </w:rPr>
              <w:t>（3）施工运输车辆尾气</w:t>
            </w:r>
          </w:p>
          <w:p w14:paraId="1F4F3301">
            <w:pPr>
              <w:adjustRightInd w:val="0"/>
              <w:snapToGrid w:val="0"/>
              <w:spacing w:line="360" w:lineRule="auto"/>
              <w:ind w:firstLine="480" w:firstLineChars="20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rPr>
              <w:t>在本项目施工期间，施工车辆如卡车等运输工具会产生尾气，包括</w:t>
            </w:r>
            <w:r>
              <w:rPr>
                <w:rFonts w:hint="default" w:ascii="Times New Roman" w:hAnsi="Times New Roman" w:eastAsia="宋体" w:cs="Times New Roman"/>
                <w:color w:val="auto"/>
                <w:sz w:val="24"/>
                <w:szCs w:val="32"/>
                <w:lang w:val="en-US" w:eastAsia="zh-CN"/>
              </w:rPr>
              <w:t>NOx、SO</w:t>
            </w:r>
            <w:r>
              <w:rPr>
                <w:rFonts w:hint="default" w:ascii="Times New Roman" w:hAnsi="Times New Roman" w:eastAsia="宋体" w:cs="Times New Roman"/>
                <w:color w:val="auto"/>
                <w:sz w:val="24"/>
                <w:szCs w:val="32"/>
                <w:vertAlign w:val="subscript"/>
                <w:lang w:val="en-US" w:eastAsia="zh-CN"/>
              </w:rPr>
              <w:t>2</w:t>
            </w:r>
            <w:r>
              <w:rPr>
                <w:rFonts w:hint="default" w:ascii="Times New Roman" w:hAnsi="Times New Roman" w:eastAsia="宋体" w:cs="Times New Roman"/>
                <w:color w:val="auto"/>
                <w:sz w:val="24"/>
                <w:szCs w:val="32"/>
                <w:lang w:val="en-US" w:eastAsia="zh-CN"/>
              </w:rPr>
              <w:t>、颗粒物等，</w:t>
            </w:r>
            <w:r>
              <w:rPr>
                <w:rFonts w:hint="default" w:ascii="Times New Roman" w:hAnsi="Times New Roman" w:eastAsia="宋体" w:cs="Times New Roman"/>
                <w:color w:val="auto"/>
                <w:sz w:val="24"/>
                <w:szCs w:val="24"/>
                <w:u w:val="none"/>
              </w:rPr>
              <w:t>鉴于施工机械数量有限，作业方式为间歇式且作业点分散，这些尾气对厂址外环境的影响较小。随着施工的完成，尾气排放将停止，其环境影响也将随之消除，因此，施工机械的尾气排放对周边环境的长期影响可以忽略。</w:t>
            </w:r>
          </w:p>
          <w:p w14:paraId="613CC543">
            <w:pPr>
              <w:adjustRightInd w:val="0"/>
              <w:snapToGrid w:val="0"/>
              <w:spacing w:line="360" w:lineRule="auto"/>
              <w:ind w:firstLine="480" w:firstLineChars="200"/>
              <w:rPr>
                <w:rFonts w:hint="default" w:ascii="Times New Roman" w:hAnsi="Times New Roman" w:eastAsia="宋体" w:cs="Times New Roman"/>
                <w:color w:val="auto"/>
                <w:sz w:val="24"/>
                <w:szCs w:val="32"/>
                <w:lang w:val="en-US" w:eastAsia="zh-CN"/>
              </w:rPr>
            </w:pPr>
            <w:r>
              <w:rPr>
                <w:rFonts w:hint="default" w:ascii="Times New Roman" w:hAnsi="Times New Roman" w:eastAsia="宋体" w:cs="Times New Roman"/>
                <w:color w:val="auto"/>
                <w:sz w:val="24"/>
                <w:szCs w:val="32"/>
                <w:lang w:val="en-US" w:eastAsia="zh-CN"/>
              </w:rPr>
              <w:t>（4）施工机械排放的废气</w:t>
            </w:r>
          </w:p>
          <w:p w14:paraId="2B6B03D5">
            <w:pPr>
              <w:adjustRightInd w:val="0"/>
              <w:snapToGrid w:val="0"/>
              <w:spacing w:line="360" w:lineRule="auto"/>
              <w:ind w:firstLine="480" w:firstLineChars="200"/>
              <w:rPr>
                <w:rFonts w:hint="default" w:ascii="Times New Roman" w:hAnsi="Times New Roman" w:eastAsia="宋体" w:cs="Times New Roman"/>
                <w:color w:val="auto"/>
                <w:sz w:val="24"/>
                <w:szCs w:val="32"/>
                <w:lang w:val="en-US" w:eastAsia="zh-CN"/>
              </w:rPr>
            </w:pPr>
            <w:r>
              <w:rPr>
                <w:rFonts w:hint="default" w:ascii="Times New Roman" w:hAnsi="Times New Roman" w:eastAsia="宋体" w:cs="Times New Roman"/>
                <w:color w:val="auto"/>
                <w:sz w:val="24"/>
                <w:szCs w:val="32"/>
                <w:lang w:val="en-US" w:eastAsia="zh-CN"/>
              </w:rPr>
              <w:t>本项目施工过程用到的施工机械主要为挖土机、推土机等机械，他们主要以柴油为燃料，都会产生一定量的废气，包括CO、NOx、SO</w:t>
            </w:r>
            <w:r>
              <w:rPr>
                <w:rFonts w:hint="default" w:ascii="Times New Roman" w:hAnsi="Times New Roman" w:eastAsia="宋体" w:cs="Times New Roman"/>
                <w:color w:val="auto"/>
                <w:sz w:val="24"/>
                <w:szCs w:val="32"/>
                <w:vertAlign w:val="subscript"/>
                <w:lang w:val="en-US" w:eastAsia="zh-CN"/>
              </w:rPr>
              <w:t>2</w:t>
            </w:r>
            <w:r>
              <w:rPr>
                <w:rFonts w:hint="default" w:ascii="Times New Roman" w:hAnsi="Times New Roman" w:eastAsia="宋体" w:cs="Times New Roman"/>
                <w:color w:val="auto"/>
                <w:sz w:val="24"/>
                <w:szCs w:val="32"/>
                <w:lang w:val="en-US" w:eastAsia="zh-CN"/>
              </w:rPr>
              <w:t>、颗粒物等，随着施工的结束其对环境的影响可基本消除。</w:t>
            </w:r>
          </w:p>
          <w:p w14:paraId="03639D23">
            <w:pPr>
              <w:adjustRightInd w:val="0"/>
              <w:snapToGrid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2、废水</w:t>
            </w:r>
            <w:r>
              <w:rPr>
                <w:rFonts w:hint="eastAsia" w:ascii="Times New Roman" w:hAnsi="Times New Roman" w:cs="Times New Roman"/>
                <w:b/>
                <w:bCs/>
                <w:color w:val="auto"/>
                <w:sz w:val="24"/>
                <w:szCs w:val="24"/>
                <w:u w:val="none"/>
                <w:lang w:val="en-US" w:eastAsia="zh-CN"/>
              </w:rPr>
              <w:t>保护措施</w:t>
            </w:r>
          </w:p>
          <w:p w14:paraId="234CD21F">
            <w:pPr>
              <w:adjustRightInd w:val="0"/>
              <w:snapToGrid w:val="0"/>
              <w:spacing w:line="360" w:lineRule="auto"/>
              <w:ind w:firstLine="480" w:firstLineChars="200"/>
              <w:rPr>
                <w:rFonts w:hint="default" w:cs="Times New Roman"/>
                <w:color w:val="auto"/>
                <w:sz w:val="24"/>
                <w:szCs w:val="32"/>
                <w:lang w:val="en-US" w:eastAsia="zh-CN"/>
              </w:rPr>
            </w:pPr>
            <w:r>
              <w:rPr>
                <w:rFonts w:hint="eastAsia" w:ascii="Times New Roman" w:hAnsi="Times New Roman" w:eastAsia="宋体" w:cs="Times New Roman"/>
                <w:color w:val="auto"/>
                <w:sz w:val="24"/>
                <w:szCs w:val="32"/>
                <w:lang w:val="en-US" w:eastAsia="zh-CN"/>
              </w:rPr>
              <w:t>在项目施工过程中，废水主要</w:t>
            </w:r>
            <w:r>
              <w:rPr>
                <w:rFonts w:hint="eastAsia" w:cs="Times New Roman"/>
                <w:color w:val="auto"/>
                <w:sz w:val="24"/>
                <w:szCs w:val="32"/>
                <w:lang w:val="en-US" w:eastAsia="zh-CN"/>
              </w:rPr>
              <w:t>为</w:t>
            </w:r>
            <w:r>
              <w:rPr>
                <w:rFonts w:hint="eastAsia" w:ascii="Times New Roman" w:hAnsi="Times New Roman" w:eastAsia="宋体" w:cs="Times New Roman"/>
                <w:color w:val="auto"/>
                <w:sz w:val="24"/>
                <w:szCs w:val="32"/>
                <w:lang w:val="en-US" w:eastAsia="zh-CN"/>
              </w:rPr>
              <w:t>施工人员的生活污水</w:t>
            </w:r>
            <w:r>
              <w:rPr>
                <w:rFonts w:hint="eastAsia" w:cs="Times New Roman"/>
                <w:color w:val="auto"/>
                <w:sz w:val="24"/>
                <w:szCs w:val="32"/>
                <w:lang w:val="en-US" w:eastAsia="zh-CN"/>
              </w:rPr>
              <w:t>，生活污水排入化粪池内，及时委托环卫部门清运。</w:t>
            </w:r>
          </w:p>
          <w:p w14:paraId="02FBE76F">
            <w:pPr>
              <w:adjustRightInd w:val="0"/>
              <w:snapToGrid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3、噪声</w:t>
            </w:r>
            <w:r>
              <w:rPr>
                <w:rFonts w:hint="eastAsia" w:ascii="Times New Roman" w:hAnsi="Times New Roman" w:cs="Times New Roman"/>
                <w:b/>
                <w:bCs/>
                <w:color w:val="auto"/>
                <w:sz w:val="24"/>
                <w:szCs w:val="24"/>
                <w:u w:val="none"/>
                <w:lang w:val="en-US" w:eastAsia="zh-CN"/>
              </w:rPr>
              <w:t>保护措施</w:t>
            </w:r>
          </w:p>
          <w:p w14:paraId="79A0DB6C">
            <w:pPr>
              <w:adjustRightInd w:val="0"/>
              <w:snapToGrid w:val="0"/>
              <w:spacing w:line="360" w:lineRule="auto"/>
              <w:ind w:firstLine="480" w:firstLineChars="200"/>
              <w:rPr>
                <w:rFonts w:hint="default" w:ascii="Times New Roman" w:hAnsi="Times New Roman" w:eastAsia="宋体" w:cs="Times New Roman"/>
                <w:color w:val="auto"/>
                <w:sz w:val="24"/>
                <w:szCs w:val="32"/>
                <w:lang w:val="en-US" w:eastAsia="zh-CN"/>
              </w:rPr>
            </w:pPr>
            <w:r>
              <w:rPr>
                <w:rFonts w:hint="default" w:ascii="Times New Roman" w:hAnsi="Times New Roman" w:eastAsia="宋体" w:cs="Times New Roman"/>
                <w:color w:val="auto"/>
                <w:sz w:val="24"/>
                <w:szCs w:val="32"/>
                <w:lang w:val="en-US" w:eastAsia="zh-CN"/>
              </w:rPr>
              <w:t>施工期噪声污染是项目实施过程中需重点关注的环境问题，其主要来源为各类施工机械。</w:t>
            </w:r>
            <w:r>
              <w:rPr>
                <w:rFonts w:hint="eastAsia" w:cs="Times New Roman"/>
                <w:color w:val="auto"/>
                <w:sz w:val="24"/>
                <w:szCs w:val="32"/>
                <w:lang w:val="en-US" w:eastAsia="zh-CN"/>
              </w:rPr>
              <w:t>这些机械</w:t>
            </w:r>
            <w:r>
              <w:rPr>
                <w:rFonts w:hint="default" w:ascii="Times New Roman" w:hAnsi="Times New Roman" w:eastAsia="宋体" w:cs="Times New Roman"/>
                <w:color w:val="auto"/>
                <w:sz w:val="24"/>
                <w:szCs w:val="32"/>
                <w:lang w:val="en-US" w:eastAsia="zh-CN"/>
              </w:rPr>
              <w:t>噪声源的强度通常在7</w:t>
            </w:r>
            <w:r>
              <w:rPr>
                <w:rFonts w:hint="eastAsia" w:ascii="Times New Roman" w:hAnsi="Times New Roman" w:eastAsia="宋体" w:cs="Times New Roman"/>
                <w:color w:val="auto"/>
                <w:sz w:val="24"/>
                <w:szCs w:val="32"/>
                <w:lang w:val="en-US" w:eastAsia="zh-CN"/>
              </w:rPr>
              <w:t>0</w:t>
            </w:r>
            <w:r>
              <w:rPr>
                <w:rFonts w:hint="default" w:ascii="Times New Roman" w:hAnsi="Times New Roman" w:eastAsia="宋体" w:cs="Times New Roman"/>
                <w:color w:val="auto"/>
                <w:sz w:val="24"/>
                <w:szCs w:val="32"/>
                <w:lang w:val="en-US" w:eastAsia="zh-CN"/>
              </w:rPr>
              <w:t>-85dB（A），且具有稳定性和作业时间波动性大的特点。因此，若不采取有效的施工组织措施，高噪声设备将对周边环境造成显著影响。为有效控制施工噪声污染，提出以下保护措施：</w:t>
            </w:r>
          </w:p>
          <w:p w14:paraId="395775FF">
            <w:pPr>
              <w:pStyle w:val="16"/>
              <w:keepNext w:val="0"/>
              <w:keepLines w:val="0"/>
              <w:widowControl/>
              <w:suppressLineNumbers w:val="0"/>
              <w:shd w:val="clear" w:color="auto" w:fill="FFFFFF"/>
              <w:spacing w:before="0" w:beforeAutospacing="0" w:after="0" w:afterAutospacing="0" w:line="360" w:lineRule="auto"/>
              <w:ind w:left="0" w:right="0" w:firstLine="512" w:firstLineChars="200"/>
              <w:rPr>
                <w:rFonts w:hint="default" w:ascii="Times New Roman" w:hAnsi="Times New Roman" w:eastAsia="宋体" w:cs="Times New Roman"/>
                <w:i w:val="0"/>
                <w:iCs w:val="0"/>
                <w:caps w:val="0"/>
                <w:color w:val="auto"/>
                <w:spacing w:val="8"/>
                <w:sz w:val="24"/>
                <w:szCs w:val="24"/>
                <w:shd w:val="clear" w:color="auto" w:fill="FFFFFF"/>
              </w:rPr>
            </w:pPr>
            <w:r>
              <w:rPr>
                <w:rFonts w:hint="default" w:ascii="Times New Roman" w:hAnsi="Times New Roman" w:eastAsia="宋体" w:cs="Times New Roman"/>
                <w:i w:val="0"/>
                <w:iCs w:val="0"/>
                <w:caps w:val="0"/>
                <w:color w:val="auto"/>
                <w:spacing w:val="8"/>
                <w:sz w:val="24"/>
                <w:szCs w:val="24"/>
                <w:shd w:val="clear" w:color="auto" w:fill="FFFFFF"/>
                <w:lang w:val="en-US" w:eastAsia="zh-CN"/>
              </w:rPr>
              <w:t>①</w:t>
            </w:r>
            <w:r>
              <w:rPr>
                <w:rFonts w:hint="default" w:ascii="Times New Roman" w:hAnsi="Times New Roman" w:eastAsia="宋体" w:cs="Times New Roman"/>
                <w:i w:val="0"/>
                <w:iCs w:val="0"/>
                <w:caps w:val="0"/>
                <w:color w:val="auto"/>
                <w:spacing w:val="8"/>
                <w:sz w:val="24"/>
                <w:szCs w:val="24"/>
                <w:shd w:val="clear" w:color="auto" w:fill="FFFFFF"/>
              </w:rPr>
              <w:t>合理规划施工平面布局，以最小化噪声影响范围。同时，对高噪声设备采取隔音措施，如安装隔音挡板和底座，以降低噪声传播。</w:t>
            </w:r>
          </w:p>
          <w:p w14:paraId="6ED09D3A">
            <w:pPr>
              <w:pStyle w:val="16"/>
              <w:keepNext w:val="0"/>
              <w:keepLines w:val="0"/>
              <w:widowControl/>
              <w:suppressLineNumbers w:val="0"/>
              <w:shd w:val="clear" w:color="auto" w:fill="FFFFFF"/>
              <w:spacing w:before="0" w:beforeAutospacing="0" w:after="0" w:afterAutospacing="0" w:line="360" w:lineRule="auto"/>
              <w:ind w:left="0" w:right="0" w:firstLine="512" w:firstLineChars="200"/>
              <w:rPr>
                <w:rFonts w:hint="default" w:ascii="Times New Roman" w:hAnsi="Times New Roman" w:eastAsia="宋体" w:cs="Times New Roman"/>
                <w:i w:val="0"/>
                <w:iCs w:val="0"/>
                <w:caps w:val="0"/>
                <w:color w:val="auto"/>
                <w:spacing w:val="8"/>
                <w:sz w:val="24"/>
                <w:szCs w:val="24"/>
                <w:shd w:val="clear" w:color="auto" w:fill="FFFFFF"/>
              </w:rPr>
            </w:pPr>
            <w:r>
              <w:rPr>
                <w:rFonts w:hint="eastAsia" w:ascii="Times New Roman" w:hAnsi="Times New Roman" w:cs="Times New Roman"/>
                <w:i w:val="0"/>
                <w:iCs w:val="0"/>
                <w:caps w:val="0"/>
                <w:color w:val="auto"/>
                <w:spacing w:val="8"/>
                <w:sz w:val="24"/>
                <w:szCs w:val="24"/>
                <w:shd w:val="clear" w:color="auto" w:fill="FFFFFF"/>
                <w:lang w:val="en-US" w:eastAsia="zh-CN"/>
              </w:rPr>
              <w:t>②</w:t>
            </w:r>
            <w:r>
              <w:rPr>
                <w:rFonts w:hint="default" w:ascii="Times New Roman" w:hAnsi="Times New Roman" w:eastAsia="宋体" w:cs="Times New Roman"/>
                <w:i w:val="0"/>
                <w:iCs w:val="0"/>
                <w:caps w:val="0"/>
                <w:color w:val="auto"/>
                <w:spacing w:val="8"/>
                <w:sz w:val="24"/>
                <w:szCs w:val="24"/>
                <w:shd w:val="clear" w:color="auto" w:fill="FFFFFF"/>
              </w:rPr>
              <w:t>科学安排施工机械的作业时间，严格遵守禁止夜间和午休时间施工的规定，以减少对周围居民的噪声干扰。</w:t>
            </w:r>
          </w:p>
          <w:p w14:paraId="6972F265">
            <w:pPr>
              <w:pStyle w:val="16"/>
              <w:keepNext w:val="0"/>
              <w:keepLines w:val="0"/>
              <w:widowControl/>
              <w:suppressLineNumbers w:val="0"/>
              <w:shd w:val="clear" w:color="auto" w:fill="FFFFFF"/>
              <w:spacing w:before="0" w:beforeAutospacing="0" w:after="0" w:afterAutospacing="0" w:line="360" w:lineRule="auto"/>
              <w:ind w:left="0" w:right="0" w:firstLine="512" w:firstLineChars="200"/>
              <w:rPr>
                <w:rFonts w:hint="default" w:ascii="Times New Roman" w:hAnsi="Times New Roman" w:eastAsia="宋体" w:cs="Times New Roman"/>
                <w:i w:val="0"/>
                <w:iCs w:val="0"/>
                <w:caps w:val="0"/>
                <w:color w:val="auto"/>
                <w:spacing w:val="8"/>
                <w:sz w:val="24"/>
                <w:szCs w:val="24"/>
                <w:shd w:val="clear" w:color="auto" w:fill="FFFFFF"/>
              </w:rPr>
            </w:pPr>
            <w:r>
              <w:rPr>
                <w:rFonts w:hint="default" w:ascii="Times New Roman" w:hAnsi="Times New Roman" w:eastAsia="宋体" w:cs="Times New Roman"/>
                <w:i w:val="0"/>
                <w:iCs w:val="0"/>
                <w:caps w:val="0"/>
                <w:color w:val="auto"/>
                <w:spacing w:val="8"/>
                <w:sz w:val="24"/>
                <w:szCs w:val="24"/>
                <w:shd w:val="clear" w:color="auto" w:fill="FFFFFF"/>
              </w:rPr>
              <w:t>通过这些保护措施，可以显著降低施工噪声对周围环境的影响，保障施工区域及其周边的声环境质量。</w:t>
            </w:r>
          </w:p>
          <w:p w14:paraId="2A3BBB33">
            <w:pPr>
              <w:pStyle w:val="16"/>
              <w:keepNext w:val="0"/>
              <w:keepLines w:val="0"/>
              <w:widowControl/>
              <w:suppressLineNumbers w:val="0"/>
              <w:shd w:val="clear" w:color="auto" w:fill="FFFFFF"/>
              <w:spacing w:before="0" w:beforeAutospacing="0" w:after="0" w:afterAutospacing="0" w:line="360" w:lineRule="auto"/>
              <w:ind w:left="0" w:right="0" w:firstLine="512" w:firstLineChars="200"/>
              <w:rPr>
                <w:rFonts w:hint="default" w:ascii="Times New Roman" w:hAnsi="Times New Roman" w:eastAsia="宋体" w:cs="Times New Roman"/>
                <w:i w:val="0"/>
                <w:iCs w:val="0"/>
                <w:caps w:val="0"/>
                <w:color w:val="auto"/>
                <w:spacing w:val="8"/>
                <w:sz w:val="24"/>
                <w:szCs w:val="24"/>
                <w:shd w:val="clear" w:color="auto" w:fill="FFFFFF"/>
                <w:lang w:val="en-US" w:eastAsia="zh-CN"/>
              </w:rPr>
            </w:pPr>
          </w:p>
          <w:p w14:paraId="6D1CA471">
            <w:pPr>
              <w:adjustRightInd w:val="0"/>
              <w:snapToGrid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4、固体废物</w:t>
            </w:r>
            <w:r>
              <w:rPr>
                <w:rFonts w:hint="eastAsia" w:ascii="Times New Roman" w:hAnsi="Times New Roman" w:cs="Times New Roman"/>
                <w:b/>
                <w:bCs/>
                <w:color w:val="auto"/>
                <w:sz w:val="24"/>
                <w:szCs w:val="24"/>
                <w:u w:val="none"/>
                <w:lang w:val="en-US" w:eastAsia="zh-CN"/>
              </w:rPr>
              <w:t>保护措施</w:t>
            </w:r>
          </w:p>
          <w:p w14:paraId="2D0F674A">
            <w:pPr>
              <w:pStyle w:val="56"/>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在建筑施工过程中，将产生包括碎砖、水泥和木料在内的建筑垃圾，以及施工人员的生活垃圾。这些废弃物若未能及时妥善处理，易导致环境恶化，如垃圾腐烂、蚊蝇滋生和恶臭散发，对施工人员健康及周围环境构成威胁。</w:t>
            </w:r>
          </w:p>
          <w:p w14:paraId="4DDB0C36">
            <w:pPr>
              <w:pStyle w:val="56"/>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建议采取以下措施：首先，施工垃圾应集中分类存放，并设置专用收集设施。其次，建筑垃圾与生活垃圾需严格分离，建筑垃圾应根据工程需求回填或及时清运，余土及其它废弃物应依法处理。生活垃圾则应使用封闭式容器存放，并执行日产日清制度。最后，所有垃圾应分类送往指定的填埋场进行安全处理，施工现场内禁止随意丢弃或焚烧废弃物。通过这些措施，可以显著降低施工活动对环境的影响，同时保障施工人员的健康安全，实现施工现场的清洁与秩序。</w:t>
            </w:r>
          </w:p>
          <w:p w14:paraId="2AC23169">
            <w:pPr>
              <w:snapToGrid w:val="0"/>
              <w:spacing w:line="360" w:lineRule="auto"/>
              <w:ind w:firstLine="480" w:firstLineChars="200"/>
              <w:rPr>
                <w:rFonts w:hint="eastAsia" w:ascii="Times New Roman" w:hAnsi="Times New Roman" w:eastAsia="宋体" w:cs="Times New Roman"/>
                <w:color w:val="auto"/>
                <w:sz w:val="24"/>
                <w:lang w:val="en-US" w:eastAsia="zh-CN"/>
              </w:rPr>
            </w:pPr>
          </w:p>
          <w:p w14:paraId="0B5FB48F">
            <w:pPr>
              <w:snapToGrid w:val="0"/>
              <w:spacing w:line="360" w:lineRule="auto"/>
              <w:ind w:firstLine="480" w:firstLineChars="200"/>
              <w:rPr>
                <w:rFonts w:hint="eastAsia" w:ascii="Times New Roman" w:hAnsi="Times New Roman" w:eastAsia="宋体" w:cs="Times New Roman"/>
                <w:color w:val="auto"/>
                <w:sz w:val="24"/>
                <w:lang w:val="en-US" w:eastAsia="zh-CN"/>
              </w:rPr>
            </w:pPr>
          </w:p>
        </w:tc>
      </w:tr>
    </w:tbl>
    <w:p w14:paraId="603893F8">
      <w:pPr>
        <w:pStyle w:val="40"/>
        <w:ind w:left="105" w:right="105"/>
        <w:rPr>
          <w:rFonts w:hint="eastAsia" w:ascii="Times New Roman"/>
          <w:color w:val="auto"/>
        </w:rPr>
        <w:sectPr>
          <w:pgSz w:w="11906" w:h="16838"/>
          <w:pgMar w:top="1701" w:right="1531" w:bottom="1701" w:left="1531" w:header="851" w:footer="851" w:gutter="0"/>
          <w:cols w:space="720" w:num="1"/>
          <w:docGrid w:linePitch="312" w:charSpace="0"/>
        </w:sectPr>
      </w:pPr>
    </w:p>
    <w:tbl>
      <w:tblPr>
        <w:tblStyle w:val="17"/>
        <w:tblW w:w="1444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0"/>
        <w:gridCol w:w="14031"/>
      </w:tblGrid>
      <w:tr w14:paraId="18CF42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589" w:hRule="atLeast"/>
          <w:jc w:val="center"/>
        </w:trPr>
        <w:tc>
          <w:tcPr>
            <w:tcW w:w="410" w:type="dxa"/>
            <w:tcMar>
              <w:left w:w="28" w:type="dxa"/>
              <w:right w:w="28" w:type="dxa"/>
            </w:tcMar>
            <w:vAlign w:val="center"/>
          </w:tcPr>
          <w:p w14:paraId="44C7992B">
            <w:pPr>
              <w:adjustRightInd w:val="0"/>
              <w:snapToGrid w:val="0"/>
              <w:jc w:val="center"/>
              <w:rPr>
                <w:bCs/>
                <w:color w:val="auto"/>
                <w:szCs w:val="21"/>
              </w:rPr>
            </w:pPr>
            <w:bookmarkStart w:id="22" w:name="_Hlk141861001"/>
            <w:r>
              <w:rPr>
                <w:bCs/>
                <w:color w:val="auto"/>
                <w:szCs w:val="21"/>
              </w:rPr>
              <w:t>运营</w:t>
            </w:r>
          </w:p>
          <w:p w14:paraId="65987686">
            <w:pPr>
              <w:adjustRightInd w:val="0"/>
              <w:snapToGrid w:val="0"/>
              <w:jc w:val="center"/>
              <w:rPr>
                <w:bCs/>
                <w:color w:val="auto"/>
                <w:szCs w:val="21"/>
              </w:rPr>
            </w:pPr>
            <w:r>
              <w:rPr>
                <w:bCs/>
                <w:color w:val="auto"/>
                <w:szCs w:val="21"/>
              </w:rPr>
              <w:t>期环</w:t>
            </w:r>
          </w:p>
          <w:p w14:paraId="1B333A09">
            <w:pPr>
              <w:adjustRightInd w:val="0"/>
              <w:snapToGrid w:val="0"/>
              <w:jc w:val="center"/>
              <w:rPr>
                <w:bCs/>
                <w:color w:val="auto"/>
                <w:szCs w:val="21"/>
              </w:rPr>
            </w:pPr>
            <w:r>
              <w:rPr>
                <w:bCs/>
                <w:color w:val="auto"/>
                <w:szCs w:val="21"/>
              </w:rPr>
              <w:t>境影</w:t>
            </w:r>
          </w:p>
          <w:p w14:paraId="779218F9">
            <w:pPr>
              <w:adjustRightInd w:val="0"/>
              <w:snapToGrid w:val="0"/>
              <w:jc w:val="center"/>
              <w:rPr>
                <w:bCs/>
                <w:color w:val="auto"/>
                <w:szCs w:val="21"/>
              </w:rPr>
            </w:pPr>
            <w:r>
              <w:rPr>
                <w:bCs/>
                <w:color w:val="auto"/>
                <w:szCs w:val="21"/>
              </w:rPr>
              <w:t>响和</w:t>
            </w:r>
          </w:p>
          <w:p w14:paraId="4841F5DD">
            <w:pPr>
              <w:adjustRightInd w:val="0"/>
              <w:snapToGrid w:val="0"/>
              <w:jc w:val="center"/>
              <w:rPr>
                <w:bCs/>
                <w:color w:val="auto"/>
                <w:szCs w:val="21"/>
              </w:rPr>
            </w:pPr>
            <w:r>
              <w:rPr>
                <w:bCs/>
                <w:color w:val="auto"/>
                <w:szCs w:val="21"/>
              </w:rPr>
              <w:t>保护</w:t>
            </w:r>
          </w:p>
          <w:p w14:paraId="3DC93C24">
            <w:pPr>
              <w:adjustRightInd w:val="0"/>
              <w:snapToGrid w:val="0"/>
              <w:jc w:val="center"/>
              <w:rPr>
                <w:bCs/>
                <w:color w:val="auto"/>
                <w:szCs w:val="21"/>
              </w:rPr>
            </w:pPr>
            <w:r>
              <w:rPr>
                <w:bCs/>
                <w:color w:val="auto"/>
                <w:szCs w:val="21"/>
              </w:rPr>
              <w:t>措施</w:t>
            </w:r>
          </w:p>
        </w:tc>
        <w:tc>
          <w:tcPr>
            <w:tcW w:w="14031" w:type="dxa"/>
            <w:vAlign w:val="center"/>
          </w:tcPr>
          <w:p w14:paraId="5DB80D81">
            <w:pPr>
              <w:adjustRightInd w:val="0"/>
              <w:snapToGrid w:val="0"/>
              <w:spacing w:line="360" w:lineRule="auto"/>
              <w:ind w:firstLine="482" w:firstLineChars="200"/>
              <w:rPr>
                <w:b/>
                <w:bCs/>
                <w:color w:val="auto"/>
                <w:sz w:val="24"/>
              </w:rPr>
            </w:pPr>
            <w:r>
              <w:rPr>
                <w:rFonts w:hint="eastAsia"/>
                <w:b/>
                <w:bCs/>
                <w:color w:val="auto"/>
                <w:sz w:val="24"/>
              </w:rPr>
              <w:t>一</w:t>
            </w:r>
            <w:r>
              <w:rPr>
                <w:b/>
                <w:bCs/>
                <w:color w:val="auto"/>
                <w:sz w:val="24"/>
              </w:rPr>
              <w:t>、废气</w:t>
            </w:r>
          </w:p>
          <w:p w14:paraId="1668AA9B">
            <w:pPr>
              <w:adjustRightInd w:val="0"/>
              <w:snapToGrid w:val="0"/>
              <w:spacing w:line="360" w:lineRule="auto"/>
              <w:ind w:firstLine="482" w:firstLineChars="200"/>
              <w:rPr>
                <w:b/>
                <w:color w:val="auto"/>
                <w:sz w:val="24"/>
              </w:rPr>
            </w:pPr>
            <w:r>
              <w:rPr>
                <w:b/>
                <w:color w:val="auto"/>
                <w:sz w:val="24"/>
              </w:rPr>
              <w:t>1、废气污染源情况</w:t>
            </w:r>
          </w:p>
          <w:p w14:paraId="72431952">
            <w:pPr>
              <w:adjustRightInd w:val="0"/>
              <w:snapToGrid w:val="0"/>
              <w:jc w:val="center"/>
              <w:rPr>
                <w:b/>
                <w:color w:val="auto"/>
                <w:szCs w:val="21"/>
              </w:rPr>
            </w:pPr>
            <w:r>
              <w:rPr>
                <w:b/>
                <w:color w:val="auto"/>
                <w:szCs w:val="21"/>
              </w:rPr>
              <w:t>表</w:t>
            </w:r>
            <w:r>
              <w:rPr>
                <w:rFonts w:hint="eastAsia"/>
                <w:b/>
                <w:color w:val="auto"/>
                <w:szCs w:val="21"/>
              </w:rPr>
              <w:t>4-1</w:t>
            </w:r>
            <w:r>
              <w:rPr>
                <w:b/>
                <w:color w:val="auto"/>
                <w:szCs w:val="21"/>
              </w:rPr>
              <w:t xml:space="preserve"> </w:t>
            </w:r>
            <w:r>
              <w:rPr>
                <w:rFonts w:hint="eastAsia"/>
                <w:b/>
                <w:color w:val="auto"/>
                <w:szCs w:val="21"/>
              </w:rPr>
              <w:t xml:space="preserve"> </w:t>
            </w:r>
            <w:r>
              <w:rPr>
                <w:b/>
                <w:color w:val="auto"/>
                <w:szCs w:val="21"/>
              </w:rPr>
              <w:t>废气污染源产生、正常排放汇总表</w:t>
            </w:r>
          </w:p>
          <w:tbl>
            <w:tblPr>
              <w:tblStyle w:val="17"/>
              <w:tblW w:w="485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377"/>
              <w:gridCol w:w="485"/>
              <w:gridCol w:w="654"/>
              <w:gridCol w:w="595"/>
              <w:gridCol w:w="767"/>
              <w:gridCol w:w="877"/>
              <w:gridCol w:w="579"/>
              <w:gridCol w:w="522"/>
              <w:gridCol w:w="567"/>
              <w:gridCol w:w="593"/>
              <w:gridCol w:w="608"/>
              <w:gridCol w:w="825"/>
              <w:gridCol w:w="691"/>
              <w:gridCol w:w="693"/>
              <w:gridCol w:w="613"/>
              <w:gridCol w:w="425"/>
              <w:gridCol w:w="425"/>
              <w:gridCol w:w="496"/>
              <w:gridCol w:w="647"/>
              <w:gridCol w:w="602"/>
              <w:gridCol w:w="775"/>
              <w:gridCol w:w="607"/>
            </w:tblGrid>
            <w:tr w14:paraId="6F8AE68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50" w:hRule="atLeast"/>
                <w:jc w:val="center"/>
              </w:trPr>
              <w:tc>
                <w:tcPr>
                  <w:tcW w:w="377" w:type="dxa"/>
                  <w:vMerge w:val="restart"/>
                  <w:vAlign w:val="center"/>
                </w:tcPr>
                <w:p w14:paraId="348A0A05">
                  <w:pPr>
                    <w:adjustRightInd w:val="0"/>
                    <w:snapToGrid w:val="0"/>
                    <w:jc w:val="center"/>
                    <w:rPr>
                      <w:rFonts w:cs="宋体"/>
                      <w:b/>
                      <w:bCs/>
                      <w:color w:val="auto"/>
                      <w:sz w:val="18"/>
                      <w:szCs w:val="18"/>
                    </w:rPr>
                  </w:pPr>
                  <w:r>
                    <w:rPr>
                      <w:rFonts w:hint="eastAsia" w:cs="宋体"/>
                      <w:b/>
                      <w:bCs/>
                      <w:color w:val="auto"/>
                      <w:sz w:val="18"/>
                      <w:szCs w:val="18"/>
                    </w:rPr>
                    <w:t>产排污环节</w:t>
                  </w:r>
                </w:p>
              </w:tc>
              <w:tc>
                <w:tcPr>
                  <w:tcW w:w="485" w:type="dxa"/>
                  <w:vMerge w:val="restart"/>
                  <w:vAlign w:val="center"/>
                </w:tcPr>
                <w:p w14:paraId="31AA852E">
                  <w:pPr>
                    <w:adjustRightInd w:val="0"/>
                    <w:snapToGrid w:val="0"/>
                    <w:jc w:val="center"/>
                    <w:rPr>
                      <w:rFonts w:cs="宋体"/>
                      <w:b/>
                      <w:bCs/>
                      <w:color w:val="auto"/>
                      <w:sz w:val="18"/>
                      <w:szCs w:val="18"/>
                    </w:rPr>
                  </w:pPr>
                  <w:r>
                    <w:rPr>
                      <w:rFonts w:hint="eastAsia" w:cs="宋体"/>
                      <w:b/>
                      <w:bCs/>
                      <w:color w:val="auto"/>
                      <w:sz w:val="18"/>
                      <w:szCs w:val="18"/>
                    </w:rPr>
                    <w:t>排放形式</w:t>
                  </w:r>
                </w:p>
              </w:tc>
              <w:tc>
                <w:tcPr>
                  <w:tcW w:w="654" w:type="dxa"/>
                  <w:vMerge w:val="restart"/>
                  <w:vAlign w:val="center"/>
                </w:tcPr>
                <w:p w14:paraId="21E5B3CA">
                  <w:pPr>
                    <w:adjustRightInd w:val="0"/>
                    <w:snapToGrid w:val="0"/>
                    <w:jc w:val="center"/>
                    <w:rPr>
                      <w:rFonts w:cs="宋体"/>
                      <w:b/>
                      <w:bCs/>
                      <w:color w:val="auto"/>
                      <w:sz w:val="18"/>
                      <w:szCs w:val="18"/>
                    </w:rPr>
                  </w:pPr>
                  <w:r>
                    <w:rPr>
                      <w:rFonts w:hint="eastAsia" w:cs="宋体"/>
                      <w:b/>
                      <w:bCs/>
                      <w:color w:val="auto"/>
                      <w:sz w:val="18"/>
                      <w:szCs w:val="18"/>
                    </w:rPr>
                    <w:t>污染物</w:t>
                  </w:r>
                </w:p>
                <w:p w14:paraId="0A1F2FC0">
                  <w:pPr>
                    <w:adjustRightInd w:val="0"/>
                    <w:snapToGrid w:val="0"/>
                    <w:jc w:val="center"/>
                    <w:rPr>
                      <w:rFonts w:cs="宋体"/>
                      <w:b/>
                      <w:bCs/>
                      <w:color w:val="auto"/>
                      <w:sz w:val="18"/>
                      <w:szCs w:val="18"/>
                    </w:rPr>
                  </w:pPr>
                  <w:r>
                    <w:rPr>
                      <w:rFonts w:hint="eastAsia" w:cs="宋体"/>
                      <w:b/>
                      <w:bCs/>
                      <w:color w:val="auto"/>
                      <w:sz w:val="18"/>
                      <w:szCs w:val="18"/>
                    </w:rPr>
                    <w:t>种类</w:t>
                  </w:r>
                </w:p>
              </w:tc>
              <w:tc>
                <w:tcPr>
                  <w:tcW w:w="2239" w:type="dxa"/>
                  <w:gridSpan w:val="3"/>
                  <w:vAlign w:val="center"/>
                </w:tcPr>
                <w:p w14:paraId="7E2A1B1D">
                  <w:pPr>
                    <w:adjustRightInd w:val="0"/>
                    <w:snapToGrid w:val="0"/>
                    <w:jc w:val="center"/>
                    <w:rPr>
                      <w:rFonts w:cs="宋体"/>
                      <w:b/>
                      <w:bCs/>
                      <w:color w:val="auto"/>
                      <w:sz w:val="18"/>
                      <w:szCs w:val="18"/>
                    </w:rPr>
                  </w:pPr>
                  <w:r>
                    <w:rPr>
                      <w:rFonts w:hint="eastAsia" w:cs="宋体"/>
                      <w:b/>
                      <w:bCs/>
                      <w:color w:val="auto"/>
                      <w:sz w:val="18"/>
                      <w:szCs w:val="18"/>
                    </w:rPr>
                    <w:t>污染物产生量和浓度</w:t>
                  </w:r>
                </w:p>
              </w:tc>
              <w:tc>
                <w:tcPr>
                  <w:tcW w:w="2869" w:type="dxa"/>
                  <w:gridSpan w:val="5"/>
                  <w:vAlign w:val="center"/>
                </w:tcPr>
                <w:p w14:paraId="3C04C496">
                  <w:pPr>
                    <w:adjustRightInd w:val="0"/>
                    <w:snapToGrid w:val="0"/>
                    <w:jc w:val="center"/>
                    <w:rPr>
                      <w:rFonts w:cs="宋体"/>
                      <w:b/>
                      <w:bCs/>
                      <w:color w:val="auto"/>
                      <w:sz w:val="18"/>
                      <w:szCs w:val="18"/>
                    </w:rPr>
                  </w:pPr>
                  <w:r>
                    <w:rPr>
                      <w:rFonts w:hint="eastAsia" w:cs="宋体"/>
                      <w:b/>
                      <w:bCs/>
                      <w:color w:val="auto"/>
                      <w:sz w:val="18"/>
                      <w:szCs w:val="18"/>
                    </w:rPr>
                    <w:t>污染治理设施</w:t>
                  </w:r>
                </w:p>
              </w:tc>
              <w:tc>
                <w:tcPr>
                  <w:tcW w:w="2209" w:type="dxa"/>
                  <w:gridSpan w:val="3"/>
                  <w:vAlign w:val="center"/>
                </w:tcPr>
                <w:p w14:paraId="384BDFF8">
                  <w:pPr>
                    <w:adjustRightInd w:val="0"/>
                    <w:snapToGrid w:val="0"/>
                    <w:jc w:val="center"/>
                    <w:rPr>
                      <w:rFonts w:cs="宋体"/>
                      <w:b/>
                      <w:bCs/>
                      <w:color w:val="auto"/>
                      <w:sz w:val="18"/>
                      <w:szCs w:val="18"/>
                    </w:rPr>
                  </w:pPr>
                  <w:r>
                    <w:rPr>
                      <w:rFonts w:hint="eastAsia" w:cs="宋体"/>
                      <w:b/>
                      <w:bCs/>
                      <w:color w:val="auto"/>
                      <w:sz w:val="18"/>
                      <w:szCs w:val="18"/>
                    </w:rPr>
                    <w:t>污染物排放量和浓度</w:t>
                  </w:r>
                </w:p>
              </w:tc>
              <w:tc>
                <w:tcPr>
                  <w:tcW w:w="3208" w:type="dxa"/>
                  <w:gridSpan w:val="6"/>
                  <w:vAlign w:val="center"/>
                </w:tcPr>
                <w:p w14:paraId="76679ECB">
                  <w:pPr>
                    <w:adjustRightInd w:val="0"/>
                    <w:snapToGrid w:val="0"/>
                    <w:jc w:val="center"/>
                    <w:rPr>
                      <w:rFonts w:cs="宋体"/>
                      <w:b/>
                      <w:bCs/>
                      <w:color w:val="auto"/>
                      <w:sz w:val="18"/>
                      <w:szCs w:val="18"/>
                    </w:rPr>
                  </w:pPr>
                  <w:r>
                    <w:rPr>
                      <w:rFonts w:hint="eastAsia" w:cs="宋体"/>
                      <w:b/>
                      <w:bCs/>
                      <w:color w:val="auto"/>
                      <w:sz w:val="18"/>
                      <w:szCs w:val="18"/>
                    </w:rPr>
                    <w:t>排放口基本情况</w:t>
                  </w:r>
                </w:p>
              </w:tc>
              <w:tc>
                <w:tcPr>
                  <w:tcW w:w="1382" w:type="dxa"/>
                  <w:gridSpan w:val="2"/>
                  <w:vAlign w:val="center"/>
                </w:tcPr>
                <w:p w14:paraId="0A5EF4B7">
                  <w:pPr>
                    <w:adjustRightInd w:val="0"/>
                    <w:snapToGrid w:val="0"/>
                    <w:jc w:val="center"/>
                    <w:rPr>
                      <w:rFonts w:cs="宋体"/>
                      <w:b/>
                      <w:bCs/>
                      <w:color w:val="auto"/>
                      <w:sz w:val="18"/>
                      <w:szCs w:val="18"/>
                    </w:rPr>
                  </w:pPr>
                  <w:r>
                    <w:rPr>
                      <w:rFonts w:hint="eastAsia" w:cs="宋体"/>
                      <w:b/>
                      <w:bCs/>
                      <w:color w:val="auto"/>
                      <w:sz w:val="18"/>
                      <w:szCs w:val="18"/>
                    </w:rPr>
                    <w:t>排放标准</w:t>
                  </w:r>
                </w:p>
              </w:tc>
            </w:tr>
            <w:tr w14:paraId="2172FD6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863" w:hRule="atLeast"/>
                <w:jc w:val="center"/>
              </w:trPr>
              <w:tc>
                <w:tcPr>
                  <w:tcW w:w="377" w:type="dxa"/>
                  <w:vMerge w:val="continue"/>
                  <w:vAlign w:val="center"/>
                </w:tcPr>
                <w:p w14:paraId="5967F1B4">
                  <w:pPr>
                    <w:adjustRightInd w:val="0"/>
                    <w:snapToGrid w:val="0"/>
                    <w:jc w:val="center"/>
                    <w:rPr>
                      <w:rFonts w:cs="宋体"/>
                      <w:b/>
                      <w:bCs/>
                      <w:color w:val="auto"/>
                      <w:sz w:val="18"/>
                      <w:szCs w:val="18"/>
                    </w:rPr>
                  </w:pPr>
                </w:p>
              </w:tc>
              <w:tc>
                <w:tcPr>
                  <w:tcW w:w="485" w:type="dxa"/>
                  <w:vMerge w:val="continue"/>
                  <w:vAlign w:val="center"/>
                </w:tcPr>
                <w:p w14:paraId="7D99C93F">
                  <w:pPr>
                    <w:adjustRightInd w:val="0"/>
                    <w:snapToGrid w:val="0"/>
                    <w:jc w:val="center"/>
                    <w:rPr>
                      <w:rFonts w:cs="宋体"/>
                      <w:b/>
                      <w:bCs/>
                      <w:color w:val="auto"/>
                      <w:sz w:val="18"/>
                      <w:szCs w:val="18"/>
                    </w:rPr>
                  </w:pPr>
                </w:p>
              </w:tc>
              <w:tc>
                <w:tcPr>
                  <w:tcW w:w="654" w:type="dxa"/>
                  <w:vMerge w:val="continue"/>
                  <w:vAlign w:val="center"/>
                </w:tcPr>
                <w:p w14:paraId="489F9F77">
                  <w:pPr>
                    <w:adjustRightInd w:val="0"/>
                    <w:snapToGrid w:val="0"/>
                    <w:jc w:val="center"/>
                    <w:rPr>
                      <w:rFonts w:cs="宋体"/>
                      <w:b/>
                      <w:bCs/>
                      <w:color w:val="auto"/>
                      <w:sz w:val="18"/>
                      <w:szCs w:val="18"/>
                    </w:rPr>
                  </w:pPr>
                </w:p>
              </w:tc>
              <w:tc>
                <w:tcPr>
                  <w:tcW w:w="595" w:type="dxa"/>
                  <w:vMerge w:val="restart"/>
                  <w:vAlign w:val="center"/>
                </w:tcPr>
                <w:p w14:paraId="5FA64FAB">
                  <w:pPr>
                    <w:adjustRightInd w:val="0"/>
                    <w:snapToGrid w:val="0"/>
                    <w:jc w:val="center"/>
                    <w:rPr>
                      <w:rFonts w:cs="宋体"/>
                      <w:b/>
                      <w:bCs/>
                      <w:color w:val="auto"/>
                      <w:sz w:val="18"/>
                      <w:szCs w:val="18"/>
                    </w:rPr>
                  </w:pPr>
                  <w:r>
                    <w:rPr>
                      <w:rFonts w:hint="eastAsia" w:cs="宋体"/>
                      <w:b/>
                      <w:bCs/>
                      <w:color w:val="auto"/>
                      <w:sz w:val="18"/>
                      <w:szCs w:val="18"/>
                    </w:rPr>
                    <w:t>产生浓度</w:t>
                  </w:r>
                </w:p>
                <w:p w14:paraId="75559E89">
                  <w:pPr>
                    <w:adjustRightInd w:val="0"/>
                    <w:snapToGrid w:val="0"/>
                    <w:jc w:val="center"/>
                    <w:rPr>
                      <w:rFonts w:cs="宋体"/>
                      <w:b/>
                      <w:bCs/>
                      <w:color w:val="auto"/>
                      <w:sz w:val="18"/>
                      <w:szCs w:val="18"/>
                    </w:rPr>
                  </w:pPr>
                  <w:r>
                    <w:rPr>
                      <w:rFonts w:hint="eastAsia" w:cs="宋体"/>
                      <w:b/>
                      <w:bCs/>
                      <w:color w:val="auto"/>
                      <w:sz w:val="18"/>
                      <w:szCs w:val="18"/>
                    </w:rPr>
                    <w:t>mg/m</w:t>
                  </w:r>
                  <w:r>
                    <w:rPr>
                      <w:rFonts w:hint="eastAsia" w:cs="宋体"/>
                      <w:b/>
                      <w:bCs/>
                      <w:color w:val="auto"/>
                      <w:sz w:val="18"/>
                      <w:szCs w:val="18"/>
                      <w:vertAlign w:val="superscript"/>
                    </w:rPr>
                    <w:t>3</w:t>
                  </w:r>
                </w:p>
              </w:tc>
              <w:tc>
                <w:tcPr>
                  <w:tcW w:w="1644" w:type="dxa"/>
                  <w:gridSpan w:val="2"/>
                  <w:vAlign w:val="center"/>
                </w:tcPr>
                <w:p w14:paraId="02761747">
                  <w:pPr>
                    <w:adjustRightInd w:val="0"/>
                    <w:snapToGrid w:val="0"/>
                    <w:jc w:val="center"/>
                    <w:rPr>
                      <w:rFonts w:cs="宋体"/>
                      <w:b/>
                      <w:bCs/>
                      <w:color w:val="auto"/>
                      <w:sz w:val="18"/>
                      <w:szCs w:val="18"/>
                    </w:rPr>
                  </w:pPr>
                  <w:r>
                    <w:rPr>
                      <w:rFonts w:hint="eastAsia" w:cs="宋体"/>
                      <w:b/>
                      <w:bCs/>
                      <w:color w:val="auto"/>
                      <w:sz w:val="18"/>
                      <w:szCs w:val="18"/>
                    </w:rPr>
                    <w:t>产生量</w:t>
                  </w:r>
                </w:p>
              </w:tc>
              <w:tc>
                <w:tcPr>
                  <w:tcW w:w="579" w:type="dxa"/>
                  <w:vAlign w:val="center"/>
                </w:tcPr>
                <w:p w14:paraId="1A18A07E">
                  <w:pPr>
                    <w:adjustRightInd w:val="0"/>
                    <w:snapToGrid w:val="0"/>
                    <w:jc w:val="center"/>
                    <w:rPr>
                      <w:rFonts w:cs="宋体"/>
                      <w:b/>
                      <w:bCs/>
                      <w:color w:val="auto"/>
                      <w:sz w:val="18"/>
                      <w:szCs w:val="18"/>
                    </w:rPr>
                  </w:pPr>
                  <w:r>
                    <w:rPr>
                      <w:rFonts w:hint="eastAsia" w:cs="宋体"/>
                      <w:b/>
                      <w:bCs/>
                      <w:color w:val="auto"/>
                      <w:sz w:val="18"/>
                      <w:szCs w:val="18"/>
                    </w:rPr>
                    <w:t>处理能力</w:t>
                  </w:r>
                </w:p>
              </w:tc>
              <w:tc>
                <w:tcPr>
                  <w:tcW w:w="522" w:type="dxa"/>
                  <w:vAlign w:val="center"/>
                </w:tcPr>
                <w:p w14:paraId="7314ED84">
                  <w:pPr>
                    <w:adjustRightInd w:val="0"/>
                    <w:snapToGrid w:val="0"/>
                    <w:jc w:val="center"/>
                    <w:rPr>
                      <w:rFonts w:cs="宋体"/>
                      <w:b/>
                      <w:bCs/>
                      <w:color w:val="auto"/>
                      <w:sz w:val="18"/>
                      <w:szCs w:val="18"/>
                    </w:rPr>
                  </w:pPr>
                  <w:r>
                    <w:rPr>
                      <w:rFonts w:hint="eastAsia" w:cs="宋体"/>
                      <w:b/>
                      <w:bCs/>
                      <w:color w:val="auto"/>
                      <w:sz w:val="18"/>
                      <w:szCs w:val="18"/>
                    </w:rPr>
                    <w:t>收集效率</w:t>
                  </w:r>
                </w:p>
              </w:tc>
              <w:tc>
                <w:tcPr>
                  <w:tcW w:w="567" w:type="dxa"/>
                  <w:vAlign w:val="center"/>
                </w:tcPr>
                <w:p w14:paraId="57275BFF">
                  <w:pPr>
                    <w:adjustRightInd w:val="0"/>
                    <w:snapToGrid w:val="0"/>
                    <w:jc w:val="center"/>
                    <w:rPr>
                      <w:rFonts w:cs="宋体"/>
                      <w:b/>
                      <w:bCs/>
                      <w:color w:val="auto"/>
                      <w:sz w:val="18"/>
                      <w:szCs w:val="18"/>
                    </w:rPr>
                  </w:pPr>
                  <w:r>
                    <w:rPr>
                      <w:rFonts w:hint="eastAsia" w:cs="宋体"/>
                      <w:b/>
                      <w:bCs/>
                      <w:color w:val="auto"/>
                      <w:sz w:val="18"/>
                      <w:szCs w:val="18"/>
                    </w:rPr>
                    <w:t>去除效率</w:t>
                  </w:r>
                </w:p>
              </w:tc>
              <w:tc>
                <w:tcPr>
                  <w:tcW w:w="593" w:type="dxa"/>
                  <w:vMerge w:val="restart"/>
                  <w:vAlign w:val="center"/>
                </w:tcPr>
                <w:p w14:paraId="32423ED2">
                  <w:pPr>
                    <w:adjustRightInd w:val="0"/>
                    <w:snapToGrid w:val="0"/>
                    <w:jc w:val="center"/>
                    <w:rPr>
                      <w:rFonts w:cs="宋体"/>
                      <w:b/>
                      <w:bCs/>
                      <w:color w:val="auto"/>
                      <w:sz w:val="18"/>
                      <w:szCs w:val="18"/>
                    </w:rPr>
                  </w:pPr>
                  <w:r>
                    <w:rPr>
                      <w:rFonts w:hint="eastAsia" w:cs="宋体"/>
                      <w:b/>
                      <w:bCs/>
                      <w:color w:val="auto"/>
                      <w:sz w:val="18"/>
                      <w:szCs w:val="18"/>
                    </w:rPr>
                    <w:t>是否可行技术</w:t>
                  </w:r>
                </w:p>
              </w:tc>
              <w:tc>
                <w:tcPr>
                  <w:tcW w:w="608" w:type="dxa"/>
                  <w:vMerge w:val="restart"/>
                  <w:vAlign w:val="center"/>
                </w:tcPr>
                <w:p w14:paraId="6CC6C777">
                  <w:pPr>
                    <w:adjustRightInd w:val="0"/>
                    <w:snapToGrid w:val="0"/>
                    <w:jc w:val="center"/>
                    <w:rPr>
                      <w:rFonts w:cs="宋体"/>
                      <w:b/>
                      <w:bCs/>
                      <w:color w:val="auto"/>
                      <w:sz w:val="18"/>
                      <w:szCs w:val="18"/>
                    </w:rPr>
                  </w:pPr>
                  <w:r>
                    <w:rPr>
                      <w:rFonts w:hint="eastAsia" w:cs="宋体"/>
                      <w:b/>
                      <w:bCs/>
                      <w:color w:val="auto"/>
                      <w:sz w:val="18"/>
                      <w:szCs w:val="18"/>
                    </w:rPr>
                    <w:t>处理工艺</w:t>
                  </w:r>
                </w:p>
              </w:tc>
              <w:tc>
                <w:tcPr>
                  <w:tcW w:w="825" w:type="dxa"/>
                  <w:vMerge w:val="restart"/>
                  <w:vAlign w:val="center"/>
                </w:tcPr>
                <w:p w14:paraId="00251842">
                  <w:pPr>
                    <w:adjustRightInd w:val="0"/>
                    <w:snapToGrid w:val="0"/>
                    <w:jc w:val="center"/>
                    <w:rPr>
                      <w:rFonts w:cs="宋体"/>
                      <w:b/>
                      <w:bCs/>
                      <w:color w:val="auto"/>
                      <w:sz w:val="18"/>
                      <w:szCs w:val="18"/>
                    </w:rPr>
                  </w:pPr>
                  <w:r>
                    <w:rPr>
                      <w:rFonts w:hint="eastAsia" w:cs="宋体"/>
                      <w:b/>
                      <w:bCs/>
                      <w:color w:val="auto"/>
                      <w:sz w:val="18"/>
                      <w:szCs w:val="18"/>
                    </w:rPr>
                    <w:t>排放浓度</w:t>
                  </w:r>
                </w:p>
                <w:p w14:paraId="66573042">
                  <w:pPr>
                    <w:adjustRightInd w:val="0"/>
                    <w:snapToGrid w:val="0"/>
                    <w:jc w:val="center"/>
                    <w:rPr>
                      <w:rFonts w:cs="宋体"/>
                      <w:b/>
                      <w:bCs/>
                      <w:color w:val="auto"/>
                      <w:sz w:val="18"/>
                      <w:szCs w:val="18"/>
                    </w:rPr>
                  </w:pPr>
                  <w:r>
                    <w:rPr>
                      <w:rFonts w:hint="eastAsia" w:cs="宋体"/>
                      <w:b/>
                      <w:bCs/>
                      <w:color w:val="auto"/>
                      <w:sz w:val="18"/>
                      <w:szCs w:val="18"/>
                    </w:rPr>
                    <w:t>mg/m</w:t>
                  </w:r>
                  <w:r>
                    <w:rPr>
                      <w:rFonts w:hint="eastAsia" w:cs="宋体"/>
                      <w:b/>
                      <w:bCs/>
                      <w:color w:val="auto"/>
                      <w:sz w:val="18"/>
                      <w:szCs w:val="18"/>
                      <w:vertAlign w:val="superscript"/>
                    </w:rPr>
                    <w:t>3</w:t>
                  </w:r>
                </w:p>
              </w:tc>
              <w:tc>
                <w:tcPr>
                  <w:tcW w:w="1384" w:type="dxa"/>
                  <w:gridSpan w:val="2"/>
                  <w:vAlign w:val="center"/>
                </w:tcPr>
                <w:p w14:paraId="03D41384">
                  <w:pPr>
                    <w:adjustRightInd w:val="0"/>
                    <w:snapToGrid w:val="0"/>
                    <w:jc w:val="center"/>
                    <w:rPr>
                      <w:rFonts w:cs="宋体"/>
                      <w:b/>
                      <w:bCs/>
                      <w:color w:val="auto"/>
                      <w:sz w:val="18"/>
                      <w:szCs w:val="18"/>
                    </w:rPr>
                  </w:pPr>
                  <w:r>
                    <w:rPr>
                      <w:rFonts w:hint="eastAsia" w:cs="宋体"/>
                      <w:b/>
                      <w:bCs/>
                      <w:color w:val="auto"/>
                      <w:sz w:val="18"/>
                      <w:szCs w:val="18"/>
                    </w:rPr>
                    <w:t>排放量</w:t>
                  </w:r>
                </w:p>
              </w:tc>
              <w:tc>
                <w:tcPr>
                  <w:tcW w:w="613" w:type="dxa"/>
                  <w:vAlign w:val="center"/>
                </w:tcPr>
                <w:p w14:paraId="3F7AEEFB">
                  <w:pPr>
                    <w:adjustRightInd w:val="0"/>
                    <w:snapToGrid w:val="0"/>
                    <w:jc w:val="center"/>
                    <w:rPr>
                      <w:rFonts w:cs="宋体"/>
                      <w:b/>
                      <w:bCs/>
                      <w:color w:val="auto"/>
                      <w:spacing w:val="-10"/>
                      <w:sz w:val="18"/>
                      <w:szCs w:val="18"/>
                    </w:rPr>
                  </w:pPr>
                  <w:r>
                    <w:rPr>
                      <w:rFonts w:hint="eastAsia" w:cs="宋体"/>
                      <w:b/>
                      <w:bCs/>
                      <w:color w:val="auto"/>
                      <w:spacing w:val="-10"/>
                      <w:sz w:val="18"/>
                      <w:szCs w:val="18"/>
                    </w:rPr>
                    <w:t>编号及名称</w:t>
                  </w:r>
                </w:p>
              </w:tc>
              <w:tc>
                <w:tcPr>
                  <w:tcW w:w="425" w:type="dxa"/>
                  <w:vAlign w:val="center"/>
                </w:tcPr>
                <w:p w14:paraId="5F59C8F7">
                  <w:pPr>
                    <w:adjustRightInd w:val="0"/>
                    <w:snapToGrid w:val="0"/>
                    <w:jc w:val="center"/>
                    <w:rPr>
                      <w:rFonts w:cs="宋体"/>
                      <w:b/>
                      <w:bCs/>
                      <w:color w:val="auto"/>
                      <w:sz w:val="18"/>
                      <w:szCs w:val="18"/>
                    </w:rPr>
                  </w:pPr>
                  <w:r>
                    <w:rPr>
                      <w:rFonts w:hint="eastAsia" w:cs="宋体"/>
                      <w:b/>
                      <w:bCs/>
                      <w:color w:val="auto"/>
                      <w:sz w:val="18"/>
                      <w:szCs w:val="18"/>
                    </w:rPr>
                    <w:t>高度</w:t>
                  </w:r>
                </w:p>
              </w:tc>
              <w:tc>
                <w:tcPr>
                  <w:tcW w:w="425" w:type="dxa"/>
                  <w:vAlign w:val="center"/>
                </w:tcPr>
                <w:p w14:paraId="00EB2891">
                  <w:pPr>
                    <w:adjustRightInd w:val="0"/>
                    <w:snapToGrid w:val="0"/>
                    <w:jc w:val="center"/>
                    <w:rPr>
                      <w:rFonts w:cs="宋体"/>
                      <w:b/>
                      <w:bCs/>
                      <w:color w:val="auto"/>
                      <w:sz w:val="18"/>
                      <w:szCs w:val="18"/>
                    </w:rPr>
                  </w:pPr>
                  <w:r>
                    <w:rPr>
                      <w:rFonts w:hint="eastAsia" w:cs="宋体"/>
                      <w:b/>
                      <w:bCs/>
                      <w:color w:val="auto"/>
                      <w:sz w:val="18"/>
                      <w:szCs w:val="18"/>
                    </w:rPr>
                    <w:t>内径</w:t>
                  </w:r>
                </w:p>
              </w:tc>
              <w:tc>
                <w:tcPr>
                  <w:tcW w:w="496" w:type="dxa"/>
                  <w:vAlign w:val="center"/>
                </w:tcPr>
                <w:p w14:paraId="624647FC">
                  <w:pPr>
                    <w:adjustRightInd w:val="0"/>
                    <w:snapToGrid w:val="0"/>
                    <w:jc w:val="center"/>
                    <w:rPr>
                      <w:rFonts w:cs="宋体"/>
                      <w:b/>
                      <w:bCs/>
                      <w:color w:val="auto"/>
                      <w:sz w:val="18"/>
                      <w:szCs w:val="18"/>
                    </w:rPr>
                  </w:pPr>
                  <w:r>
                    <w:rPr>
                      <w:rFonts w:hint="eastAsia" w:cs="宋体"/>
                      <w:b/>
                      <w:bCs/>
                      <w:color w:val="auto"/>
                      <w:sz w:val="18"/>
                      <w:szCs w:val="18"/>
                    </w:rPr>
                    <w:t>温度</w:t>
                  </w:r>
                </w:p>
              </w:tc>
              <w:tc>
                <w:tcPr>
                  <w:tcW w:w="647" w:type="dxa"/>
                  <w:vAlign w:val="center"/>
                </w:tcPr>
                <w:p w14:paraId="6BBD90DF">
                  <w:pPr>
                    <w:adjustRightInd w:val="0"/>
                    <w:snapToGrid w:val="0"/>
                    <w:jc w:val="center"/>
                    <w:rPr>
                      <w:rFonts w:cs="宋体"/>
                      <w:b/>
                      <w:bCs/>
                      <w:color w:val="auto"/>
                      <w:sz w:val="18"/>
                      <w:szCs w:val="18"/>
                    </w:rPr>
                  </w:pPr>
                  <w:r>
                    <w:rPr>
                      <w:rFonts w:hint="eastAsia" w:cs="宋体"/>
                      <w:b/>
                      <w:bCs/>
                      <w:color w:val="auto"/>
                      <w:sz w:val="18"/>
                      <w:szCs w:val="18"/>
                    </w:rPr>
                    <w:t>类型</w:t>
                  </w:r>
                </w:p>
              </w:tc>
              <w:tc>
                <w:tcPr>
                  <w:tcW w:w="602" w:type="dxa"/>
                  <w:vAlign w:val="center"/>
                </w:tcPr>
                <w:p w14:paraId="7B1E36D1">
                  <w:pPr>
                    <w:adjustRightInd w:val="0"/>
                    <w:snapToGrid w:val="0"/>
                    <w:jc w:val="center"/>
                    <w:rPr>
                      <w:rFonts w:cs="宋体"/>
                      <w:b/>
                      <w:bCs/>
                      <w:color w:val="auto"/>
                      <w:sz w:val="18"/>
                      <w:szCs w:val="18"/>
                    </w:rPr>
                  </w:pPr>
                  <w:r>
                    <w:rPr>
                      <w:rFonts w:hint="eastAsia" w:cs="宋体"/>
                      <w:b/>
                      <w:bCs/>
                      <w:color w:val="auto"/>
                      <w:sz w:val="18"/>
                      <w:szCs w:val="18"/>
                    </w:rPr>
                    <w:t>地理</w:t>
                  </w:r>
                </w:p>
                <w:p w14:paraId="59BA5277">
                  <w:pPr>
                    <w:adjustRightInd w:val="0"/>
                    <w:snapToGrid w:val="0"/>
                    <w:jc w:val="center"/>
                    <w:rPr>
                      <w:rFonts w:cs="宋体"/>
                      <w:b/>
                      <w:bCs/>
                      <w:color w:val="auto"/>
                      <w:sz w:val="18"/>
                      <w:szCs w:val="18"/>
                    </w:rPr>
                  </w:pPr>
                  <w:r>
                    <w:rPr>
                      <w:rFonts w:hint="eastAsia" w:cs="宋体"/>
                      <w:b/>
                      <w:bCs/>
                      <w:color w:val="auto"/>
                      <w:sz w:val="18"/>
                      <w:szCs w:val="18"/>
                    </w:rPr>
                    <w:t>坐标</w:t>
                  </w:r>
                </w:p>
              </w:tc>
              <w:tc>
                <w:tcPr>
                  <w:tcW w:w="775" w:type="dxa"/>
                  <w:vMerge w:val="restart"/>
                  <w:vAlign w:val="center"/>
                </w:tcPr>
                <w:p w14:paraId="25F88E7D">
                  <w:pPr>
                    <w:adjustRightInd w:val="0"/>
                    <w:snapToGrid w:val="0"/>
                    <w:jc w:val="center"/>
                    <w:rPr>
                      <w:rFonts w:cs="宋体"/>
                      <w:b/>
                      <w:bCs/>
                      <w:color w:val="auto"/>
                      <w:sz w:val="18"/>
                      <w:szCs w:val="18"/>
                    </w:rPr>
                  </w:pPr>
                  <w:r>
                    <w:rPr>
                      <w:rFonts w:hint="eastAsia" w:cs="宋体"/>
                      <w:b/>
                      <w:bCs/>
                      <w:color w:val="auto"/>
                      <w:sz w:val="18"/>
                      <w:szCs w:val="18"/>
                    </w:rPr>
                    <w:t>浓度</w:t>
                  </w:r>
                </w:p>
                <w:p w14:paraId="29FBC192">
                  <w:pPr>
                    <w:adjustRightInd w:val="0"/>
                    <w:snapToGrid w:val="0"/>
                    <w:jc w:val="center"/>
                    <w:rPr>
                      <w:rFonts w:hint="eastAsia" w:eastAsia="宋体"/>
                      <w:color w:val="auto"/>
                      <w:lang w:eastAsia="zh-CN"/>
                    </w:rPr>
                  </w:pPr>
                  <w:r>
                    <w:rPr>
                      <w:rFonts w:hint="eastAsia" w:cs="宋体"/>
                      <w:b/>
                      <w:bCs/>
                      <w:color w:val="auto"/>
                      <w:sz w:val="18"/>
                      <w:szCs w:val="18"/>
                    </w:rPr>
                    <w:t>mg/m</w:t>
                  </w:r>
                  <w:r>
                    <w:rPr>
                      <w:rFonts w:hint="eastAsia" w:cs="宋体"/>
                      <w:b/>
                      <w:bCs/>
                      <w:color w:val="auto"/>
                      <w:sz w:val="18"/>
                      <w:szCs w:val="18"/>
                      <w:vertAlign w:val="superscript"/>
                    </w:rPr>
                    <w:t>3</w:t>
                  </w:r>
                </w:p>
              </w:tc>
              <w:tc>
                <w:tcPr>
                  <w:tcW w:w="607" w:type="dxa"/>
                  <w:vMerge w:val="restart"/>
                  <w:vAlign w:val="center"/>
                </w:tcPr>
                <w:p w14:paraId="03E668F6">
                  <w:pPr>
                    <w:adjustRightInd w:val="0"/>
                    <w:snapToGrid w:val="0"/>
                    <w:jc w:val="center"/>
                    <w:rPr>
                      <w:rFonts w:cs="宋体"/>
                      <w:b/>
                      <w:bCs/>
                      <w:color w:val="auto"/>
                      <w:sz w:val="18"/>
                      <w:szCs w:val="18"/>
                    </w:rPr>
                  </w:pPr>
                  <w:r>
                    <w:rPr>
                      <w:rFonts w:hint="eastAsia" w:cs="宋体"/>
                      <w:b/>
                      <w:bCs/>
                      <w:color w:val="auto"/>
                      <w:sz w:val="18"/>
                      <w:szCs w:val="18"/>
                    </w:rPr>
                    <w:t>速率</w:t>
                  </w:r>
                </w:p>
                <w:p w14:paraId="43E298F3">
                  <w:pPr>
                    <w:adjustRightInd w:val="0"/>
                    <w:snapToGrid w:val="0"/>
                    <w:jc w:val="center"/>
                    <w:rPr>
                      <w:rFonts w:cs="宋体"/>
                      <w:b/>
                      <w:bCs/>
                      <w:color w:val="auto"/>
                      <w:sz w:val="18"/>
                      <w:szCs w:val="18"/>
                    </w:rPr>
                  </w:pPr>
                  <w:r>
                    <w:rPr>
                      <w:rFonts w:hint="eastAsia" w:cs="宋体"/>
                      <w:b/>
                      <w:bCs/>
                      <w:color w:val="auto"/>
                      <w:sz w:val="18"/>
                      <w:szCs w:val="18"/>
                    </w:rPr>
                    <w:t>kg/h</w:t>
                  </w:r>
                </w:p>
              </w:tc>
            </w:tr>
            <w:tr w14:paraId="47596F7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61" w:hRule="atLeast"/>
                <w:jc w:val="center"/>
              </w:trPr>
              <w:tc>
                <w:tcPr>
                  <w:tcW w:w="377" w:type="dxa"/>
                  <w:vMerge w:val="continue"/>
                  <w:vAlign w:val="center"/>
                </w:tcPr>
                <w:p w14:paraId="1AA7C57B">
                  <w:pPr>
                    <w:adjustRightInd w:val="0"/>
                    <w:snapToGrid w:val="0"/>
                    <w:jc w:val="center"/>
                    <w:rPr>
                      <w:rFonts w:cs="宋体"/>
                      <w:bCs/>
                      <w:color w:val="auto"/>
                      <w:sz w:val="18"/>
                      <w:szCs w:val="18"/>
                    </w:rPr>
                  </w:pPr>
                </w:p>
              </w:tc>
              <w:tc>
                <w:tcPr>
                  <w:tcW w:w="485" w:type="dxa"/>
                  <w:vMerge w:val="continue"/>
                  <w:vAlign w:val="center"/>
                </w:tcPr>
                <w:p w14:paraId="5FB8EDB5">
                  <w:pPr>
                    <w:adjustRightInd w:val="0"/>
                    <w:snapToGrid w:val="0"/>
                    <w:jc w:val="center"/>
                    <w:rPr>
                      <w:rFonts w:cs="宋体"/>
                      <w:bCs/>
                      <w:color w:val="auto"/>
                      <w:sz w:val="18"/>
                      <w:szCs w:val="18"/>
                    </w:rPr>
                  </w:pPr>
                </w:p>
              </w:tc>
              <w:tc>
                <w:tcPr>
                  <w:tcW w:w="654" w:type="dxa"/>
                  <w:vMerge w:val="continue"/>
                  <w:vAlign w:val="center"/>
                </w:tcPr>
                <w:p w14:paraId="6CB569C3">
                  <w:pPr>
                    <w:adjustRightInd w:val="0"/>
                    <w:snapToGrid w:val="0"/>
                    <w:jc w:val="center"/>
                    <w:rPr>
                      <w:rFonts w:cs="宋体"/>
                      <w:bCs/>
                      <w:color w:val="auto"/>
                      <w:sz w:val="18"/>
                      <w:szCs w:val="18"/>
                    </w:rPr>
                  </w:pPr>
                </w:p>
              </w:tc>
              <w:tc>
                <w:tcPr>
                  <w:tcW w:w="595" w:type="dxa"/>
                  <w:vMerge w:val="continue"/>
                  <w:vAlign w:val="center"/>
                </w:tcPr>
                <w:p w14:paraId="5794709C">
                  <w:pPr>
                    <w:adjustRightInd w:val="0"/>
                    <w:snapToGrid w:val="0"/>
                    <w:jc w:val="center"/>
                    <w:rPr>
                      <w:rFonts w:cs="宋体"/>
                      <w:bCs/>
                      <w:color w:val="auto"/>
                      <w:sz w:val="18"/>
                      <w:szCs w:val="18"/>
                    </w:rPr>
                  </w:pPr>
                </w:p>
              </w:tc>
              <w:tc>
                <w:tcPr>
                  <w:tcW w:w="767" w:type="dxa"/>
                  <w:vAlign w:val="center"/>
                </w:tcPr>
                <w:p w14:paraId="637A2B40">
                  <w:pPr>
                    <w:adjustRightInd w:val="0"/>
                    <w:snapToGrid w:val="0"/>
                    <w:jc w:val="center"/>
                    <w:rPr>
                      <w:rFonts w:cs="宋体"/>
                      <w:b/>
                      <w:bCs/>
                      <w:color w:val="auto"/>
                      <w:sz w:val="18"/>
                      <w:szCs w:val="18"/>
                    </w:rPr>
                  </w:pPr>
                  <w:r>
                    <w:rPr>
                      <w:rFonts w:hint="eastAsia" w:cs="宋体"/>
                      <w:b/>
                      <w:bCs/>
                      <w:color w:val="auto"/>
                      <w:sz w:val="18"/>
                      <w:szCs w:val="18"/>
                    </w:rPr>
                    <w:t>kg/h</w:t>
                  </w:r>
                </w:p>
              </w:tc>
              <w:tc>
                <w:tcPr>
                  <w:tcW w:w="877" w:type="dxa"/>
                  <w:vAlign w:val="center"/>
                </w:tcPr>
                <w:p w14:paraId="7FED2656">
                  <w:pPr>
                    <w:adjustRightInd w:val="0"/>
                    <w:snapToGrid w:val="0"/>
                    <w:jc w:val="center"/>
                    <w:rPr>
                      <w:rFonts w:cs="宋体"/>
                      <w:b/>
                      <w:bCs/>
                      <w:color w:val="auto"/>
                      <w:sz w:val="18"/>
                      <w:szCs w:val="18"/>
                    </w:rPr>
                  </w:pPr>
                  <w:r>
                    <w:rPr>
                      <w:rFonts w:hint="eastAsia" w:cs="宋体"/>
                      <w:b/>
                      <w:bCs/>
                      <w:color w:val="auto"/>
                      <w:sz w:val="18"/>
                      <w:szCs w:val="18"/>
                    </w:rPr>
                    <w:t>t/a</w:t>
                  </w:r>
                </w:p>
              </w:tc>
              <w:tc>
                <w:tcPr>
                  <w:tcW w:w="579" w:type="dxa"/>
                  <w:vAlign w:val="center"/>
                </w:tcPr>
                <w:p w14:paraId="1353E77A">
                  <w:pPr>
                    <w:adjustRightInd w:val="0"/>
                    <w:snapToGrid w:val="0"/>
                    <w:jc w:val="center"/>
                    <w:rPr>
                      <w:rFonts w:cs="宋体"/>
                      <w:b/>
                      <w:bCs/>
                      <w:color w:val="auto"/>
                      <w:sz w:val="18"/>
                      <w:szCs w:val="18"/>
                    </w:rPr>
                  </w:pPr>
                  <w:r>
                    <w:rPr>
                      <w:rFonts w:hint="eastAsia" w:cs="宋体"/>
                      <w:b/>
                      <w:bCs/>
                      <w:color w:val="auto"/>
                      <w:sz w:val="18"/>
                      <w:szCs w:val="18"/>
                    </w:rPr>
                    <w:t>m</w:t>
                  </w:r>
                  <w:r>
                    <w:rPr>
                      <w:rFonts w:hint="eastAsia" w:cs="宋体"/>
                      <w:b/>
                      <w:bCs/>
                      <w:color w:val="auto"/>
                      <w:sz w:val="18"/>
                      <w:szCs w:val="18"/>
                      <w:vertAlign w:val="superscript"/>
                    </w:rPr>
                    <w:t>3</w:t>
                  </w:r>
                  <w:r>
                    <w:rPr>
                      <w:rFonts w:hint="eastAsia" w:cs="宋体"/>
                      <w:b/>
                      <w:bCs/>
                      <w:color w:val="auto"/>
                      <w:sz w:val="18"/>
                      <w:szCs w:val="18"/>
                    </w:rPr>
                    <w:t>/h</w:t>
                  </w:r>
                </w:p>
              </w:tc>
              <w:tc>
                <w:tcPr>
                  <w:tcW w:w="522" w:type="dxa"/>
                  <w:vAlign w:val="center"/>
                </w:tcPr>
                <w:p w14:paraId="6B29C317">
                  <w:pPr>
                    <w:adjustRightInd w:val="0"/>
                    <w:snapToGrid w:val="0"/>
                    <w:jc w:val="center"/>
                    <w:rPr>
                      <w:rFonts w:cs="宋体"/>
                      <w:b/>
                      <w:bCs/>
                      <w:color w:val="auto"/>
                      <w:sz w:val="18"/>
                      <w:szCs w:val="18"/>
                    </w:rPr>
                  </w:pPr>
                  <w:r>
                    <w:rPr>
                      <w:rFonts w:hint="eastAsia" w:cs="宋体"/>
                      <w:b/>
                      <w:bCs/>
                      <w:color w:val="auto"/>
                      <w:sz w:val="18"/>
                      <w:szCs w:val="18"/>
                    </w:rPr>
                    <w:t>%</w:t>
                  </w:r>
                </w:p>
              </w:tc>
              <w:tc>
                <w:tcPr>
                  <w:tcW w:w="567" w:type="dxa"/>
                  <w:vAlign w:val="center"/>
                </w:tcPr>
                <w:p w14:paraId="7CDF7F78">
                  <w:pPr>
                    <w:adjustRightInd w:val="0"/>
                    <w:snapToGrid w:val="0"/>
                    <w:jc w:val="center"/>
                    <w:rPr>
                      <w:rFonts w:cs="宋体"/>
                      <w:b/>
                      <w:bCs/>
                      <w:color w:val="auto"/>
                      <w:sz w:val="18"/>
                      <w:szCs w:val="18"/>
                    </w:rPr>
                  </w:pPr>
                  <w:r>
                    <w:rPr>
                      <w:rFonts w:hint="eastAsia" w:cs="宋体"/>
                      <w:b/>
                      <w:bCs/>
                      <w:color w:val="auto"/>
                      <w:sz w:val="18"/>
                      <w:szCs w:val="18"/>
                    </w:rPr>
                    <w:t>%</w:t>
                  </w:r>
                </w:p>
              </w:tc>
              <w:tc>
                <w:tcPr>
                  <w:tcW w:w="593" w:type="dxa"/>
                  <w:vMerge w:val="continue"/>
                  <w:vAlign w:val="center"/>
                </w:tcPr>
                <w:p w14:paraId="7F4169C1">
                  <w:pPr>
                    <w:adjustRightInd w:val="0"/>
                    <w:snapToGrid w:val="0"/>
                    <w:jc w:val="center"/>
                    <w:rPr>
                      <w:rFonts w:cs="宋体"/>
                      <w:bCs/>
                      <w:color w:val="auto"/>
                      <w:sz w:val="18"/>
                      <w:szCs w:val="18"/>
                    </w:rPr>
                  </w:pPr>
                </w:p>
              </w:tc>
              <w:tc>
                <w:tcPr>
                  <w:tcW w:w="608" w:type="dxa"/>
                  <w:vMerge w:val="continue"/>
                  <w:vAlign w:val="center"/>
                </w:tcPr>
                <w:p w14:paraId="3F6C6D20">
                  <w:pPr>
                    <w:adjustRightInd w:val="0"/>
                    <w:snapToGrid w:val="0"/>
                    <w:jc w:val="center"/>
                    <w:rPr>
                      <w:rFonts w:cs="宋体"/>
                      <w:bCs/>
                      <w:color w:val="auto"/>
                      <w:sz w:val="18"/>
                      <w:szCs w:val="18"/>
                    </w:rPr>
                  </w:pPr>
                </w:p>
              </w:tc>
              <w:tc>
                <w:tcPr>
                  <w:tcW w:w="825" w:type="dxa"/>
                  <w:vMerge w:val="continue"/>
                  <w:vAlign w:val="center"/>
                </w:tcPr>
                <w:p w14:paraId="546C3BA4">
                  <w:pPr>
                    <w:adjustRightInd w:val="0"/>
                    <w:snapToGrid w:val="0"/>
                    <w:jc w:val="center"/>
                    <w:rPr>
                      <w:rFonts w:cs="宋体"/>
                      <w:bCs/>
                      <w:color w:val="auto"/>
                      <w:sz w:val="18"/>
                      <w:szCs w:val="18"/>
                    </w:rPr>
                  </w:pPr>
                </w:p>
              </w:tc>
              <w:tc>
                <w:tcPr>
                  <w:tcW w:w="691" w:type="dxa"/>
                  <w:vAlign w:val="center"/>
                </w:tcPr>
                <w:p w14:paraId="668C4449">
                  <w:pPr>
                    <w:adjustRightInd w:val="0"/>
                    <w:snapToGrid w:val="0"/>
                    <w:jc w:val="center"/>
                    <w:rPr>
                      <w:rFonts w:cs="宋体"/>
                      <w:b/>
                      <w:bCs/>
                      <w:color w:val="auto"/>
                      <w:sz w:val="18"/>
                      <w:szCs w:val="18"/>
                    </w:rPr>
                  </w:pPr>
                  <w:r>
                    <w:rPr>
                      <w:rFonts w:hint="eastAsia" w:cs="宋体"/>
                      <w:b/>
                      <w:bCs/>
                      <w:color w:val="auto"/>
                      <w:sz w:val="18"/>
                      <w:szCs w:val="18"/>
                    </w:rPr>
                    <w:t>kg/h</w:t>
                  </w:r>
                </w:p>
              </w:tc>
              <w:tc>
                <w:tcPr>
                  <w:tcW w:w="693" w:type="dxa"/>
                  <w:vAlign w:val="center"/>
                </w:tcPr>
                <w:p w14:paraId="409CDD98">
                  <w:pPr>
                    <w:adjustRightInd w:val="0"/>
                    <w:snapToGrid w:val="0"/>
                    <w:jc w:val="center"/>
                    <w:rPr>
                      <w:rFonts w:cs="宋体"/>
                      <w:b/>
                      <w:bCs/>
                      <w:color w:val="auto"/>
                      <w:sz w:val="18"/>
                      <w:szCs w:val="18"/>
                    </w:rPr>
                  </w:pPr>
                  <w:r>
                    <w:rPr>
                      <w:rFonts w:hint="eastAsia" w:cs="宋体"/>
                      <w:b/>
                      <w:bCs/>
                      <w:color w:val="auto"/>
                      <w:sz w:val="18"/>
                      <w:szCs w:val="18"/>
                    </w:rPr>
                    <w:t>t/a</w:t>
                  </w:r>
                </w:p>
              </w:tc>
              <w:tc>
                <w:tcPr>
                  <w:tcW w:w="613" w:type="dxa"/>
                  <w:vAlign w:val="center"/>
                </w:tcPr>
                <w:p w14:paraId="03641595">
                  <w:pPr>
                    <w:adjustRightInd w:val="0"/>
                    <w:snapToGrid w:val="0"/>
                    <w:jc w:val="center"/>
                    <w:rPr>
                      <w:rFonts w:cs="宋体"/>
                      <w:b/>
                      <w:bCs/>
                      <w:color w:val="auto"/>
                      <w:sz w:val="18"/>
                      <w:szCs w:val="18"/>
                    </w:rPr>
                  </w:pPr>
                  <w:r>
                    <w:rPr>
                      <w:rFonts w:hint="eastAsia" w:cs="宋体"/>
                      <w:b/>
                      <w:bCs/>
                      <w:color w:val="auto"/>
                      <w:sz w:val="18"/>
                      <w:szCs w:val="18"/>
                    </w:rPr>
                    <w:t>/</w:t>
                  </w:r>
                </w:p>
              </w:tc>
              <w:tc>
                <w:tcPr>
                  <w:tcW w:w="425" w:type="dxa"/>
                  <w:vAlign w:val="center"/>
                </w:tcPr>
                <w:p w14:paraId="6DF76AE2">
                  <w:pPr>
                    <w:adjustRightInd w:val="0"/>
                    <w:snapToGrid w:val="0"/>
                    <w:jc w:val="center"/>
                    <w:rPr>
                      <w:rFonts w:cs="宋体"/>
                      <w:b/>
                      <w:bCs/>
                      <w:color w:val="auto"/>
                      <w:sz w:val="18"/>
                      <w:szCs w:val="18"/>
                    </w:rPr>
                  </w:pPr>
                  <w:r>
                    <w:rPr>
                      <w:rFonts w:hint="eastAsia" w:cs="宋体"/>
                      <w:b/>
                      <w:bCs/>
                      <w:color w:val="auto"/>
                      <w:sz w:val="18"/>
                      <w:szCs w:val="18"/>
                    </w:rPr>
                    <w:t>m</w:t>
                  </w:r>
                </w:p>
              </w:tc>
              <w:tc>
                <w:tcPr>
                  <w:tcW w:w="425" w:type="dxa"/>
                  <w:vAlign w:val="center"/>
                </w:tcPr>
                <w:p w14:paraId="574E0B67">
                  <w:pPr>
                    <w:adjustRightInd w:val="0"/>
                    <w:snapToGrid w:val="0"/>
                    <w:jc w:val="center"/>
                    <w:rPr>
                      <w:rFonts w:cs="宋体"/>
                      <w:b/>
                      <w:bCs/>
                      <w:color w:val="auto"/>
                      <w:sz w:val="18"/>
                      <w:szCs w:val="18"/>
                    </w:rPr>
                  </w:pPr>
                  <w:r>
                    <w:rPr>
                      <w:rFonts w:hint="eastAsia" w:cs="宋体"/>
                      <w:b/>
                      <w:bCs/>
                      <w:color w:val="auto"/>
                      <w:sz w:val="18"/>
                      <w:szCs w:val="18"/>
                    </w:rPr>
                    <w:t>m</w:t>
                  </w:r>
                </w:p>
              </w:tc>
              <w:tc>
                <w:tcPr>
                  <w:tcW w:w="496" w:type="dxa"/>
                  <w:vAlign w:val="center"/>
                </w:tcPr>
                <w:p w14:paraId="4B0BA13A">
                  <w:pPr>
                    <w:adjustRightInd w:val="0"/>
                    <w:snapToGrid w:val="0"/>
                    <w:jc w:val="center"/>
                    <w:rPr>
                      <w:rFonts w:cs="宋体"/>
                      <w:b/>
                      <w:bCs/>
                      <w:color w:val="auto"/>
                      <w:sz w:val="18"/>
                      <w:szCs w:val="18"/>
                    </w:rPr>
                  </w:pPr>
                  <w:r>
                    <w:rPr>
                      <w:rFonts w:hint="eastAsia" w:cs="宋体"/>
                      <w:b/>
                      <w:bCs/>
                      <w:color w:val="auto"/>
                      <w:sz w:val="18"/>
                      <w:szCs w:val="18"/>
                    </w:rPr>
                    <w:t>℃</w:t>
                  </w:r>
                </w:p>
              </w:tc>
              <w:tc>
                <w:tcPr>
                  <w:tcW w:w="647" w:type="dxa"/>
                  <w:vAlign w:val="center"/>
                </w:tcPr>
                <w:p w14:paraId="4D2AA013">
                  <w:pPr>
                    <w:adjustRightInd w:val="0"/>
                    <w:snapToGrid w:val="0"/>
                    <w:jc w:val="center"/>
                    <w:rPr>
                      <w:rFonts w:cs="宋体"/>
                      <w:b/>
                      <w:bCs/>
                      <w:color w:val="auto"/>
                      <w:sz w:val="18"/>
                      <w:szCs w:val="18"/>
                    </w:rPr>
                  </w:pPr>
                  <w:r>
                    <w:rPr>
                      <w:rFonts w:hint="eastAsia" w:cs="宋体"/>
                      <w:b/>
                      <w:bCs/>
                      <w:color w:val="auto"/>
                      <w:sz w:val="18"/>
                      <w:szCs w:val="18"/>
                    </w:rPr>
                    <w:t>/</w:t>
                  </w:r>
                </w:p>
              </w:tc>
              <w:tc>
                <w:tcPr>
                  <w:tcW w:w="602" w:type="dxa"/>
                  <w:vAlign w:val="center"/>
                </w:tcPr>
                <w:p w14:paraId="06FED3FC">
                  <w:pPr>
                    <w:adjustRightInd w:val="0"/>
                    <w:snapToGrid w:val="0"/>
                    <w:jc w:val="center"/>
                    <w:rPr>
                      <w:rFonts w:cs="宋体"/>
                      <w:b/>
                      <w:bCs/>
                      <w:color w:val="auto"/>
                      <w:sz w:val="18"/>
                      <w:szCs w:val="18"/>
                    </w:rPr>
                  </w:pPr>
                  <w:r>
                    <w:rPr>
                      <w:rFonts w:hint="eastAsia" w:cs="宋体"/>
                      <w:b/>
                      <w:bCs/>
                      <w:color w:val="auto"/>
                      <w:sz w:val="18"/>
                      <w:szCs w:val="18"/>
                    </w:rPr>
                    <w:t>/</w:t>
                  </w:r>
                </w:p>
              </w:tc>
              <w:tc>
                <w:tcPr>
                  <w:tcW w:w="775" w:type="dxa"/>
                  <w:vMerge w:val="continue"/>
                  <w:vAlign w:val="center"/>
                </w:tcPr>
                <w:p w14:paraId="6058B659">
                  <w:pPr>
                    <w:adjustRightInd w:val="0"/>
                    <w:snapToGrid w:val="0"/>
                    <w:jc w:val="center"/>
                    <w:rPr>
                      <w:rFonts w:cs="宋体"/>
                      <w:bCs/>
                      <w:color w:val="auto"/>
                      <w:sz w:val="18"/>
                      <w:szCs w:val="18"/>
                    </w:rPr>
                  </w:pPr>
                </w:p>
              </w:tc>
              <w:tc>
                <w:tcPr>
                  <w:tcW w:w="607" w:type="dxa"/>
                  <w:vMerge w:val="continue"/>
                  <w:vAlign w:val="center"/>
                </w:tcPr>
                <w:p w14:paraId="66240A3C">
                  <w:pPr>
                    <w:adjustRightInd w:val="0"/>
                    <w:snapToGrid w:val="0"/>
                    <w:jc w:val="center"/>
                    <w:rPr>
                      <w:rFonts w:cs="宋体"/>
                      <w:bCs/>
                      <w:color w:val="auto"/>
                      <w:sz w:val="18"/>
                      <w:szCs w:val="18"/>
                    </w:rPr>
                  </w:pPr>
                </w:p>
              </w:tc>
            </w:tr>
            <w:tr w14:paraId="6C0B779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930" w:hRule="atLeast"/>
                <w:jc w:val="center"/>
              </w:trPr>
              <w:tc>
                <w:tcPr>
                  <w:tcW w:w="377" w:type="dxa"/>
                  <w:vAlign w:val="center"/>
                </w:tcPr>
                <w:p w14:paraId="3FA0C0AE">
                  <w:pPr>
                    <w:adjustRightInd w:val="0"/>
                    <w:snapToGrid w:val="0"/>
                    <w:jc w:val="center"/>
                    <w:rPr>
                      <w:rFonts w:cs="宋体"/>
                      <w:bCs/>
                      <w:color w:val="auto"/>
                      <w:sz w:val="18"/>
                      <w:szCs w:val="18"/>
                    </w:rPr>
                  </w:pPr>
                  <w:r>
                    <w:rPr>
                      <w:rFonts w:hint="eastAsia" w:cs="宋体"/>
                      <w:bCs/>
                      <w:color w:val="auto"/>
                      <w:sz w:val="18"/>
                      <w:szCs w:val="18"/>
                    </w:rPr>
                    <w:t>食堂油烟</w:t>
                  </w:r>
                </w:p>
              </w:tc>
              <w:tc>
                <w:tcPr>
                  <w:tcW w:w="485" w:type="dxa"/>
                  <w:vMerge w:val="restart"/>
                  <w:vAlign w:val="center"/>
                </w:tcPr>
                <w:p w14:paraId="78F05F43">
                  <w:pPr>
                    <w:adjustRightInd w:val="0"/>
                    <w:snapToGrid w:val="0"/>
                    <w:jc w:val="center"/>
                    <w:rPr>
                      <w:rFonts w:hint="eastAsia" w:eastAsia="宋体" w:cs="宋体"/>
                      <w:bCs/>
                      <w:color w:val="auto"/>
                      <w:sz w:val="18"/>
                      <w:szCs w:val="18"/>
                      <w:lang w:val="en-US" w:eastAsia="zh-CN"/>
                    </w:rPr>
                  </w:pPr>
                  <w:r>
                    <w:rPr>
                      <w:rFonts w:hint="eastAsia"/>
                      <w:lang w:val="en-US" w:eastAsia="zh-CN"/>
                    </w:rPr>
                    <w:t>有组织</w:t>
                  </w:r>
                </w:p>
              </w:tc>
              <w:tc>
                <w:tcPr>
                  <w:tcW w:w="654" w:type="dxa"/>
                  <w:vAlign w:val="center"/>
                </w:tcPr>
                <w:p w14:paraId="6CD77FDF">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油烟</w:t>
                  </w:r>
                </w:p>
              </w:tc>
              <w:tc>
                <w:tcPr>
                  <w:tcW w:w="595" w:type="dxa"/>
                  <w:vAlign w:val="center"/>
                </w:tcPr>
                <w:p w14:paraId="591A6B68">
                  <w:pPr>
                    <w:widowControl/>
                    <w:adjustRightInd w:val="0"/>
                    <w:snapToGrid w:val="0"/>
                    <w:jc w:val="center"/>
                    <w:textAlignment w:val="center"/>
                    <w:rPr>
                      <w:rFonts w:hint="default" w:eastAsia="宋体" w:cs="宋体"/>
                      <w:bCs/>
                      <w:color w:val="auto"/>
                      <w:sz w:val="18"/>
                      <w:szCs w:val="18"/>
                      <w:lang w:val="en-US" w:eastAsia="zh-CN"/>
                    </w:rPr>
                  </w:pPr>
                  <w:r>
                    <w:rPr>
                      <w:rFonts w:hint="eastAsia"/>
                      <w:color w:val="auto"/>
                      <w:kern w:val="0"/>
                      <w:sz w:val="18"/>
                      <w:szCs w:val="18"/>
                      <w:lang w:val="en-US" w:eastAsia="zh-CN" w:bidi="ar"/>
                    </w:rPr>
                    <w:t>2.16</w:t>
                  </w:r>
                </w:p>
              </w:tc>
              <w:tc>
                <w:tcPr>
                  <w:tcW w:w="767" w:type="dxa"/>
                  <w:vAlign w:val="center"/>
                </w:tcPr>
                <w:p w14:paraId="601602C8">
                  <w:pPr>
                    <w:widowControl/>
                    <w:adjustRightInd w:val="0"/>
                    <w:snapToGrid w:val="0"/>
                    <w:jc w:val="center"/>
                    <w:textAlignment w:val="center"/>
                    <w:rPr>
                      <w:rFonts w:hint="default" w:eastAsia="宋体" w:cs="宋体"/>
                      <w:bCs/>
                      <w:color w:val="auto"/>
                      <w:sz w:val="18"/>
                      <w:szCs w:val="18"/>
                      <w:lang w:val="en-US" w:eastAsia="zh-CN"/>
                    </w:rPr>
                  </w:pPr>
                  <w:r>
                    <w:rPr>
                      <w:rFonts w:hint="eastAsia" w:cs="宋体"/>
                      <w:bCs/>
                      <w:color w:val="auto"/>
                      <w:sz w:val="18"/>
                      <w:szCs w:val="18"/>
                      <w:lang w:val="en-US" w:eastAsia="zh-CN"/>
                    </w:rPr>
                    <w:t>0.0130</w:t>
                  </w:r>
                </w:p>
              </w:tc>
              <w:tc>
                <w:tcPr>
                  <w:tcW w:w="877" w:type="dxa"/>
                  <w:vAlign w:val="center"/>
                </w:tcPr>
                <w:p w14:paraId="273C5811">
                  <w:pPr>
                    <w:widowControl/>
                    <w:adjustRightInd w:val="0"/>
                    <w:snapToGrid w:val="0"/>
                    <w:jc w:val="center"/>
                    <w:textAlignment w:val="center"/>
                    <w:rPr>
                      <w:rFonts w:hint="default" w:eastAsia="宋体" w:cs="宋体"/>
                      <w:bCs/>
                      <w:color w:val="auto"/>
                      <w:sz w:val="18"/>
                      <w:szCs w:val="18"/>
                      <w:lang w:val="en-US" w:eastAsia="zh-CN"/>
                    </w:rPr>
                  </w:pPr>
                  <w:r>
                    <w:rPr>
                      <w:rFonts w:hint="eastAsia" w:cs="宋体"/>
                      <w:bCs/>
                      <w:color w:val="auto"/>
                      <w:sz w:val="18"/>
                      <w:szCs w:val="18"/>
                      <w:lang w:val="en-US" w:eastAsia="zh-CN"/>
                    </w:rPr>
                    <w:t>0.0237</w:t>
                  </w:r>
                </w:p>
              </w:tc>
              <w:tc>
                <w:tcPr>
                  <w:tcW w:w="579" w:type="dxa"/>
                  <w:vAlign w:val="center"/>
                </w:tcPr>
                <w:p w14:paraId="054FB650">
                  <w:pPr>
                    <w:widowControl/>
                    <w:adjustRightInd w:val="0"/>
                    <w:snapToGrid w:val="0"/>
                    <w:jc w:val="center"/>
                    <w:textAlignment w:val="center"/>
                    <w:rPr>
                      <w:rFonts w:cs="宋体"/>
                      <w:bCs/>
                      <w:color w:val="auto"/>
                      <w:sz w:val="18"/>
                      <w:szCs w:val="18"/>
                    </w:rPr>
                  </w:pPr>
                  <w:r>
                    <w:rPr>
                      <w:rFonts w:hint="eastAsia"/>
                      <w:color w:val="auto"/>
                      <w:kern w:val="0"/>
                      <w:sz w:val="18"/>
                      <w:szCs w:val="18"/>
                      <w:lang w:bidi="ar"/>
                    </w:rPr>
                    <w:t>6000</w:t>
                  </w:r>
                </w:p>
              </w:tc>
              <w:tc>
                <w:tcPr>
                  <w:tcW w:w="522" w:type="dxa"/>
                  <w:vAlign w:val="center"/>
                </w:tcPr>
                <w:p w14:paraId="58401DB2">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567" w:type="dxa"/>
                  <w:vAlign w:val="center"/>
                </w:tcPr>
                <w:p w14:paraId="5ED392FB">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60</w:t>
                  </w:r>
                </w:p>
              </w:tc>
              <w:tc>
                <w:tcPr>
                  <w:tcW w:w="593" w:type="dxa"/>
                  <w:vAlign w:val="center"/>
                </w:tcPr>
                <w:p w14:paraId="0D62F438">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是</w:t>
                  </w:r>
                </w:p>
              </w:tc>
              <w:tc>
                <w:tcPr>
                  <w:tcW w:w="608" w:type="dxa"/>
                  <w:vAlign w:val="center"/>
                </w:tcPr>
                <w:p w14:paraId="17756BF8">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油烟净化器</w:t>
                  </w:r>
                </w:p>
              </w:tc>
              <w:tc>
                <w:tcPr>
                  <w:tcW w:w="825" w:type="dxa"/>
                  <w:vAlign w:val="center"/>
                </w:tcPr>
                <w:p w14:paraId="2DC9E6F9">
                  <w:pPr>
                    <w:widowControl/>
                    <w:adjustRightInd w:val="0"/>
                    <w:snapToGrid w:val="0"/>
                    <w:jc w:val="center"/>
                    <w:textAlignment w:val="center"/>
                    <w:rPr>
                      <w:rFonts w:hint="default" w:eastAsia="宋体" w:cs="宋体"/>
                      <w:bCs/>
                      <w:color w:val="auto"/>
                      <w:sz w:val="18"/>
                      <w:szCs w:val="18"/>
                      <w:lang w:val="en-US" w:eastAsia="zh-CN"/>
                    </w:rPr>
                  </w:pPr>
                  <w:r>
                    <w:rPr>
                      <w:rFonts w:hint="eastAsia" w:cs="宋体"/>
                      <w:bCs/>
                      <w:color w:val="auto"/>
                      <w:sz w:val="18"/>
                      <w:szCs w:val="18"/>
                      <w:lang w:val="en-US" w:eastAsia="zh-CN"/>
                    </w:rPr>
                    <w:t>0.8640</w:t>
                  </w:r>
                </w:p>
              </w:tc>
              <w:tc>
                <w:tcPr>
                  <w:tcW w:w="691" w:type="dxa"/>
                  <w:vAlign w:val="center"/>
                </w:tcPr>
                <w:p w14:paraId="1EE2F0A2">
                  <w:pPr>
                    <w:widowControl/>
                    <w:adjustRightInd w:val="0"/>
                    <w:snapToGrid w:val="0"/>
                    <w:jc w:val="center"/>
                    <w:textAlignment w:val="center"/>
                    <w:rPr>
                      <w:rFonts w:hint="default" w:eastAsia="宋体" w:cs="宋体"/>
                      <w:bCs/>
                      <w:color w:val="auto"/>
                      <w:sz w:val="18"/>
                      <w:szCs w:val="18"/>
                      <w:lang w:val="en-US" w:eastAsia="zh-CN"/>
                    </w:rPr>
                  </w:pPr>
                  <w:r>
                    <w:rPr>
                      <w:rFonts w:hint="eastAsia" w:cs="宋体"/>
                      <w:bCs/>
                      <w:color w:val="auto"/>
                      <w:sz w:val="18"/>
                      <w:szCs w:val="18"/>
                      <w:lang w:val="en-US" w:eastAsia="zh-CN"/>
                    </w:rPr>
                    <w:t>0.0052</w:t>
                  </w:r>
                </w:p>
              </w:tc>
              <w:tc>
                <w:tcPr>
                  <w:tcW w:w="693" w:type="dxa"/>
                  <w:vAlign w:val="center"/>
                </w:tcPr>
                <w:p w14:paraId="0CB4FEF8">
                  <w:pPr>
                    <w:widowControl/>
                    <w:adjustRightInd w:val="0"/>
                    <w:snapToGrid w:val="0"/>
                    <w:jc w:val="center"/>
                    <w:textAlignment w:val="center"/>
                    <w:rPr>
                      <w:rFonts w:hint="default" w:eastAsia="宋体" w:cs="宋体"/>
                      <w:bCs/>
                      <w:color w:val="auto"/>
                      <w:sz w:val="18"/>
                      <w:szCs w:val="18"/>
                      <w:lang w:val="en-US" w:eastAsia="zh-CN"/>
                    </w:rPr>
                  </w:pPr>
                  <w:r>
                    <w:rPr>
                      <w:rFonts w:hint="eastAsia" w:cs="宋体"/>
                      <w:bCs/>
                      <w:color w:val="auto"/>
                      <w:sz w:val="18"/>
                      <w:szCs w:val="18"/>
                      <w:lang w:val="en-US" w:eastAsia="zh-CN"/>
                    </w:rPr>
                    <w:t>0.0095</w:t>
                  </w:r>
                </w:p>
              </w:tc>
              <w:tc>
                <w:tcPr>
                  <w:tcW w:w="613" w:type="dxa"/>
                  <w:vAlign w:val="center"/>
                </w:tcPr>
                <w:p w14:paraId="55890901">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油烟废气排气筒</w:t>
                  </w:r>
                </w:p>
              </w:tc>
              <w:tc>
                <w:tcPr>
                  <w:tcW w:w="425" w:type="dxa"/>
                  <w:vAlign w:val="center"/>
                </w:tcPr>
                <w:p w14:paraId="0516327A">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425" w:type="dxa"/>
                  <w:vAlign w:val="center"/>
                </w:tcPr>
                <w:p w14:paraId="774BFDDF">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496" w:type="dxa"/>
                  <w:vAlign w:val="center"/>
                </w:tcPr>
                <w:p w14:paraId="351F13AE">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647" w:type="dxa"/>
                  <w:vAlign w:val="center"/>
                </w:tcPr>
                <w:p w14:paraId="61AA7E02">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602" w:type="dxa"/>
                  <w:vAlign w:val="center"/>
                </w:tcPr>
                <w:p w14:paraId="33F7D221">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775" w:type="dxa"/>
                  <w:vAlign w:val="center"/>
                </w:tcPr>
                <w:p w14:paraId="0E029BD7">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2</w:t>
                  </w:r>
                </w:p>
              </w:tc>
              <w:tc>
                <w:tcPr>
                  <w:tcW w:w="607" w:type="dxa"/>
                  <w:vAlign w:val="center"/>
                </w:tcPr>
                <w:p w14:paraId="09FC3DD7">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r>
            <w:tr w14:paraId="2790AB8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730" w:hRule="atLeast"/>
                <w:jc w:val="center"/>
              </w:trPr>
              <w:tc>
                <w:tcPr>
                  <w:tcW w:w="377" w:type="dxa"/>
                  <w:vMerge w:val="restart"/>
                  <w:vAlign w:val="center"/>
                </w:tcPr>
                <w:p w14:paraId="64D70356">
                  <w:pPr>
                    <w:adjustRightInd w:val="0"/>
                    <w:snapToGrid w:val="0"/>
                    <w:jc w:val="center"/>
                    <w:rPr>
                      <w:rFonts w:cs="宋体"/>
                      <w:bCs/>
                      <w:color w:val="auto"/>
                      <w:sz w:val="18"/>
                      <w:szCs w:val="18"/>
                    </w:rPr>
                  </w:pPr>
                  <w:r>
                    <w:rPr>
                      <w:rFonts w:hint="eastAsia" w:cs="宋体"/>
                      <w:bCs/>
                      <w:color w:val="auto"/>
                      <w:sz w:val="18"/>
                      <w:szCs w:val="18"/>
                    </w:rPr>
                    <w:t>污水处理站恶臭废气</w:t>
                  </w:r>
                </w:p>
              </w:tc>
              <w:tc>
                <w:tcPr>
                  <w:tcW w:w="485" w:type="dxa"/>
                  <w:vMerge w:val="continue"/>
                  <w:vAlign w:val="center"/>
                </w:tcPr>
                <w:p w14:paraId="5F554291">
                  <w:pPr>
                    <w:adjustRightInd w:val="0"/>
                    <w:snapToGrid w:val="0"/>
                    <w:jc w:val="center"/>
                    <w:rPr>
                      <w:rFonts w:cs="宋体"/>
                      <w:bCs/>
                      <w:color w:val="auto"/>
                      <w:sz w:val="18"/>
                      <w:szCs w:val="18"/>
                    </w:rPr>
                  </w:pPr>
                </w:p>
              </w:tc>
              <w:tc>
                <w:tcPr>
                  <w:tcW w:w="654" w:type="dxa"/>
                  <w:vAlign w:val="center"/>
                </w:tcPr>
                <w:p w14:paraId="2913AB6D">
                  <w:pPr>
                    <w:widowControl/>
                    <w:adjustRightInd w:val="0"/>
                    <w:snapToGrid w:val="0"/>
                    <w:jc w:val="center"/>
                    <w:textAlignment w:val="center"/>
                    <w:rPr>
                      <w:rFonts w:cs="宋体"/>
                      <w:color w:val="auto"/>
                      <w:sz w:val="18"/>
                      <w:szCs w:val="18"/>
                    </w:rPr>
                  </w:pPr>
                  <w:r>
                    <w:rPr>
                      <w:rFonts w:hint="eastAsia" w:cs="宋体"/>
                      <w:color w:val="auto"/>
                      <w:kern w:val="0"/>
                      <w:sz w:val="18"/>
                      <w:szCs w:val="18"/>
                      <w:lang w:bidi="ar"/>
                    </w:rPr>
                    <w:t>氨</w:t>
                  </w:r>
                </w:p>
              </w:tc>
              <w:tc>
                <w:tcPr>
                  <w:tcW w:w="595" w:type="dxa"/>
                  <w:vAlign w:val="center"/>
                </w:tcPr>
                <w:p w14:paraId="3D8FC04B">
                  <w:pPr>
                    <w:widowControl/>
                    <w:adjustRightInd w:val="0"/>
                    <w:snapToGrid w:val="0"/>
                    <w:jc w:val="center"/>
                    <w:textAlignment w:val="center"/>
                    <w:rPr>
                      <w:rFonts w:cs="宋体"/>
                      <w:bCs/>
                      <w:color w:val="auto"/>
                      <w:sz w:val="18"/>
                      <w:szCs w:val="18"/>
                    </w:rPr>
                  </w:pPr>
                  <w:r>
                    <w:rPr>
                      <w:color w:val="auto"/>
                      <w:kern w:val="0"/>
                      <w:sz w:val="18"/>
                      <w:szCs w:val="18"/>
                      <w:lang w:bidi="ar"/>
                    </w:rPr>
                    <w:t>/</w:t>
                  </w:r>
                </w:p>
              </w:tc>
              <w:tc>
                <w:tcPr>
                  <w:tcW w:w="767" w:type="dxa"/>
                  <w:vAlign w:val="center"/>
                </w:tcPr>
                <w:p w14:paraId="59897F78">
                  <w:pPr>
                    <w:widowControl/>
                    <w:adjustRightInd w:val="0"/>
                    <w:snapToGrid w:val="0"/>
                    <w:jc w:val="center"/>
                    <w:textAlignment w:val="center"/>
                    <w:rPr>
                      <w:rFonts w:hint="eastAsia" w:eastAsia="宋体" w:cs="宋体"/>
                      <w:bCs/>
                      <w:color w:val="auto"/>
                      <w:sz w:val="18"/>
                      <w:szCs w:val="18"/>
                      <w:lang w:eastAsia="zh-CN"/>
                    </w:rPr>
                  </w:pPr>
                  <w:r>
                    <w:rPr>
                      <w:rFonts w:hint="eastAsia" w:cs="宋体"/>
                      <w:bCs/>
                      <w:color w:val="auto"/>
                      <w:sz w:val="18"/>
                      <w:szCs w:val="18"/>
                      <w:lang w:val="en-US" w:eastAsia="zh-CN"/>
                    </w:rPr>
                    <w:t>1.38</w:t>
                  </w:r>
                  <w:r>
                    <w:rPr>
                      <w:rFonts w:ascii="Arial" w:hAnsi="Arial" w:cs="Arial"/>
                      <w:bCs/>
                      <w:color w:val="auto"/>
                      <w:sz w:val="18"/>
                      <w:szCs w:val="18"/>
                    </w:rPr>
                    <w:t>×</w:t>
                  </w:r>
                  <w:r>
                    <w:rPr>
                      <w:rFonts w:hint="eastAsia" w:cs="宋体"/>
                      <w:bCs/>
                      <w:color w:val="auto"/>
                      <w:sz w:val="18"/>
                      <w:szCs w:val="18"/>
                    </w:rPr>
                    <w:t>10</w:t>
                  </w:r>
                  <w:r>
                    <w:rPr>
                      <w:rFonts w:hint="eastAsia" w:cs="宋体"/>
                      <w:bCs/>
                      <w:color w:val="auto"/>
                      <w:sz w:val="18"/>
                      <w:szCs w:val="18"/>
                      <w:vertAlign w:val="superscript"/>
                    </w:rPr>
                    <w:t>-</w:t>
                  </w:r>
                  <w:r>
                    <w:rPr>
                      <w:rFonts w:hint="eastAsia" w:cs="宋体"/>
                      <w:bCs/>
                      <w:color w:val="auto"/>
                      <w:sz w:val="18"/>
                      <w:szCs w:val="18"/>
                      <w:vertAlign w:val="superscript"/>
                      <w:lang w:val="en-US" w:eastAsia="zh-CN"/>
                    </w:rPr>
                    <w:t>4</w:t>
                  </w:r>
                </w:p>
              </w:tc>
              <w:tc>
                <w:tcPr>
                  <w:tcW w:w="877" w:type="dxa"/>
                  <w:vAlign w:val="center"/>
                </w:tcPr>
                <w:p w14:paraId="6DBE3CF9">
                  <w:pPr>
                    <w:widowControl/>
                    <w:adjustRightInd w:val="0"/>
                    <w:snapToGrid w:val="0"/>
                    <w:jc w:val="center"/>
                    <w:textAlignment w:val="center"/>
                    <w:rPr>
                      <w:rFonts w:hint="eastAsia" w:eastAsia="宋体" w:cs="宋体"/>
                      <w:bCs/>
                      <w:color w:val="auto"/>
                      <w:sz w:val="18"/>
                      <w:szCs w:val="18"/>
                      <w:lang w:val="en-US" w:eastAsia="zh-CN"/>
                    </w:rPr>
                  </w:pPr>
                  <w:r>
                    <w:rPr>
                      <w:rFonts w:hint="eastAsia" w:cs="宋体"/>
                      <w:bCs/>
                      <w:color w:val="auto"/>
                      <w:sz w:val="18"/>
                      <w:szCs w:val="18"/>
                      <w:lang w:val="en-US" w:eastAsia="zh-CN"/>
                    </w:rPr>
                    <w:t>1.2112</w:t>
                  </w:r>
                  <w:r>
                    <w:rPr>
                      <w:rFonts w:ascii="Arial" w:hAnsi="Arial" w:cs="Arial"/>
                      <w:bCs/>
                      <w:color w:val="auto"/>
                      <w:sz w:val="18"/>
                      <w:szCs w:val="18"/>
                    </w:rPr>
                    <w:t>×</w:t>
                  </w:r>
                  <w:r>
                    <w:rPr>
                      <w:rFonts w:hint="eastAsia" w:cs="宋体"/>
                      <w:bCs/>
                      <w:color w:val="auto"/>
                      <w:sz w:val="18"/>
                      <w:szCs w:val="18"/>
                    </w:rPr>
                    <w:t>10</w:t>
                  </w:r>
                  <w:r>
                    <w:rPr>
                      <w:rFonts w:hint="eastAsia" w:cs="宋体"/>
                      <w:bCs/>
                      <w:color w:val="auto"/>
                      <w:sz w:val="18"/>
                      <w:szCs w:val="18"/>
                      <w:vertAlign w:val="superscript"/>
                    </w:rPr>
                    <w:t>-</w:t>
                  </w:r>
                  <w:r>
                    <w:rPr>
                      <w:rFonts w:hint="eastAsia" w:cs="宋体"/>
                      <w:bCs/>
                      <w:color w:val="auto"/>
                      <w:sz w:val="18"/>
                      <w:szCs w:val="18"/>
                      <w:vertAlign w:val="superscript"/>
                      <w:lang w:val="en-US" w:eastAsia="zh-CN"/>
                    </w:rPr>
                    <w:t>3</w:t>
                  </w:r>
                </w:p>
              </w:tc>
              <w:tc>
                <w:tcPr>
                  <w:tcW w:w="579" w:type="dxa"/>
                  <w:vAlign w:val="center"/>
                </w:tcPr>
                <w:p w14:paraId="3946A35F">
                  <w:pPr>
                    <w:widowControl/>
                    <w:adjustRightInd w:val="0"/>
                    <w:snapToGrid w:val="0"/>
                    <w:jc w:val="center"/>
                    <w:textAlignment w:val="center"/>
                    <w:rPr>
                      <w:rFonts w:cs="宋体"/>
                      <w:bCs/>
                      <w:color w:val="auto"/>
                      <w:sz w:val="18"/>
                      <w:szCs w:val="18"/>
                    </w:rPr>
                  </w:pPr>
                  <w:r>
                    <w:rPr>
                      <w:color w:val="auto"/>
                      <w:kern w:val="0"/>
                      <w:sz w:val="18"/>
                      <w:szCs w:val="18"/>
                      <w:lang w:bidi="ar"/>
                    </w:rPr>
                    <w:t>/</w:t>
                  </w:r>
                </w:p>
              </w:tc>
              <w:tc>
                <w:tcPr>
                  <w:tcW w:w="522" w:type="dxa"/>
                  <w:vAlign w:val="center"/>
                </w:tcPr>
                <w:p w14:paraId="67C70B37">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567" w:type="dxa"/>
                  <w:vAlign w:val="center"/>
                </w:tcPr>
                <w:p w14:paraId="5860759B">
                  <w:pPr>
                    <w:widowControl/>
                    <w:adjustRightInd w:val="0"/>
                    <w:snapToGrid w:val="0"/>
                    <w:jc w:val="center"/>
                    <w:textAlignment w:val="center"/>
                    <w:rPr>
                      <w:rFonts w:cs="宋体"/>
                      <w:bCs/>
                      <w:color w:val="auto"/>
                      <w:sz w:val="18"/>
                      <w:szCs w:val="18"/>
                    </w:rPr>
                  </w:pPr>
                  <w:r>
                    <w:rPr>
                      <w:rFonts w:cs="宋体"/>
                      <w:color w:val="auto"/>
                      <w:kern w:val="0"/>
                      <w:sz w:val="18"/>
                      <w:szCs w:val="18"/>
                      <w:lang w:bidi="ar"/>
                    </w:rPr>
                    <w:t>40</w:t>
                  </w:r>
                </w:p>
              </w:tc>
              <w:tc>
                <w:tcPr>
                  <w:tcW w:w="593" w:type="dxa"/>
                  <w:vAlign w:val="center"/>
                </w:tcPr>
                <w:p w14:paraId="3876AF87">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608" w:type="dxa"/>
                  <w:vMerge w:val="restart"/>
                  <w:vAlign w:val="center"/>
                </w:tcPr>
                <w:p w14:paraId="13B5AE66">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加盖，投加除臭剂</w:t>
                  </w:r>
                </w:p>
              </w:tc>
              <w:tc>
                <w:tcPr>
                  <w:tcW w:w="825" w:type="dxa"/>
                  <w:vAlign w:val="center"/>
                </w:tcPr>
                <w:p w14:paraId="1694B1A9">
                  <w:pPr>
                    <w:widowControl/>
                    <w:adjustRightInd w:val="0"/>
                    <w:snapToGrid w:val="0"/>
                    <w:jc w:val="center"/>
                    <w:textAlignment w:val="center"/>
                    <w:rPr>
                      <w:rFonts w:cs="宋体"/>
                      <w:bCs/>
                      <w:color w:val="auto"/>
                      <w:sz w:val="18"/>
                      <w:szCs w:val="18"/>
                    </w:rPr>
                  </w:pPr>
                  <w:r>
                    <w:rPr>
                      <w:color w:val="auto"/>
                      <w:kern w:val="0"/>
                      <w:sz w:val="18"/>
                      <w:szCs w:val="18"/>
                      <w:lang w:bidi="ar"/>
                    </w:rPr>
                    <w:t>/</w:t>
                  </w:r>
                </w:p>
              </w:tc>
              <w:tc>
                <w:tcPr>
                  <w:tcW w:w="691" w:type="dxa"/>
                  <w:vAlign w:val="center"/>
                </w:tcPr>
                <w:p w14:paraId="473BEB64">
                  <w:pPr>
                    <w:widowControl/>
                    <w:adjustRightInd w:val="0"/>
                    <w:snapToGrid w:val="0"/>
                    <w:jc w:val="center"/>
                    <w:textAlignment w:val="center"/>
                    <w:rPr>
                      <w:rFonts w:cs="宋体"/>
                      <w:bCs/>
                      <w:color w:val="auto"/>
                      <w:sz w:val="18"/>
                      <w:szCs w:val="18"/>
                    </w:rPr>
                  </w:pPr>
                  <w:r>
                    <w:rPr>
                      <w:rFonts w:hint="eastAsia" w:cs="宋体"/>
                      <w:bCs/>
                      <w:color w:val="auto"/>
                      <w:sz w:val="18"/>
                      <w:szCs w:val="18"/>
                      <w:lang w:val="en-US" w:eastAsia="zh-CN"/>
                    </w:rPr>
                    <w:t>8.30</w:t>
                  </w:r>
                  <w:r>
                    <w:rPr>
                      <w:rFonts w:hint="eastAsia" w:cs="宋体"/>
                      <w:bCs/>
                      <w:color w:val="auto"/>
                      <w:sz w:val="18"/>
                      <w:szCs w:val="18"/>
                    </w:rPr>
                    <w:t>×</w:t>
                  </w:r>
                  <w:r>
                    <w:rPr>
                      <w:rFonts w:cs="宋体"/>
                      <w:bCs/>
                      <w:color w:val="auto"/>
                      <w:sz w:val="18"/>
                      <w:szCs w:val="18"/>
                    </w:rPr>
                    <w:t>10</w:t>
                  </w:r>
                  <w:r>
                    <w:rPr>
                      <w:rFonts w:hint="eastAsia" w:cs="宋体"/>
                      <w:bCs/>
                      <w:color w:val="auto"/>
                      <w:sz w:val="18"/>
                      <w:szCs w:val="18"/>
                      <w:vertAlign w:val="superscript"/>
                    </w:rPr>
                    <w:t>-5</w:t>
                  </w:r>
                </w:p>
              </w:tc>
              <w:tc>
                <w:tcPr>
                  <w:tcW w:w="693" w:type="dxa"/>
                  <w:vAlign w:val="center"/>
                </w:tcPr>
                <w:p w14:paraId="439718B0">
                  <w:pPr>
                    <w:widowControl/>
                    <w:adjustRightInd w:val="0"/>
                    <w:snapToGrid w:val="0"/>
                    <w:jc w:val="center"/>
                    <w:textAlignment w:val="center"/>
                    <w:rPr>
                      <w:rFonts w:cs="宋体"/>
                      <w:bCs/>
                      <w:color w:val="auto"/>
                      <w:sz w:val="18"/>
                      <w:szCs w:val="18"/>
                    </w:rPr>
                  </w:pPr>
                  <w:r>
                    <w:rPr>
                      <w:rFonts w:hint="eastAsia" w:cs="宋体"/>
                      <w:bCs/>
                      <w:color w:val="auto"/>
                      <w:sz w:val="18"/>
                      <w:szCs w:val="18"/>
                      <w:lang w:val="en-US" w:eastAsia="zh-CN"/>
                    </w:rPr>
                    <w:t>7.267</w:t>
                  </w:r>
                  <w:r>
                    <w:rPr>
                      <w:rFonts w:hint="eastAsia" w:cs="宋体"/>
                      <w:bCs/>
                      <w:color w:val="auto"/>
                      <w:sz w:val="18"/>
                      <w:szCs w:val="18"/>
                    </w:rPr>
                    <w:t>×</w:t>
                  </w:r>
                  <w:r>
                    <w:rPr>
                      <w:rFonts w:cs="宋体"/>
                      <w:bCs/>
                      <w:color w:val="auto"/>
                      <w:sz w:val="18"/>
                      <w:szCs w:val="18"/>
                    </w:rPr>
                    <w:t>10</w:t>
                  </w:r>
                  <w:r>
                    <w:rPr>
                      <w:rFonts w:cs="宋体"/>
                      <w:bCs/>
                      <w:color w:val="auto"/>
                      <w:sz w:val="18"/>
                      <w:szCs w:val="18"/>
                      <w:vertAlign w:val="superscript"/>
                    </w:rPr>
                    <w:t>-</w:t>
                  </w:r>
                  <w:r>
                    <w:rPr>
                      <w:rFonts w:hint="eastAsia" w:cs="宋体"/>
                      <w:bCs/>
                      <w:color w:val="auto"/>
                      <w:sz w:val="18"/>
                      <w:szCs w:val="18"/>
                      <w:vertAlign w:val="superscript"/>
                    </w:rPr>
                    <w:t>4</w:t>
                  </w:r>
                </w:p>
              </w:tc>
              <w:tc>
                <w:tcPr>
                  <w:tcW w:w="613" w:type="dxa"/>
                  <w:vMerge w:val="restart"/>
                  <w:vAlign w:val="center"/>
                </w:tcPr>
                <w:p w14:paraId="6D77FFAD">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425" w:type="dxa"/>
                  <w:vAlign w:val="center"/>
                </w:tcPr>
                <w:p w14:paraId="696DF3FC">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425" w:type="dxa"/>
                  <w:vAlign w:val="center"/>
                </w:tcPr>
                <w:p w14:paraId="41F09278">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496" w:type="dxa"/>
                  <w:vAlign w:val="center"/>
                </w:tcPr>
                <w:p w14:paraId="112794BF">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647" w:type="dxa"/>
                  <w:vAlign w:val="center"/>
                </w:tcPr>
                <w:p w14:paraId="474FF85E">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602" w:type="dxa"/>
                  <w:vAlign w:val="center"/>
                </w:tcPr>
                <w:p w14:paraId="001A97A7">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775" w:type="dxa"/>
                  <w:vAlign w:val="center"/>
                </w:tcPr>
                <w:p w14:paraId="1E62494C">
                  <w:pPr>
                    <w:widowControl/>
                    <w:adjustRightInd w:val="0"/>
                    <w:snapToGrid w:val="0"/>
                    <w:jc w:val="center"/>
                    <w:textAlignment w:val="center"/>
                    <w:rPr>
                      <w:rFonts w:hint="default" w:ascii="Times New Roman" w:hAnsi="Times New Roman" w:eastAsia="宋体" w:cs="宋体"/>
                      <w:color w:val="auto"/>
                      <w:kern w:val="0"/>
                      <w:sz w:val="18"/>
                      <w:szCs w:val="18"/>
                      <w:lang w:val="en-US" w:eastAsia="zh-CN" w:bidi="ar"/>
                    </w:rPr>
                  </w:pPr>
                  <w:r>
                    <w:rPr>
                      <w:rFonts w:hint="eastAsia" w:ascii="Times New Roman" w:hAnsi="Times New Roman" w:eastAsia="宋体" w:cs="宋体"/>
                      <w:color w:val="auto"/>
                      <w:kern w:val="0"/>
                      <w:sz w:val="18"/>
                      <w:szCs w:val="18"/>
                      <w:lang w:val="en-US" w:eastAsia="zh-CN" w:bidi="ar"/>
                    </w:rPr>
                    <w:t>0.2</w:t>
                  </w:r>
                </w:p>
              </w:tc>
              <w:tc>
                <w:tcPr>
                  <w:tcW w:w="607" w:type="dxa"/>
                  <w:vAlign w:val="center"/>
                </w:tcPr>
                <w:p w14:paraId="43EDA9EA">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r>
            <w:tr w14:paraId="070248E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704" w:hRule="atLeast"/>
                <w:jc w:val="center"/>
              </w:trPr>
              <w:tc>
                <w:tcPr>
                  <w:tcW w:w="377" w:type="dxa"/>
                  <w:vMerge w:val="continue"/>
                  <w:vAlign w:val="center"/>
                </w:tcPr>
                <w:p w14:paraId="66481218">
                  <w:pPr>
                    <w:adjustRightInd w:val="0"/>
                    <w:snapToGrid w:val="0"/>
                    <w:jc w:val="center"/>
                    <w:rPr>
                      <w:rFonts w:cs="宋体"/>
                      <w:snapToGrid w:val="0"/>
                      <w:color w:val="auto"/>
                      <w:sz w:val="18"/>
                      <w:szCs w:val="18"/>
                    </w:rPr>
                  </w:pPr>
                </w:p>
              </w:tc>
              <w:tc>
                <w:tcPr>
                  <w:tcW w:w="485" w:type="dxa"/>
                  <w:vMerge w:val="restart"/>
                  <w:vAlign w:val="center"/>
                </w:tcPr>
                <w:p w14:paraId="37E6515F">
                  <w:pPr>
                    <w:adjustRightInd w:val="0"/>
                    <w:snapToGrid w:val="0"/>
                    <w:jc w:val="center"/>
                    <w:rPr>
                      <w:rFonts w:cs="宋体"/>
                      <w:bCs/>
                      <w:color w:val="auto"/>
                      <w:sz w:val="18"/>
                      <w:szCs w:val="18"/>
                    </w:rPr>
                  </w:pPr>
                  <w:r>
                    <w:rPr>
                      <w:rFonts w:hint="eastAsia" w:cs="宋体"/>
                      <w:bCs/>
                      <w:color w:val="auto"/>
                      <w:sz w:val="18"/>
                      <w:szCs w:val="18"/>
                    </w:rPr>
                    <w:t>无组织</w:t>
                  </w:r>
                </w:p>
              </w:tc>
              <w:tc>
                <w:tcPr>
                  <w:tcW w:w="654" w:type="dxa"/>
                  <w:vAlign w:val="center"/>
                </w:tcPr>
                <w:p w14:paraId="5A09FA6D">
                  <w:pPr>
                    <w:widowControl/>
                    <w:adjustRightInd w:val="0"/>
                    <w:snapToGrid w:val="0"/>
                    <w:jc w:val="center"/>
                    <w:textAlignment w:val="center"/>
                    <w:rPr>
                      <w:rFonts w:cs="宋体"/>
                      <w:color w:val="auto"/>
                      <w:sz w:val="18"/>
                      <w:szCs w:val="18"/>
                    </w:rPr>
                  </w:pPr>
                  <w:r>
                    <w:rPr>
                      <w:rFonts w:hint="eastAsia" w:cs="宋体"/>
                      <w:color w:val="auto"/>
                      <w:kern w:val="0"/>
                      <w:sz w:val="18"/>
                      <w:szCs w:val="18"/>
                      <w:lang w:bidi="ar"/>
                    </w:rPr>
                    <w:t>硫化氢</w:t>
                  </w:r>
                </w:p>
              </w:tc>
              <w:tc>
                <w:tcPr>
                  <w:tcW w:w="595" w:type="dxa"/>
                  <w:vAlign w:val="center"/>
                </w:tcPr>
                <w:p w14:paraId="6E0D208B">
                  <w:pPr>
                    <w:widowControl/>
                    <w:adjustRightInd w:val="0"/>
                    <w:snapToGrid w:val="0"/>
                    <w:jc w:val="center"/>
                    <w:textAlignment w:val="center"/>
                    <w:rPr>
                      <w:rFonts w:cs="宋体"/>
                      <w:bCs/>
                      <w:color w:val="auto"/>
                      <w:sz w:val="18"/>
                      <w:szCs w:val="18"/>
                    </w:rPr>
                  </w:pPr>
                  <w:r>
                    <w:rPr>
                      <w:color w:val="auto"/>
                      <w:kern w:val="0"/>
                      <w:sz w:val="18"/>
                      <w:szCs w:val="18"/>
                      <w:lang w:bidi="ar"/>
                    </w:rPr>
                    <w:t>/</w:t>
                  </w:r>
                </w:p>
              </w:tc>
              <w:tc>
                <w:tcPr>
                  <w:tcW w:w="767" w:type="dxa"/>
                  <w:vAlign w:val="center"/>
                </w:tcPr>
                <w:p w14:paraId="2C41CC39">
                  <w:pPr>
                    <w:widowControl/>
                    <w:adjustRightInd w:val="0"/>
                    <w:snapToGrid w:val="0"/>
                    <w:jc w:val="center"/>
                    <w:textAlignment w:val="center"/>
                    <w:rPr>
                      <w:rFonts w:cs="宋体"/>
                      <w:bCs/>
                      <w:color w:val="auto"/>
                      <w:sz w:val="18"/>
                      <w:szCs w:val="18"/>
                    </w:rPr>
                  </w:pPr>
                  <w:r>
                    <w:rPr>
                      <w:rFonts w:hint="eastAsia" w:cs="宋体"/>
                      <w:bCs/>
                      <w:color w:val="auto"/>
                      <w:sz w:val="18"/>
                      <w:szCs w:val="18"/>
                      <w:lang w:val="en-US" w:eastAsia="zh-CN"/>
                    </w:rPr>
                    <w:t>5.35</w:t>
                  </w:r>
                  <w:r>
                    <w:rPr>
                      <w:rFonts w:ascii="Arial" w:hAnsi="Arial" w:cs="Arial"/>
                      <w:bCs/>
                      <w:color w:val="auto"/>
                      <w:sz w:val="18"/>
                      <w:szCs w:val="18"/>
                    </w:rPr>
                    <w:t>×</w:t>
                  </w:r>
                  <w:r>
                    <w:rPr>
                      <w:rFonts w:hint="eastAsia" w:cs="宋体"/>
                      <w:bCs/>
                      <w:color w:val="auto"/>
                      <w:sz w:val="18"/>
                      <w:szCs w:val="18"/>
                    </w:rPr>
                    <w:t>10</w:t>
                  </w:r>
                  <w:r>
                    <w:rPr>
                      <w:rFonts w:hint="eastAsia" w:cs="宋体"/>
                      <w:bCs/>
                      <w:color w:val="auto"/>
                      <w:sz w:val="18"/>
                      <w:szCs w:val="18"/>
                      <w:vertAlign w:val="superscript"/>
                    </w:rPr>
                    <w:t>-6</w:t>
                  </w:r>
                </w:p>
              </w:tc>
              <w:tc>
                <w:tcPr>
                  <w:tcW w:w="877" w:type="dxa"/>
                  <w:vAlign w:val="center"/>
                </w:tcPr>
                <w:p w14:paraId="6C2A0A5C">
                  <w:pPr>
                    <w:widowControl/>
                    <w:adjustRightInd w:val="0"/>
                    <w:snapToGrid w:val="0"/>
                    <w:jc w:val="center"/>
                    <w:textAlignment w:val="center"/>
                    <w:rPr>
                      <w:rFonts w:cs="宋体"/>
                      <w:bCs/>
                      <w:color w:val="auto"/>
                      <w:sz w:val="18"/>
                      <w:szCs w:val="18"/>
                      <w:vertAlign w:val="superscript"/>
                    </w:rPr>
                  </w:pPr>
                  <w:r>
                    <w:rPr>
                      <w:rFonts w:hint="eastAsia" w:cs="宋体"/>
                      <w:bCs/>
                      <w:color w:val="auto"/>
                      <w:sz w:val="18"/>
                      <w:szCs w:val="18"/>
                      <w:lang w:val="en-US" w:eastAsia="zh-CN"/>
                    </w:rPr>
                    <w:t>4.69</w:t>
                  </w:r>
                  <w:r>
                    <w:rPr>
                      <w:rFonts w:ascii="Arial" w:hAnsi="Arial" w:cs="Arial"/>
                      <w:bCs/>
                      <w:color w:val="auto"/>
                      <w:sz w:val="18"/>
                      <w:szCs w:val="18"/>
                    </w:rPr>
                    <w:t>×</w:t>
                  </w:r>
                  <w:r>
                    <w:rPr>
                      <w:rFonts w:hint="eastAsia" w:cs="宋体"/>
                      <w:bCs/>
                      <w:color w:val="auto"/>
                      <w:sz w:val="18"/>
                      <w:szCs w:val="18"/>
                    </w:rPr>
                    <w:t>10</w:t>
                  </w:r>
                  <w:r>
                    <w:rPr>
                      <w:rFonts w:hint="eastAsia" w:cs="宋体"/>
                      <w:bCs/>
                      <w:color w:val="auto"/>
                      <w:sz w:val="18"/>
                      <w:szCs w:val="18"/>
                      <w:vertAlign w:val="superscript"/>
                    </w:rPr>
                    <w:t>-5</w:t>
                  </w:r>
                </w:p>
              </w:tc>
              <w:tc>
                <w:tcPr>
                  <w:tcW w:w="579" w:type="dxa"/>
                  <w:vAlign w:val="center"/>
                </w:tcPr>
                <w:p w14:paraId="0E83C01D">
                  <w:pPr>
                    <w:widowControl/>
                    <w:adjustRightInd w:val="0"/>
                    <w:snapToGrid w:val="0"/>
                    <w:jc w:val="center"/>
                    <w:textAlignment w:val="center"/>
                    <w:rPr>
                      <w:rFonts w:cs="宋体"/>
                      <w:bCs/>
                      <w:color w:val="auto"/>
                      <w:sz w:val="18"/>
                      <w:szCs w:val="18"/>
                    </w:rPr>
                  </w:pPr>
                  <w:r>
                    <w:rPr>
                      <w:color w:val="auto"/>
                      <w:kern w:val="0"/>
                      <w:sz w:val="18"/>
                      <w:szCs w:val="18"/>
                      <w:lang w:bidi="ar"/>
                    </w:rPr>
                    <w:t>/</w:t>
                  </w:r>
                </w:p>
              </w:tc>
              <w:tc>
                <w:tcPr>
                  <w:tcW w:w="522" w:type="dxa"/>
                  <w:vAlign w:val="center"/>
                </w:tcPr>
                <w:p w14:paraId="4BB13EF5">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567" w:type="dxa"/>
                  <w:vAlign w:val="center"/>
                </w:tcPr>
                <w:p w14:paraId="2BFEF919">
                  <w:pPr>
                    <w:widowControl/>
                    <w:adjustRightInd w:val="0"/>
                    <w:snapToGrid w:val="0"/>
                    <w:jc w:val="center"/>
                    <w:textAlignment w:val="center"/>
                    <w:rPr>
                      <w:rFonts w:cs="宋体"/>
                      <w:bCs/>
                      <w:color w:val="auto"/>
                      <w:sz w:val="18"/>
                      <w:szCs w:val="18"/>
                    </w:rPr>
                  </w:pPr>
                  <w:r>
                    <w:rPr>
                      <w:rFonts w:cs="宋体"/>
                      <w:color w:val="auto"/>
                      <w:kern w:val="0"/>
                      <w:sz w:val="18"/>
                      <w:szCs w:val="18"/>
                      <w:lang w:bidi="ar"/>
                    </w:rPr>
                    <w:t>40</w:t>
                  </w:r>
                </w:p>
              </w:tc>
              <w:tc>
                <w:tcPr>
                  <w:tcW w:w="593" w:type="dxa"/>
                  <w:vAlign w:val="center"/>
                </w:tcPr>
                <w:p w14:paraId="5645DB54">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608" w:type="dxa"/>
                  <w:vMerge w:val="continue"/>
                  <w:vAlign w:val="center"/>
                </w:tcPr>
                <w:p w14:paraId="2DF892F4">
                  <w:pPr>
                    <w:adjustRightInd w:val="0"/>
                    <w:snapToGrid w:val="0"/>
                    <w:jc w:val="center"/>
                    <w:rPr>
                      <w:rFonts w:cs="宋体"/>
                      <w:bCs/>
                      <w:color w:val="auto"/>
                      <w:sz w:val="18"/>
                      <w:szCs w:val="18"/>
                    </w:rPr>
                  </w:pPr>
                </w:p>
              </w:tc>
              <w:tc>
                <w:tcPr>
                  <w:tcW w:w="825" w:type="dxa"/>
                  <w:vAlign w:val="center"/>
                </w:tcPr>
                <w:p w14:paraId="172FD493">
                  <w:pPr>
                    <w:widowControl/>
                    <w:adjustRightInd w:val="0"/>
                    <w:snapToGrid w:val="0"/>
                    <w:jc w:val="center"/>
                    <w:textAlignment w:val="center"/>
                    <w:rPr>
                      <w:rFonts w:cs="宋体"/>
                      <w:bCs/>
                      <w:color w:val="auto"/>
                      <w:sz w:val="18"/>
                      <w:szCs w:val="18"/>
                    </w:rPr>
                  </w:pPr>
                  <w:r>
                    <w:rPr>
                      <w:color w:val="auto"/>
                      <w:kern w:val="0"/>
                      <w:sz w:val="18"/>
                      <w:szCs w:val="18"/>
                      <w:lang w:bidi="ar"/>
                    </w:rPr>
                    <w:t>/</w:t>
                  </w:r>
                </w:p>
              </w:tc>
              <w:tc>
                <w:tcPr>
                  <w:tcW w:w="691" w:type="dxa"/>
                  <w:vAlign w:val="center"/>
                </w:tcPr>
                <w:p w14:paraId="4D002C62">
                  <w:pPr>
                    <w:widowControl/>
                    <w:adjustRightInd w:val="0"/>
                    <w:snapToGrid w:val="0"/>
                    <w:jc w:val="center"/>
                    <w:textAlignment w:val="center"/>
                    <w:rPr>
                      <w:rFonts w:cs="宋体"/>
                      <w:bCs/>
                      <w:color w:val="auto"/>
                      <w:sz w:val="18"/>
                      <w:szCs w:val="18"/>
                    </w:rPr>
                  </w:pPr>
                  <w:r>
                    <w:rPr>
                      <w:rFonts w:hint="eastAsia" w:cs="宋体"/>
                      <w:bCs/>
                      <w:color w:val="auto"/>
                      <w:sz w:val="18"/>
                      <w:szCs w:val="18"/>
                      <w:lang w:val="en-US" w:eastAsia="zh-CN"/>
                    </w:rPr>
                    <w:t>3.21</w:t>
                  </w:r>
                  <w:r>
                    <w:rPr>
                      <w:rFonts w:hint="eastAsia" w:cs="宋体"/>
                      <w:bCs/>
                      <w:color w:val="auto"/>
                      <w:sz w:val="18"/>
                      <w:szCs w:val="18"/>
                    </w:rPr>
                    <w:t>×</w:t>
                  </w:r>
                  <w:r>
                    <w:rPr>
                      <w:rFonts w:cs="宋体"/>
                      <w:bCs/>
                      <w:color w:val="auto"/>
                      <w:sz w:val="18"/>
                      <w:szCs w:val="18"/>
                    </w:rPr>
                    <w:t>10</w:t>
                  </w:r>
                  <w:r>
                    <w:rPr>
                      <w:rFonts w:cs="宋体"/>
                      <w:bCs/>
                      <w:color w:val="auto"/>
                      <w:sz w:val="18"/>
                      <w:szCs w:val="18"/>
                      <w:vertAlign w:val="superscript"/>
                    </w:rPr>
                    <w:t>-6</w:t>
                  </w:r>
                </w:p>
              </w:tc>
              <w:tc>
                <w:tcPr>
                  <w:tcW w:w="693" w:type="dxa"/>
                  <w:vAlign w:val="center"/>
                </w:tcPr>
                <w:p w14:paraId="026BB7EF">
                  <w:pPr>
                    <w:widowControl/>
                    <w:adjustRightInd w:val="0"/>
                    <w:snapToGrid w:val="0"/>
                    <w:jc w:val="center"/>
                    <w:textAlignment w:val="center"/>
                    <w:rPr>
                      <w:rFonts w:cs="宋体"/>
                      <w:bCs/>
                      <w:color w:val="auto"/>
                      <w:sz w:val="18"/>
                      <w:szCs w:val="18"/>
                    </w:rPr>
                  </w:pPr>
                  <w:r>
                    <w:rPr>
                      <w:rFonts w:hint="eastAsia" w:cs="宋体"/>
                      <w:bCs/>
                      <w:color w:val="auto"/>
                      <w:sz w:val="18"/>
                      <w:szCs w:val="18"/>
                      <w:lang w:val="en-US" w:eastAsia="zh-CN"/>
                    </w:rPr>
                    <w:t>2.81</w:t>
                  </w:r>
                  <w:r>
                    <w:rPr>
                      <w:rFonts w:hint="eastAsia" w:cs="宋体"/>
                      <w:bCs/>
                      <w:color w:val="auto"/>
                      <w:sz w:val="18"/>
                      <w:szCs w:val="18"/>
                    </w:rPr>
                    <w:t>×</w:t>
                  </w:r>
                  <w:r>
                    <w:rPr>
                      <w:rFonts w:cs="宋体"/>
                      <w:bCs/>
                      <w:color w:val="auto"/>
                      <w:sz w:val="18"/>
                      <w:szCs w:val="18"/>
                    </w:rPr>
                    <w:t>10</w:t>
                  </w:r>
                  <w:r>
                    <w:rPr>
                      <w:rFonts w:cs="宋体"/>
                      <w:bCs/>
                      <w:color w:val="auto"/>
                      <w:sz w:val="18"/>
                      <w:szCs w:val="18"/>
                      <w:vertAlign w:val="superscript"/>
                    </w:rPr>
                    <w:t>-5</w:t>
                  </w:r>
                </w:p>
              </w:tc>
              <w:tc>
                <w:tcPr>
                  <w:tcW w:w="613" w:type="dxa"/>
                  <w:vMerge w:val="continue"/>
                  <w:vAlign w:val="center"/>
                </w:tcPr>
                <w:p w14:paraId="2AD8A94D">
                  <w:pPr>
                    <w:adjustRightInd w:val="0"/>
                    <w:snapToGrid w:val="0"/>
                    <w:jc w:val="center"/>
                    <w:rPr>
                      <w:rFonts w:cs="宋体"/>
                      <w:bCs/>
                      <w:color w:val="auto"/>
                      <w:sz w:val="18"/>
                      <w:szCs w:val="18"/>
                    </w:rPr>
                  </w:pPr>
                </w:p>
              </w:tc>
              <w:tc>
                <w:tcPr>
                  <w:tcW w:w="425" w:type="dxa"/>
                  <w:vAlign w:val="center"/>
                </w:tcPr>
                <w:p w14:paraId="5B018F70">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425" w:type="dxa"/>
                  <w:vAlign w:val="center"/>
                </w:tcPr>
                <w:p w14:paraId="2CDA94A5">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496" w:type="dxa"/>
                  <w:vAlign w:val="center"/>
                </w:tcPr>
                <w:p w14:paraId="4DF01738">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647" w:type="dxa"/>
                  <w:vAlign w:val="center"/>
                </w:tcPr>
                <w:p w14:paraId="04397814">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602" w:type="dxa"/>
                  <w:vAlign w:val="center"/>
                </w:tcPr>
                <w:p w14:paraId="70683B40">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775" w:type="dxa"/>
                  <w:vAlign w:val="center"/>
                </w:tcPr>
                <w:p w14:paraId="735ADF31">
                  <w:pPr>
                    <w:widowControl/>
                    <w:adjustRightInd w:val="0"/>
                    <w:snapToGrid w:val="0"/>
                    <w:jc w:val="center"/>
                    <w:textAlignment w:val="center"/>
                    <w:rPr>
                      <w:rFonts w:hint="default" w:ascii="Times New Roman" w:hAnsi="Times New Roman" w:eastAsia="宋体" w:cs="宋体"/>
                      <w:color w:val="auto"/>
                      <w:kern w:val="0"/>
                      <w:sz w:val="18"/>
                      <w:szCs w:val="18"/>
                      <w:lang w:val="en-US" w:eastAsia="zh-CN" w:bidi="ar"/>
                    </w:rPr>
                  </w:pPr>
                  <w:r>
                    <w:rPr>
                      <w:rFonts w:hint="eastAsia" w:ascii="Times New Roman" w:hAnsi="Times New Roman" w:eastAsia="宋体" w:cs="宋体"/>
                      <w:color w:val="auto"/>
                      <w:kern w:val="0"/>
                      <w:sz w:val="18"/>
                      <w:szCs w:val="18"/>
                      <w:lang w:val="en-US" w:eastAsia="zh-CN" w:bidi="ar"/>
                    </w:rPr>
                    <w:t>0.01</w:t>
                  </w:r>
                </w:p>
              </w:tc>
              <w:tc>
                <w:tcPr>
                  <w:tcW w:w="607" w:type="dxa"/>
                  <w:vAlign w:val="center"/>
                </w:tcPr>
                <w:p w14:paraId="1C752866">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r>
            <w:tr w14:paraId="4961F34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1017" w:hRule="atLeast"/>
                <w:jc w:val="center"/>
              </w:trPr>
              <w:tc>
                <w:tcPr>
                  <w:tcW w:w="377" w:type="dxa"/>
                  <w:vMerge w:val="continue"/>
                  <w:vAlign w:val="center"/>
                </w:tcPr>
                <w:p w14:paraId="258C63E5">
                  <w:pPr>
                    <w:adjustRightInd w:val="0"/>
                    <w:snapToGrid w:val="0"/>
                    <w:jc w:val="center"/>
                    <w:rPr>
                      <w:rFonts w:cs="宋体"/>
                      <w:snapToGrid w:val="0"/>
                      <w:color w:val="auto"/>
                      <w:sz w:val="18"/>
                      <w:szCs w:val="18"/>
                    </w:rPr>
                  </w:pPr>
                </w:p>
              </w:tc>
              <w:tc>
                <w:tcPr>
                  <w:tcW w:w="485" w:type="dxa"/>
                  <w:vMerge w:val="continue"/>
                  <w:vAlign w:val="center"/>
                </w:tcPr>
                <w:p w14:paraId="2D23AC91">
                  <w:pPr>
                    <w:adjustRightInd w:val="0"/>
                    <w:snapToGrid w:val="0"/>
                    <w:jc w:val="center"/>
                    <w:rPr>
                      <w:rFonts w:cs="宋体"/>
                      <w:bCs/>
                      <w:color w:val="auto"/>
                      <w:sz w:val="18"/>
                      <w:szCs w:val="18"/>
                    </w:rPr>
                  </w:pPr>
                </w:p>
              </w:tc>
              <w:tc>
                <w:tcPr>
                  <w:tcW w:w="654" w:type="dxa"/>
                  <w:vAlign w:val="center"/>
                </w:tcPr>
                <w:p w14:paraId="57116F8E">
                  <w:pPr>
                    <w:widowControl/>
                    <w:adjustRightInd w:val="0"/>
                    <w:snapToGrid w:val="0"/>
                    <w:jc w:val="center"/>
                    <w:textAlignment w:val="center"/>
                    <w:rPr>
                      <w:rFonts w:cs="宋体"/>
                      <w:color w:val="auto"/>
                      <w:sz w:val="18"/>
                      <w:szCs w:val="18"/>
                    </w:rPr>
                  </w:pPr>
                  <w:r>
                    <w:rPr>
                      <w:rFonts w:hint="eastAsia" w:cs="宋体"/>
                      <w:color w:val="auto"/>
                      <w:kern w:val="0"/>
                      <w:sz w:val="18"/>
                      <w:szCs w:val="18"/>
                      <w:lang w:bidi="ar"/>
                    </w:rPr>
                    <w:t>臭气浓度</w:t>
                  </w:r>
                </w:p>
              </w:tc>
              <w:tc>
                <w:tcPr>
                  <w:tcW w:w="595" w:type="dxa"/>
                  <w:vAlign w:val="center"/>
                </w:tcPr>
                <w:p w14:paraId="1F5C55E5">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767" w:type="dxa"/>
                  <w:vAlign w:val="center"/>
                </w:tcPr>
                <w:p w14:paraId="00D28AB7">
                  <w:pPr>
                    <w:widowControl/>
                    <w:adjustRightInd w:val="0"/>
                    <w:snapToGrid w:val="0"/>
                    <w:jc w:val="center"/>
                    <w:textAlignment w:val="center"/>
                    <w:rPr>
                      <w:rFonts w:cs="宋体"/>
                      <w:color w:val="auto"/>
                      <w:sz w:val="18"/>
                      <w:szCs w:val="18"/>
                    </w:rPr>
                  </w:pPr>
                  <w:r>
                    <w:rPr>
                      <w:rFonts w:hint="eastAsia" w:cs="宋体"/>
                      <w:color w:val="auto"/>
                      <w:kern w:val="0"/>
                      <w:sz w:val="18"/>
                      <w:szCs w:val="18"/>
                      <w:lang w:bidi="ar"/>
                    </w:rPr>
                    <w:t>/</w:t>
                  </w:r>
                </w:p>
              </w:tc>
              <w:tc>
                <w:tcPr>
                  <w:tcW w:w="877" w:type="dxa"/>
                  <w:vAlign w:val="center"/>
                </w:tcPr>
                <w:p w14:paraId="72788F64">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579" w:type="dxa"/>
                  <w:vAlign w:val="center"/>
                </w:tcPr>
                <w:p w14:paraId="1FB9CD53">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522" w:type="dxa"/>
                  <w:vAlign w:val="center"/>
                </w:tcPr>
                <w:p w14:paraId="0BE1459C">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567" w:type="dxa"/>
                  <w:vAlign w:val="center"/>
                </w:tcPr>
                <w:p w14:paraId="2E8D78E1">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593" w:type="dxa"/>
                  <w:vAlign w:val="center"/>
                </w:tcPr>
                <w:p w14:paraId="20DA3739">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608" w:type="dxa"/>
                  <w:vMerge w:val="continue"/>
                  <w:vAlign w:val="center"/>
                </w:tcPr>
                <w:p w14:paraId="7FD0F313">
                  <w:pPr>
                    <w:adjustRightInd w:val="0"/>
                    <w:snapToGrid w:val="0"/>
                    <w:jc w:val="center"/>
                    <w:rPr>
                      <w:rFonts w:cs="宋体"/>
                      <w:bCs/>
                      <w:color w:val="auto"/>
                      <w:sz w:val="18"/>
                      <w:szCs w:val="18"/>
                    </w:rPr>
                  </w:pPr>
                </w:p>
              </w:tc>
              <w:tc>
                <w:tcPr>
                  <w:tcW w:w="825" w:type="dxa"/>
                  <w:vAlign w:val="center"/>
                </w:tcPr>
                <w:p w14:paraId="37CF8FCD">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691" w:type="dxa"/>
                  <w:vAlign w:val="center"/>
                </w:tcPr>
                <w:p w14:paraId="765FB222">
                  <w:pPr>
                    <w:widowControl/>
                    <w:adjustRightInd w:val="0"/>
                    <w:snapToGrid w:val="0"/>
                    <w:jc w:val="center"/>
                    <w:textAlignment w:val="center"/>
                    <w:rPr>
                      <w:rFonts w:cs="宋体"/>
                      <w:color w:val="auto"/>
                      <w:sz w:val="18"/>
                      <w:szCs w:val="18"/>
                    </w:rPr>
                  </w:pPr>
                  <w:r>
                    <w:rPr>
                      <w:rFonts w:hint="eastAsia" w:cs="宋体"/>
                      <w:color w:val="auto"/>
                      <w:kern w:val="0"/>
                      <w:sz w:val="18"/>
                      <w:szCs w:val="18"/>
                      <w:lang w:bidi="ar"/>
                    </w:rPr>
                    <w:t>/</w:t>
                  </w:r>
                </w:p>
              </w:tc>
              <w:tc>
                <w:tcPr>
                  <w:tcW w:w="693" w:type="dxa"/>
                  <w:vAlign w:val="center"/>
                </w:tcPr>
                <w:p w14:paraId="49EAF5AF">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613" w:type="dxa"/>
                  <w:vMerge w:val="continue"/>
                  <w:vAlign w:val="center"/>
                </w:tcPr>
                <w:p w14:paraId="7C0E55A1">
                  <w:pPr>
                    <w:adjustRightInd w:val="0"/>
                    <w:snapToGrid w:val="0"/>
                    <w:jc w:val="center"/>
                    <w:rPr>
                      <w:rFonts w:cs="宋体"/>
                      <w:bCs/>
                      <w:color w:val="auto"/>
                      <w:sz w:val="18"/>
                      <w:szCs w:val="18"/>
                    </w:rPr>
                  </w:pPr>
                </w:p>
              </w:tc>
              <w:tc>
                <w:tcPr>
                  <w:tcW w:w="425" w:type="dxa"/>
                  <w:vAlign w:val="center"/>
                </w:tcPr>
                <w:p w14:paraId="5EB3485B">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425" w:type="dxa"/>
                  <w:vAlign w:val="center"/>
                </w:tcPr>
                <w:p w14:paraId="5AEA3C7E">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496" w:type="dxa"/>
                  <w:vAlign w:val="center"/>
                </w:tcPr>
                <w:p w14:paraId="4542D119">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647" w:type="dxa"/>
                  <w:vAlign w:val="center"/>
                </w:tcPr>
                <w:p w14:paraId="01F13CB5">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602" w:type="dxa"/>
                  <w:vAlign w:val="center"/>
                </w:tcPr>
                <w:p w14:paraId="54F70D9F">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c>
                <w:tcPr>
                  <w:tcW w:w="775" w:type="dxa"/>
                  <w:vAlign w:val="center"/>
                </w:tcPr>
                <w:p w14:paraId="3E65F399">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10</w:t>
                  </w:r>
                </w:p>
              </w:tc>
              <w:tc>
                <w:tcPr>
                  <w:tcW w:w="607" w:type="dxa"/>
                  <w:vAlign w:val="center"/>
                </w:tcPr>
                <w:p w14:paraId="147D9762">
                  <w:pPr>
                    <w:widowControl/>
                    <w:adjustRightInd w:val="0"/>
                    <w:snapToGrid w:val="0"/>
                    <w:jc w:val="center"/>
                    <w:textAlignment w:val="center"/>
                    <w:rPr>
                      <w:rFonts w:cs="宋体"/>
                      <w:bCs/>
                      <w:color w:val="auto"/>
                      <w:sz w:val="18"/>
                      <w:szCs w:val="18"/>
                    </w:rPr>
                  </w:pPr>
                  <w:r>
                    <w:rPr>
                      <w:rFonts w:hint="eastAsia" w:cs="宋体"/>
                      <w:color w:val="auto"/>
                      <w:kern w:val="0"/>
                      <w:sz w:val="18"/>
                      <w:szCs w:val="18"/>
                      <w:lang w:bidi="ar"/>
                    </w:rPr>
                    <w:t>/</w:t>
                  </w:r>
                </w:p>
              </w:tc>
            </w:tr>
          </w:tbl>
          <w:p w14:paraId="3DCA38D0">
            <w:pPr>
              <w:adjustRightInd w:val="0"/>
              <w:snapToGrid w:val="0"/>
              <w:spacing w:line="360" w:lineRule="auto"/>
              <w:ind w:firstLine="420" w:firstLineChars="200"/>
              <w:rPr>
                <w:bCs/>
                <w:color w:val="auto"/>
                <w:szCs w:val="21"/>
              </w:rPr>
            </w:pPr>
            <w:r>
              <w:rPr>
                <w:rFonts w:hint="eastAsia"/>
                <w:bCs/>
                <w:color w:val="auto"/>
                <w:szCs w:val="21"/>
              </w:rPr>
              <w:t>注：臭气浓度为无量纲</w:t>
            </w:r>
            <w:r>
              <w:rPr>
                <w:rFonts w:hint="eastAsia"/>
                <w:color w:val="auto"/>
                <w:szCs w:val="21"/>
              </w:rPr>
              <w:t>。</w:t>
            </w:r>
          </w:p>
        </w:tc>
      </w:tr>
      <w:bookmarkEnd w:id="22"/>
    </w:tbl>
    <w:p w14:paraId="5572DAA4">
      <w:pPr>
        <w:pStyle w:val="40"/>
        <w:ind w:left="105" w:right="105"/>
        <w:rPr>
          <w:rFonts w:hint="eastAsia" w:ascii="Times New Roman"/>
          <w:color w:val="auto"/>
        </w:rPr>
        <w:sectPr>
          <w:pgSz w:w="16838" w:h="11906" w:orient="landscape"/>
          <w:pgMar w:top="1531" w:right="1701" w:bottom="1531" w:left="1701" w:header="851" w:footer="851" w:gutter="0"/>
          <w:cols w:space="720" w:num="1"/>
          <w:docGrid w:linePitch="312" w:charSpace="0"/>
        </w:sectPr>
      </w:pPr>
    </w:p>
    <w:tbl>
      <w:tblPr>
        <w:tblStyle w:val="17"/>
        <w:tblW w:w="89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8684"/>
      </w:tblGrid>
      <w:tr w14:paraId="5C409D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296" w:type="dxa"/>
            <w:tcMar>
              <w:left w:w="28" w:type="dxa"/>
              <w:right w:w="28" w:type="dxa"/>
            </w:tcMar>
            <w:vAlign w:val="center"/>
          </w:tcPr>
          <w:p w14:paraId="6B693114">
            <w:pPr>
              <w:adjustRightInd w:val="0"/>
              <w:snapToGrid w:val="0"/>
              <w:jc w:val="center"/>
              <w:rPr>
                <w:bCs/>
                <w:color w:val="auto"/>
                <w:szCs w:val="21"/>
              </w:rPr>
            </w:pPr>
            <w:bookmarkStart w:id="23" w:name="_Hlk141861133"/>
            <w:r>
              <w:rPr>
                <w:bCs/>
                <w:color w:val="auto"/>
                <w:szCs w:val="21"/>
              </w:rPr>
              <w:t>运营</w:t>
            </w:r>
          </w:p>
          <w:p w14:paraId="523FE316">
            <w:pPr>
              <w:adjustRightInd w:val="0"/>
              <w:snapToGrid w:val="0"/>
              <w:jc w:val="center"/>
              <w:rPr>
                <w:bCs/>
                <w:color w:val="auto"/>
                <w:szCs w:val="21"/>
              </w:rPr>
            </w:pPr>
            <w:r>
              <w:rPr>
                <w:bCs/>
                <w:color w:val="auto"/>
                <w:szCs w:val="21"/>
              </w:rPr>
              <w:t>期环</w:t>
            </w:r>
          </w:p>
          <w:p w14:paraId="777FD78F">
            <w:pPr>
              <w:adjustRightInd w:val="0"/>
              <w:snapToGrid w:val="0"/>
              <w:jc w:val="center"/>
              <w:rPr>
                <w:bCs/>
                <w:color w:val="auto"/>
                <w:szCs w:val="21"/>
              </w:rPr>
            </w:pPr>
            <w:r>
              <w:rPr>
                <w:bCs/>
                <w:color w:val="auto"/>
                <w:szCs w:val="21"/>
              </w:rPr>
              <w:t>境影</w:t>
            </w:r>
          </w:p>
          <w:p w14:paraId="65A7B6F7">
            <w:pPr>
              <w:adjustRightInd w:val="0"/>
              <w:snapToGrid w:val="0"/>
              <w:jc w:val="center"/>
              <w:rPr>
                <w:bCs/>
                <w:color w:val="auto"/>
                <w:szCs w:val="21"/>
              </w:rPr>
            </w:pPr>
            <w:r>
              <w:rPr>
                <w:bCs/>
                <w:color w:val="auto"/>
                <w:szCs w:val="21"/>
              </w:rPr>
              <w:t>响和</w:t>
            </w:r>
          </w:p>
          <w:p w14:paraId="4B3FD82A">
            <w:pPr>
              <w:adjustRightInd w:val="0"/>
              <w:snapToGrid w:val="0"/>
              <w:jc w:val="center"/>
              <w:rPr>
                <w:bCs/>
                <w:color w:val="auto"/>
                <w:szCs w:val="21"/>
              </w:rPr>
            </w:pPr>
            <w:r>
              <w:rPr>
                <w:bCs/>
                <w:color w:val="auto"/>
                <w:szCs w:val="21"/>
              </w:rPr>
              <w:t>保护</w:t>
            </w:r>
          </w:p>
          <w:p w14:paraId="0B12C66A">
            <w:pPr>
              <w:pStyle w:val="16"/>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bCs/>
                <w:color w:val="auto"/>
                <w:szCs w:val="21"/>
              </w:rPr>
              <w:t>措</w:t>
            </w:r>
          </w:p>
          <w:p w14:paraId="7FD5C85B">
            <w:pPr>
              <w:pStyle w:val="16"/>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color w:val="auto"/>
                <w:kern w:val="2"/>
                <w:szCs w:val="24"/>
              </w:rPr>
              <w:t>施</w:t>
            </w:r>
          </w:p>
        </w:tc>
        <w:tc>
          <w:tcPr>
            <w:tcW w:w="8684" w:type="dxa"/>
            <w:vAlign w:val="center"/>
          </w:tcPr>
          <w:p w14:paraId="1A3B2247">
            <w:pPr>
              <w:adjustRightInd w:val="0"/>
              <w:snapToGrid w:val="0"/>
              <w:spacing w:line="360" w:lineRule="auto"/>
              <w:ind w:firstLine="480" w:firstLineChars="200"/>
              <w:jc w:val="left"/>
              <w:rPr>
                <w:bCs/>
                <w:color w:val="auto"/>
                <w:sz w:val="24"/>
                <w:szCs w:val="20"/>
              </w:rPr>
            </w:pPr>
            <w:r>
              <w:rPr>
                <w:rFonts w:hint="eastAsia"/>
                <w:bCs/>
                <w:color w:val="auto"/>
                <w:sz w:val="24"/>
              </w:rPr>
              <w:t>2、废气</w:t>
            </w:r>
            <w:r>
              <w:rPr>
                <w:bCs/>
                <w:color w:val="auto"/>
                <w:sz w:val="24"/>
              </w:rPr>
              <w:t>污染源强核算过程</w:t>
            </w:r>
          </w:p>
          <w:p w14:paraId="7BF928AB">
            <w:pPr>
              <w:autoSpaceDE w:val="0"/>
              <w:autoSpaceDN w:val="0"/>
              <w:adjustRightInd w:val="0"/>
              <w:snapToGrid w:val="0"/>
              <w:spacing w:line="360" w:lineRule="auto"/>
              <w:ind w:firstLine="480" w:firstLineChars="200"/>
              <w:jc w:val="left"/>
              <w:rPr>
                <w:color w:val="auto"/>
                <w:sz w:val="24"/>
                <w:szCs w:val="20"/>
              </w:rPr>
            </w:pPr>
            <w:r>
              <w:rPr>
                <w:rFonts w:hint="eastAsia"/>
                <w:color w:val="auto"/>
                <w:sz w:val="24"/>
                <w:szCs w:val="20"/>
              </w:rPr>
              <w:t>（1）食堂废气</w:t>
            </w:r>
          </w:p>
          <w:p w14:paraId="5D132584">
            <w:pPr>
              <w:pStyle w:val="58"/>
              <w:snapToGrid/>
              <w:spacing w:line="360" w:lineRule="auto"/>
              <w:ind w:firstLine="480"/>
              <w:rPr>
                <w:rFonts w:hint="eastAsia" w:ascii="宋体" w:hAnsi="宋体"/>
                <w:b/>
                <w:bCs/>
                <w:color w:val="auto"/>
                <w:szCs w:val="24"/>
                <w:lang w:bidi="ar"/>
              </w:rPr>
            </w:pPr>
            <w:r>
              <w:rPr>
                <w:rFonts w:cs="Times New Roman"/>
                <w:color w:val="auto"/>
                <w:kern w:val="2"/>
                <w:szCs w:val="24"/>
              </w:rPr>
              <w:t>食堂油烟主要来源于职工厨房炒菜时产生的油烟。项目劳动定员为</w:t>
            </w:r>
            <w:r>
              <w:rPr>
                <w:rFonts w:hint="eastAsia" w:cs="Times New Roman"/>
                <w:color w:val="auto"/>
                <w:kern w:val="2"/>
                <w:szCs w:val="24"/>
              </w:rPr>
              <w:t>24</w:t>
            </w:r>
            <w:r>
              <w:rPr>
                <w:rFonts w:cs="Times New Roman"/>
                <w:color w:val="auto"/>
                <w:kern w:val="2"/>
                <w:szCs w:val="24"/>
              </w:rPr>
              <w:t>人，在食堂用餐。一般厨房的食用油耗油系数为0.03kg/人·次，油烟和油的挥发量占总耗油量的2%～4%之间，取其均值3%</w:t>
            </w:r>
            <w:r>
              <w:rPr>
                <w:rFonts w:hint="eastAsia" w:cs="Times New Roman"/>
                <w:color w:val="auto"/>
                <w:kern w:val="2"/>
                <w:szCs w:val="24"/>
              </w:rPr>
              <w:t>。油烟机年工作时间为365天，每天工作时间</w:t>
            </w:r>
            <w:r>
              <w:rPr>
                <w:rFonts w:hint="eastAsia" w:cs="Times New Roman"/>
                <w:color w:val="auto"/>
                <w:kern w:val="2"/>
                <w:szCs w:val="24"/>
                <w:lang w:val="en-US" w:eastAsia="zh-CN"/>
              </w:rPr>
              <w:t>6</w:t>
            </w:r>
            <w:r>
              <w:rPr>
                <w:rFonts w:hint="eastAsia" w:cs="Times New Roman"/>
                <w:color w:val="auto"/>
                <w:kern w:val="2"/>
                <w:szCs w:val="24"/>
              </w:rPr>
              <w:t>h，</w:t>
            </w:r>
            <w:r>
              <w:rPr>
                <w:rFonts w:cs="Times New Roman"/>
                <w:color w:val="auto"/>
                <w:kern w:val="2"/>
                <w:szCs w:val="24"/>
              </w:rPr>
              <w:t>油烟排气量为</w:t>
            </w:r>
            <w:r>
              <w:rPr>
                <w:rFonts w:hint="eastAsia" w:cs="Times New Roman"/>
                <w:color w:val="auto"/>
                <w:kern w:val="2"/>
                <w:szCs w:val="24"/>
              </w:rPr>
              <w:t>6</w:t>
            </w:r>
            <w:r>
              <w:rPr>
                <w:rFonts w:cs="Times New Roman"/>
                <w:color w:val="auto"/>
                <w:kern w:val="2"/>
                <w:szCs w:val="24"/>
              </w:rPr>
              <w:t>000</w:t>
            </w:r>
            <w:r>
              <w:rPr>
                <w:rFonts w:hint="eastAsia" w:cs="Times New Roman"/>
                <w:color w:val="auto"/>
                <w:kern w:val="2"/>
                <w:szCs w:val="24"/>
              </w:rPr>
              <w:t xml:space="preserve"> </w:t>
            </w:r>
            <w:r>
              <w:rPr>
                <w:rFonts w:cs="Times New Roman"/>
                <w:color w:val="auto"/>
                <w:kern w:val="2"/>
                <w:szCs w:val="24"/>
              </w:rPr>
              <w:t>m</w:t>
            </w:r>
            <w:r>
              <w:rPr>
                <w:rFonts w:cs="Times New Roman"/>
                <w:color w:val="auto"/>
                <w:kern w:val="2"/>
                <w:szCs w:val="24"/>
                <w:vertAlign w:val="superscript"/>
              </w:rPr>
              <w:t>3</w:t>
            </w:r>
            <w:r>
              <w:rPr>
                <w:rFonts w:cs="Times New Roman"/>
                <w:color w:val="auto"/>
                <w:kern w:val="2"/>
                <w:szCs w:val="24"/>
              </w:rPr>
              <w:t>/h，则油烟的产生量约为</w:t>
            </w:r>
            <w:r>
              <w:rPr>
                <w:rFonts w:hint="eastAsia" w:cs="Times New Roman"/>
                <w:color w:val="auto"/>
                <w:kern w:val="2"/>
                <w:szCs w:val="24"/>
              </w:rPr>
              <w:t>0.0</w:t>
            </w:r>
            <w:r>
              <w:rPr>
                <w:rFonts w:hint="eastAsia" w:cs="Times New Roman"/>
                <w:color w:val="auto"/>
                <w:kern w:val="2"/>
                <w:szCs w:val="24"/>
                <w:lang w:val="en-US" w:eastAsia="zh-CN"/>
              </w:rPr>
              <w:t>237</w:t>
            </w:r>
            <w:r>
              <w:rPr>
                <w:rFonts w:cs="Times New Roman"/>
                <w:color w:val="auto"/>
                <w:kern w:val="2"/>
                <w:szCs w:val="24"/>
              </w:rPr>
              <w:t>t/a</w:t>
            </w:r>
            <w:r>
              <w:rPr>
                <w:rFonts w:hint="eastAsia" w:cs="Times New Roman"/>
                <w:color w:val="auto"/>
                <w:kern w:val="2"/>
                <w:szCs w:val="24"/>
              </w:rPr>
              <w:t>，产生</w:t>
            </w:r>
            <w:r>
              <w:rPr>
                <w:rFonts w:cs="Times New Roman"/>
                <w:color w:val="auto"/>
                <w:kern w:val="2"/>
                <w:szCs w:val="24"/>
              </w:rPr>
              <w:t>速率</w:t>
            </w:r>
            <w:r>
              <w:rPr>
                <w:rFonts w:hint="eastAsia" w:cs="Times New Roman"/>
                <w:color w:val="auto"/>
                <w:kern w:val="2"/>
                <w:szCs w:val="24"/>
              </w:rPr>
              <w:t>0.01</w:t>
            </w:r>
            <w:r>
              <w:rPr>
                <w:rFonts w:hint="eastAsia" w:cs="Times New Roman"/>
                <w:color w:val="auto"/>
                <w:kern w:val="2"/>
                <w:szCs w:val="24"/>
                <w:lang w:val="en-US" w:eastAsia="zh-CN"/>
              </w:rPr>
              <w:t>30</w:t>
            </w:r>
            <w:r>
              <w:rPr>
                <w:rFonts w:cs="Times New Roman"/>
                <w:color w:val="auto"/>
                <w:kern w:val="2"/>
                <w:szCs w:val="24"/>
              </w:rPr>
              <w:t>kg/h</w:t>
            </w:r>
            <w:r>
              <w:rPr>
                <w:rFonts w:hint="eastAsia" w:cs="Times New Roman"/>
                <w:color w:val="auto"/>
                <w:kern w:val="2"/>
                <w:szCs w:val="24"/>
              </w:rPr>
              <w:t>，产生浓度为</w:t>
            </w:r>
            <w:r>
              <w:rPr>
                <w:rFonts w:hint="eastAsia" w:cs="Times New Roman"/>
                <w:color w:val="auto"/>
                <w:kern w:val="2"/>
                <w:szCs w:val="24"/>
                <w:lang w:val="en-US" w:eastAsia="zh-CN"/>
              </w:rPr>
              <w:t>2.16</w:t>
            </w:r>
            <w:r>
              <w:rPr>
                <w:rFonts w:cs="Times New Roman"/>
                <w:color w:val="auto"/>
                <w:kern w:val="2"/>
                <w:szCs w:val="24"/>
              </w:rPr>
              <w:t>mg/m</w:t>
            </w:r>
            <w:r>
              <w:rPr>
                <w:rFonts w:cs="Times New Roman"/>
                <w:color w:val="auto"/>
                <w:kern w:val="2"/>
                <w:szCs w:val="24"/>
                <w:vertAlign w:val="superscript"/>
              </w:rPr>
              <w:t>3</w:t>
            </w:r>
            <w:r>
              <w:rPr>
                <w:rFonts w:hint="eastAsia" w:cs="Times New Roman"/>
                <w:color w:val="auto"/>
                <w:kern w:val="2"/>
                <w:szCs w:val="24"/>
              </w:rPr>
              <w:t>。</w:t>
            </w:r>
            <w:r>
              <w:rPr>
                <w:rFonts w:cs="Times New Roman"/>
                <w:color w:val="auto"/>
                <w:kern w:val="2"/>
                <w:szCs w:val="24"/>
              </w:rPr>
              <w:t>项目拟利用油烟净化器对厨房油烟进行处理，油烟净化器净化效率按60%计算。经处理后油烟的排放量约为</w:t>
            </w:r>
            <w:r>
              <w:rPr>
                <w:rFonts w:hint="eastAsia" w:cs="Times New Roman"/>
                <w:color w:val="auto"/>
                <w:kern w:val="2"/>
                <w:szCs w:val="24"/>
                <w:lang w:val="en-US" w:eastAsia="zh-CN"/>
              </w:rPr>
              <w:t>0.0095</w:t>
            </w:r>
            <w:r>
              <w:rPr>
                <w:rFonts w:cs="Times New Roman"/>
                <w:color w:val="auto"/>
                <w:kern w:val="2"/>
                <w:szCs w:val="24"/>
              </w:rPr>
              <w:t>t/a，</w:t>
            </w:r>
            <w:r>
              <w:rPr>
                <w:rFonts w:hint="eastAsia" w:cs="Times New Roman"/>
                <w:color w:val="auto"/>
                <w:kern w:val="2"/>
                <w:szCs w:val="24"/>
              </w:rPr>
              <w:t>排放速率约为</w:t>
            </w:r>
            <w:r>
              <w:rPr>
                <w:rFonts w:hint="eastAsia" w:cs="Times New Roman"/>
                <w:color w:val="auto"/>
                <w:kern w:val="2"/>
                <w:szCs w:val="24"/>
                <w:lang w:val="en-US" w:eastAsia="zh-CN"/>
              </w:rPr>
              <w:t>0.0052</w:t>
            </w:r>
            <w:r>
              <w:rPr>
                <w:rFonts w:cs="Times New Roman"/>
                <w:color w:val="auto"/>
                <w:kern w:val="2"/>
                <w:szCs w:val="24"/>
              </w:rPr>
              <w:t>kg/h</w:t>
            </w:r>
            <w:r>
              <w:rPr>
                <w:rFonts w:hint="eastAsia" w:cs="Times New Roman"/>
                <w:color w:val="auto"/>
                <w:kern w:val="2"/>
                <w:szCs w:val="24"/>
              </w:rPr>
              <w:t>，排放浓度约为0.</w:t>
            </w:r>
            <w:r>
              <w:rPr>
                <w:rFonts w:hint="eastAsia" w:cs="Times New Roman"/>
                <w:color w:val="auto"/>
                <w:kern w:val="2"/>
                <w:szCs w:val="24"/>
                <w:lang w:val="en-US" w:eastAsia="zh-CN"/>
              </w:rPr>
              <w:t>8640</w:t>
            </w:r>
            <w:r>
              <w:rPr>
                <w:rFonts w:cs="Times New Roman"/>
                <w:color w:val="auto"/>
                <w:kern w:val="2"/>
                <w:szCs w:val="24"/>
              </w:rPr>
              <w:t>mg/m</w:t>
            </w:r>
            <w:r>
              <w:rPr>
                <w:rFonts w:cs="Times New Roman"/>
                <w:color w:val="auto"/>
                <w:kern w:val="2"/>
                <w:szCs w:val="24"/>
                <w:vertAlign w:val="superscript"/>
              </w:rPr>
              <w:t>3</w:t>
            </w:r>
            <w:r>
              <w:rPr>
                <w:rFonts w:cs="Times New Roman"/>
                <w:color w:val="auto"/>
                <w:kern w:val="2"/>
                <w:szCs w:val="24"/>
              </w:rPr>
              <w:t>。本环评建议食堂油烟净化后排放。油烟排放浓度应满足《饮食业油烟排放标准（试行）》（GB18483-2001）中规定的最高允许排放浓度2.0mg/m</w:t>
            </w:r>
            <w:r>
              <w:rPr>
                <w:rFonts w:cs="Times New Roman"/>
                <w:color w:val="auto"/>
                <w:kern w:val="2"/>
                <w:szCs w:val="24"/>
                <w:vertAlign w:val="superscript"/>
              </w:rPr>
              <w:t>3</w:t>
            </w:r>
            <w:r>
              <w:rPr>
                <w:rFonts w:cs="Times New Roman"/>
                <w:color w:val="auto"/>
                <w:kern w:val="2"/>
                <w:szCs w:val="24"/>
              </w:rPr>
              <w:t>的排放标准。</w:t>
            </w:r>
          </w:p>
          <w:p w14:paraId="73AA3A30">
            <w:pPr>
              <w:autoSpaceDE w:val="0"/>
              <w:autoSpaceDN w:val="0"/>
              <w:adjustRightInd w:val="0"/>
              <w:snapToGrid w:val="0"/>
              <w:spacing w:line="360" w:lineRule="auto"/>
              <w:ind w:firstLine="480" w:firstLineChars="200"/>
              <w:jc w:val="left"/>
              <w:rPr>
                <w:color w:val="auto"/>
                <w:sz w:val="24"/>
                <w:szCs w:val="20"/>
              </w:rPr>
            </w:pPr>
            <w:r>
              <w:rPr>
                <w:rFonts w:hint="eastAsia"/>
                <w:color w:val="auto"/>
                <w:sz w:val="24"/>
              </w:rPr>
              <w:t>（2）异味</w:t>
            </w:r>
          </w:p>
          <w:p w14:paraId="419E7923">
            <w:pPr>
              <w:adjustRightInd w:val="0"/>
              <w:snapToGrid w:val="0"/>
              <w:spacing w:line="360" w:lineRule="auto"/>
              <w:ind w:firstLine="480" w:firstLineChars="200"/>
              <w:jc w:val="left"/>
              <w:rPr>
                <w:color w:val="auto"/>
                <w:kern w:val="0"/>
                <w:sz w:val="24"/>
              </w:rPr>
            </w:pPr>
            <w:r>
              <w:rPr>
                <w:rFonts w:hint="eastAsia"/>
                <w:color w:val="auto"/>
                <w:kern w:val="0"/>
                <w:sz w:val="24"/>
              </w:rPr>
              <w:t>本项目产生的异味主要来源于医院消毒异味、医</w:t>
            </w:r>
            <w:r>
              <w:rPr>
                <w:rFonts w:hint="eastAsia"/>
                <w:color w:val="auto"/>
                <w:kern w:val="0"/>
                <w:sz w:val="24"/>
                <w:lang w:val="en-US" w:eastAsia="zh-CN"/>
              </w:rPr>
              <w:t>疗废物</w:t>
            </w:r>
            <w:r>
              <w:rPr>
                <w:rFonts w:hint="eastAsia"/>
                <w:color w:val="auto"/>
                <w:kern w:val="0"/>
                <w:sz w:val="24"/>
              </w:rPr>
              <w:t>暂存间异味、污水处理站异味及煎药馆异味。</w:t>
            </w:r>
          </w:p>
          <w:p w14:paraId="130191D8">
            <w:pPr>
              <w:adjustRightInd w:val="0"/>
              <w:snapToGrid w:val="0"/>
              <w:spacing w:line="360" w:lineRule="auto"/>
              <w:ind w:firstLine="480" w:firstLineChars="200"/>
              <w:jc w:val="left"/>
              <w:rPr>
                <w:color w:val="auto"/>
                <w:kern w:val="0"/>
                <w:sz w:val="24"/>
              </w:rPr>
            </w:pPr>
            <w:r>
              <w:rPr>
                <w:rFonts w:hint="eastAsia"/>
                <w:color w:val="auto"/>
                <w:kern w:val="0"/>
                <w:sz w:val="24"/>
              </w:rPr>
              <w:t>①医院消毒异味</w:t>
            </w:r>
          </w:p>
          <w:p w14:paraId="15589BF7">
            <w:pPr>
              <w:adjustRightInd w:val="0"/>
              <w:snapToGrid w:val="0"/>
              <w:spacing w:line="360" w:lineRule="auto"/>
              <w:ind w:firstLine="480" w:firstLineChars="200"/>
              <w:rPr>
                <w:color w:val="auto"/>
                <w:kern w:val="0"/>
                <w:sz w:val="24"/>
              </w:rPr>
            </w:pPr>
            <w:r>
              <w:rPr>
                <w:rFonts w:hint="eastAsia"/>
                <w:color w:val="auto"/>
                <w:kern w:val="0"/>
                <w:sz w:val="24"/>
              </w:rPr>
              <w:t>为降低门诊主业务楼内空气中的含菌量，项目区内经常使用含氯消毒粉与水调配后对楼道、卫生间等进行消毒处理，此过程中会有少量异味产生，根据现场调查，项目消毒异味主要为消毒剂挥发产生，其产生量不大，且主要在室内产生，呈无组织排放。</w:t>
            </w:r>
          </w:p>
          <w:p w14:paraId="26401E5F">
            <w:pPr>
              <w:adjustRightInd w:val="0"/>
              <w:snapToGrid w:val="0"/>
              <w:spacing w:line="360" w:lineRule="auto"/>
              <w:ind w:firstLine="480" w:firstLineChars="200"/>
              <w:jc w:val="left"/>
              <w:rPr>
                <w:color w:val="auto"/>
                <w:kern w:val="0"/>
                <w:sz w:val="24"/>
              </w:rPr>
            </w:pPr>
            <w:r>
              <w:rPr>
                <w:rFonts w:hint="eastAsia"/>
                <w:color w:val="auto"/>
                <w:kern w:val="0"/>
                <w:sz w:val="24"/>
              </w:rPr>
              <w:t>②医</w:t>
            </w:r>
            <w:r>
              <w:rPr>
                <w:rFonts w:hint="eastAsia"/>
                <w:color w:val="auto"/>
                <w:kern w:val="0"/>
                <w:sz w:val="24"/>
                <w:lang w:val="en-US" w:eastAsia="zh-CN"/>
              </w:rPr>
              <w:t>疗废物</w:t>
            </w:r>
            <w:r>
              <w:rPr>
                <w:rFonts w:hint="eastAsia"/>
                <w:color w:val="auto"/>
                <w:kern w:val="0"/>
                <w:sz w:val="24"/>
              </w:rPr>
              <w:t>暂存间异味</w:t>
            </w:r>
          </w:p>
          <w:p w14:paraId="14C9F5B9">
            <w:pPr>
              <w:adjustRightInd w:val="0"/>
              <w:snapToGrid w:val="0"/>
              <w:spacing w:line="360" w:lineRule="auto"/>
              <w:ind w:firstLine="480" w:firstLineChars="200"/>
              <w:rPr>
                <w:color w:val="auto"/>
                <w:kern w:val="0"/>
                <w:sz w:val="24"/>
              </w:rPr>
            </w:pPr>
            <w:r>
              <w:rPr>
                <w:rFonts w:hint="eastAsia"/>
                <w:color w:val="auto"/>
                <w:kern w:val="0"/>
                <w:sz w:val="24"/>
              </w:rPr>
              <w:t>医</w:t>
            </w:r>
            <w:r>
              <w:rPr>
                <w:rFonts w:hint="eastAsia"/>
                <w:color w:val="auto"/>
                <w:kern w:val="0"/>
                <w:sz w:val="24"/>
                <w:lang w:val="en-US" w:eastAsia="zh-CN"/>
              </w:rPr>
              <w:t>疗废物</w:t>
            </w:r>
            <w:r>
              <w:rPr>
                <w:rFonts w:hint="eastAsia"/>
                <w:color w:val="auto"/>
                <w:kern w:val="0"/>
                <w:sz w:val="24"/>
              </w:rPr>
              <w:t>暂存间异味位于</w:t>
            </w:r>
            <w:r>
              <w:rPr>
                <w:rFonts w:hint="eastAsia"/>
                <w:color w:val="auto"/>
                <w:kern w:val="0"/>
                <w:sz w:val="24"/>
                <w:lang w:val="en-US" w:eastAsia="zh-CN"/>
              </w:rPr>
              <w:t>院区西北角</w:t>
            </w:r>
            <w:r>
              <w:rPr>
                <w:rFonts w:hint="eastAsia"/>
                <w:color w:val="auto"/>
                <w:kern w:val="0"/>
                <w:sz w:val="24"/>
              </w:rPr>
              <w:t>，医疗废物按照《医疗废物处置污染控制标准》（GB39707-2020）关于医疗废物48小时清运时限，委托有资质单位及时清运处置，每次清运按照实际情况认真填写转移联单。综上，项目医疗废物及生活垃圾臭味产生量和排放量均很小，为无组织排放。</w:t>
            </w:r>
          </w:p>
          <w:p w14:paraId="1C1D96C3">
            <w:pPr>
              <w:adjustRightInd w:val="0"/>
              <w:snapToGrid w:val="0"/>
              <w:spacing w:line="360" w:lineRule="auto"/>
              <w:ind w:firstLine="480" w:firstLineChars="200"/>
              <w:jc w:val="left"/>
              <w:rPr>
                <w:rFonts w:hint="eastAsia"/>
                <w:color w:val="auto"/>
                <w:kern w:val="0"/>
                <w:sz w:val="24"/>
              </w:rPr>
            </w:pPr>
            <w:r>
              <w:rPr>
                <w:rFonts w:hint="eastAsia"/>
                <w:color w:val="auto"/>
                <w:kern w:val="0"/>
                <w:sz w:val="24"/>
              </w:rPr>
              <w:t>③化粪池、污水处理站异味</w:t>
            </w:r>
          </w:p>
          <w:p w14:paraId="42B43CF6">
            <w:pPr>
              <w:adjustRightInd w:val="0"/>
              <w:snapToGrid w:val="0"/>
              <w:spacing w:line="360" w:lineRule="auto"/>
              <w:ind w:firstLine="480" w:firstLineChars="200"/>
              <w:jc w:val="left"/>
              <w:rPr>
                <w:rFonts w:hint="eastAsia"/>
                <w:color w:val="auto"/>
                <w:kern w:val="0"/>
                <w:sz w:val="24"/>
              </w:rPr>
            </w:pPr>
            <w:r>
              <w:rPr>
                <w:color w:val="auto"/>
                <w:sz w:val="24"/>
              </w:rPr>
              <w:t>化粪池：本项目化粪池采用地埋式加盖措施，密闭性较好，地上部分进行绿化，周围种植绿化植物，对周围环境的影响小</w:t>
            </w:r>
            <w:r>
              <w:rPr>
                <w:rFonts w:hint="eastAsia"/>
                <w:color w:val="auto"/>
                <w:sz w:val="24"/>
              </w:rPr>
              <w:t>。</w:t>
            </w:r>
          </w:p>
          <w:p w14:paraId="210F59FC">
            <w:pPr>
              <w:adjustRightInd w:val="0"/>
              <w:snapToGrid w:val="0"/>
              <w:spacing w:line="360" w:lineRule="auto"/>
              <w:ind w:firstLine="480" w:firstLineChars="200"/>
              <w:rPr>
                <w:color w:val="auto"/>
                <w:sz w:val="24"/>
              </w:rPr>
            </w:pPr>
            <w:r>
              <w:rPr>
                <w:color w:val="auto"/>
                <w:kern w:val="0"/>
                <w:sz w:val="24"/>
              </w:rPr>
              <w:t>污水处理站的恶臭来源于污水、污泥中有机物的分解、发酵过程中散发的化学物质，主要种类有：硫化物、氨、硫醇、甲基硫、粪臭素、酪酸、丙酸等，其中以硫化氢和氨为主。</w:t>
            </w:r>
            <w:r>
              <w:rPr>
                <w:rFonts w:hint="eastAsia"/>
                <w:color w:val="auto"/>
                <w:kern w:val="0"/>
                <w:sz w:val="24"/>
              </w:rPr>
              <w:t>项目恶臭污染物源强类比美国EPA对城市污水处理厂恶臭污染物产生情况的研究，每处理1g的BOD</w:t>
            </w:r>
            <w:r>
              <w:rPr>
                <w:rFonts w:hint="eastAsia"/>
                <w:color w:val="auto"/>
                <w:kern w:val="0"/>
                <w:sz w:val="24"/>
                <w:vertAlign w:val="subscript"/>
              </w:rPr>
              <w:t>5</w:t>
            </w:r>
            <w:r>
              <w:rPr>
                <w:rFonts w:hint="eastAsia"/>
                <w:color w:val="auto"/>
                <w:kern w:val="0"/>
                <w:sz w:val="24"/>
              </w:rPr>
              <w:t>，可产生0.0031g的NH</w:t>
            </w:r>
            <w:r>
              <w:rPr>
                <w:rFonts w:hint="eastAsia"/>
                <w:color w:val="auto"/>
                <w:kern w:val="0"/>
                <w:sz w:val="24"/>
                <w:vertAlign w:val="subscript"/>
              </w:rPr>
              <w:t>3</w:t>
            </w:r>
            <w:r>
              <w:rPr>
                <w:rFonts w:hint="eastAsia"/>
                <w:color w:val="auto"/>
                <w:kern w:val="0"/>
                <w:sz w:val="24"/>
              </w:rPr>
              <w:t>和0.00012g的H</w:t>
            </w:r>
            <w:r>
              <w:rPr>
                <w:rFonts w:hint="eastAsia"/>
                <w:color w:val="auto"/>
                <w:kern w:val="0"/>
                <w:sz w:val="24"/>
                <w:vertAlign w:val="subscript"/>
              </w:rPr>
              <w:t>2</w:t>
            </w:r>
            <w:r>
              <w:rPr>
                <w:rFonts w:hint="eastAsia"/>
                <w:color w:val="auto"/>
                <w:kern w:val="0"/>
                <w:sz w:val="24"/>
              </w:rPr>
              <w:t>S。医院污水处理站处理BOD</w:t>
            </w:r>
            <w:r>
              <w:rPr>
                <w:rFonts w:hint="eastAsia"/>
                <w:color w:val="auto"/>
                <w:kern w:val="0"/>
                <w:sz w:val="24"/>
                <w:vertAlign w:val="subscript"/>
              </w:rPr>
              <w:t>5</w:t>
            </w:r>
            <w:r>
              <w:rPr>
                <w:rFonts w:hint="eastAsia"/>
                <w:color w:val="auto"/>
                <w:kern w:val="0"/>
                <w:sz w:val="24"/>
              </w:rPr>
              <w:t>约为</w:t>
            </w:r>
            <w:r>
              <w:rPr>
                <w:rFonts w:hint="eastAsia"/>
                <w:color w:val="auto"/>
                <w:kern w:val="0"/>
                <w:sz w:val="24"/>
                <w:lang w:val="en-US" w:eastAsia="zh-CN"/>
              </w:rPr>
              <w:t>0.3907t</w:t>
            </w:r>
            <w:r>
              <w:rPr>
                <w:rFonts w:hint="eastAsia"/>
                <w:color w:val="auto"/>
                <w:kern w:val="0"/>
                <w:sz w:val="24"/>
              </w:rPr>
              <w:t>/a，由此计算NH</w:t>
            </w:r>
            <w:r>
              <w:rPr>
                <w:rFonts w:hint="eastAsia"/>
                <w:color w:val="auto"/>
                <w:kern w:val="0"/>
                <w:sz w:val="24"/>
                <w:vertAlign w:val="subscript"/>
              </w:rPr>
              <w:t>3</w:t>
            </w:r>
            <w:r>
              <w:rPr>
                <w:rFonts w:hint="eastAsia"/>
                <w:color w:val="auto"/>
                <w:kern w:val="0"/>
                <w:sz w:val="24"/>
              </w:rPr>
              <w:t>产生量为</w:t>
            </w:r>
            <w:r>
              <w:rPr>
                <w:rFonts w:hint="eastAsia"/>
                <w:color w:val="auto"/>
                <w:kern w:val="0"/>
                <w:sz w:val="24"/>
                <w:lang w:val="en-US" w:eastAsia="zh-CN"/>
              </w:rPr>
              <w:t>1.2112</w:t>
            </w:r>
            <w:r>
              <w:rPr>
                <w:rFonts w:hint="eastAsia"/>
                <w:color w:val="auto"/>
                <w:kern w:val="0"/>
                <w:sz w:val="24"/>
              </w:rPr>
              <w:t>kg/a，H</w:t>
            </w:r>
            <w:r>
              <w:rPr>
                <w:rFonts w:hint="eastAsia"/>
                <w:color w:val="auto"/>
                <w:kern w:val="0"/>
                <w:sz w:val="24"/>
                <w:vertAlign w:val="subscript"/>
              </w:rPr>
              <w:t>2</w:t>
            </w:r>
            <w:r>
              <w:rPr>
                <w:rFonts w:hint="eastAsia"/>
                <w:color w:val="auto"/>
                <w:kern w:val="0"/>
                <w:sz w:val="24"/>
              </w:rPr>
              <w:t>S产生量为0.0</w:t>
            </w:r>
            <w:r>
              <w:rPr>
                <w:rFonts w:hint="eastAsia"/>
                <w:color w:val="auto"/>
                <w:kern w:val="0"/>
                <w:sz w:val="24"/>
                <w:lang w:val="en-US" w:eastAsia="zh-CN"/>
              </w:rPr>
              <w:t>469</w:t>
            </w:r>
            <w:r>
              <w:rPr>
                <w:rFonts w:hint="eastAsia"/>
                <w:color w:val="auto"/>
                <w:kern w:val="0"/>
                <w:sz w:val="24"/>
              </w:rPr>
              <w:t>kg/a。本项目污水处理站为地埋式，顶部加盖密闭，同时投加除臭剂，</w:t>
            </w:r>
            <w:r>
              <w:rPr>
                <w:color w:val="auto"/>
                <w:sz w:val="24"/>
              </w:rPr>
              <w:t>除臭效率达40%，则排放量分别为：NH</w:t>
            </w:r>
            <w:r>
              <w:rPr>
                <w:color w:val="auto"/>
                <w:sz w:val="24"/>
                <w:vertAlign w:val="subscript"/>
              </w:rPr>
              <w:t>3</w:t>
            </w:r>
            <w:r>
              <w:rPr>
                <w:color w:val="auto"/>
                <w:sz w:val="24"/>
              </w:rPr>
              <w:t xml:space="preserve"> </w:t>
            </w:r>
            <w:r>
              <w:rPr>
                <w:rFonts w:hint="eastAsia"/>
                <w:color w:val="auto"/>
                <w:sz w:val="24"/>
                <w:lang w:val="en-US" w:eastAsia="zh-CN"/>
              </w:rPr>
              <w:t>0.7267</w:t>
            </w:r>
            <w:r>
              <w:rPr>
                <w:color w:val="auto"/>
                <w:sz w:val="24"/>
              </w:rPr>
              <w:t>kg/a，H</w:t>
            </w:r>
            <w:r>
              <w:rPr>
                <w:color w:val="auto"/>
                <w:sz w:val="24"/>
                <w:vertAlign w:val="subscript"/>
              </w:rPr>
              <w:t>2</w:t>
            </w:r>
            <w:r>
              <w:rPr>
                <w:color w:val="auto"/>
                <w:sz w:val="24"/>
              </w:rPr>
              <w:t xml:space="preserve">S </w:t>
            </w:r>
            <w:r>
              <w:rPr>
                <w:rFonts w:hint="eastAsia"/>
                <w:color w:val="auto"/>
                <w:sz w:val="24"/>
                <w:lang w:val="en-US" w:eastAsia="zh-CN"/>
              </w:rPr>
              <w:t>0.0281</w:t>
            </w:r>
            <w:r>
              <w:rPr>
                <w:color w:val="auto"/>
                <w:sz w:val="24"/>
              </w:rPr>
              <w:t>kg/</w:t>
            </w:r>
            <w:r>
              <w:rPr>
                <w:rFonts w:hint="eastAsia"/>
                <w:color w:val="auto"/>
                <w:sz w:val="24"/>
              </w:rPr>
              <w:t>a。确保污水处理设施周边空气中污染物浓度满足《医疗机构水污染物排放标准》（GB18466-2005）标准表3中要求。</w:t>
            </w:r>
          </w:p>
          <w:p w14:paraId="62D15F96">
            <w:pPr>
              <w:pStyle w:val="9"/>
              <w:rPr>
                <w:color w:val="auto"/>
                <w:kern w:val="2"/>
                <w:szCs w:val="24"/>
              </w:rPr>
            </w:pPr>
            <w:r>
              <w:rPr>
                <w:rFonts w:hint="eastAsia"/>
                <w:color w:val="auto"/>
                <w:kern w:val="2"/>
                <w:szCs w:val="24"/>
              </w:rPr>
              <w:t>④</w:t>
            </w:r>
            <w:r>
              <w:rPr>
                <w:rFonts w:hint="eastAsia"/>
                <w:color w:val="auto"/>
                <w:kern w:val="2"/>
                <w:szCs w:val="24"/>
                <w:lang w:val="en-US" w:eastAsia="zh-CN"/>
              </w:rPr>
              <w:t>中医馆</w:t>
            </w:r>
            <w:r>
              <w:rPr>
                <w:rFonts w:hint="eastAsia"/>
                <w:color w:val="auto"/>
                <w:kern w:val="2"/>
                <w:szCs w:val="24"/>
              </w:rPr>
              <w:t>馆异味</w:t>
            </w:r>
          </w:p>
          <w:p w14:paraId="6B251465">
            <w:pPr>
              <w:spacing w:line="360" w:lineRule="auto"/>
              <w:ind w:firstLine="480" w:firstLineChars="200"/>
              <w:rPr>
                <w:color w:val="auto"/>
                <w:sz w:val="24"/>
                <w:szCs w:val="32"/>
              </w:rPr>
            </w:pPr>
            <w:r>
              <w:rPr>
                <w:color w:val="auto"/>
                <w:sz w:val="24"/>
                <w:szCs w:val="32"/>
              </w:rPr>
              <w:t>本项目在院区内设立煎药室，配备</w:t>
            </w:r>
            <w:r>
              <w:rPr>
                <w:rFonts w:hint="eastAsia"/>
                <w:color w:val="auto"/>
                <w:sz w:val="24"/>
                <w:szCs w:val="32"/>
              </w:rPr>
              <w:t>1个</w:t>
            </w:r>
            <w:r>
              <w:rPr>
                <w:color w:val="auto"/>
                <w:sz w:val="24"/>
                <w:szCs w:val="32"/>
              </w:rPr>
              <w:t>煎药壶和</w:t>
            </w:r>
            <w:r>
              <w:rPr>
                <w:rFonts w:hint="eastAsia"/>
                <w:color w:val="auto"/>
                <w:sz w:val="24"/>
                <w:szCs w:val="32"/>
              </w:rPr>
              <w:t>1个</w:t>
            </w:r>
            <w:r>
              <w:rPr>
                <w:color w:val="auto"/>
                <w:sz w:val="24"/>
                <w:szCs w:val="32"/>
              </w:rPr>
              <w:t>煎药机，用于为患者煎制中药。煎药过程和包装均在封闭环境中进行，以减少异味</w:t>
            </w:r>
            <w:r>
              <w:rPr>
                <w:rFonts w:hint="eastAsia"/>
                <w:color w:val="auto"/>
                <w:sz w:val="24"/>
                <w:szCs w:val="32"/>
              </w:rPr>
              <w:t>，</w:t>
            </w:r>
            <w:r>
              <w:rPr>
                <w:color w:val="auto"/>
                <w:sz w:val="24"/>
              </w:rPr>
              <w:t>本项目煎药异味气体（本评价以臭气浓度表征）产生量少</w:t>
            </w:r>
            <w:r>
              <w:rPr>
                <w:rFonts w:hint="eastAsia"/>
                <w:color w:val="auto"/>
                <w:sz w:val="24"/>
              </w:rPr>
              <w:t>，</w:t>
            </w:r>
            <w:r>
              <w:rPr>
                <w:color w:val="auto"/>
                <w:sz w:val="24"/>
              </w:rPr>
              <w:t>其产生的异味无法量化</w:t>
            </w:r>
            <w:r>
              <w:rPr>
                <w:color w:val="auto"/>
                <w:sz w:val="24"/>
                <w:szCs w:val="32"/>
              </w:rPr>
              <w:t>。煎药室内装有排风扇，确保良好通风，降低中药气味。药渣存放在带盖垃圾桶内，并用塑料袋封装，每天由环卫部门清运，避免异味积累。</w:t>
            </w:r>
          </w:p>
          <w:p w14:paraId="0E51DF8F">
            <w:pPr>
              <w:adjustRightInd w:val="0"/>
              <w:snapToGrid w:val="0"/>
              <w:spacing w:line="360" w:lineRule="auto"/>
              <w:ind w:firstLine="482" w:firstLineChars="200"/>
              <w:jc w:val="left"/>
              <w:rPr>
                <w:color w:val="auto"/>
                <w:kern w:val="0"/>
                <w:sz w:val="24"/>
              </w:rPr>
            </w:pPr>
            <w:r>
              <w:rPr>
                <w:rFonts w:hint="eastAsia"/>
                <w:b/>
                <w:color w:val="auto"/>
                <w:kern w:val="0"/>
                <w:sz w:val="24"/>
              </w:rPr>
              <w:t>3、废气治理设施可行性分析</w:t>
            </w:r>
          </w:p>
          <w:p w14:paraId="5A1CC07D">
            <w:pPr>
              <w:pStyle w:val="43"/>
              <w:ind w:firstLine="480"/>
              <w:rPr>
                <w:color w:val="auto"/>
                <w:kern w:val="0"/>
              </w:rPr>
            </w:pPr>
            <w:r>
              <w:rPr>
                <w:rFonts w:hint="eastAsia"/>
                <w:color w:val="auto"/>
              </w:rPr>
              <w:t>食堂油烟采用</w:t>
            </w:r>
            <w:r>
              <w:rPr>
                <w:color w:val="auto"/>
              </w:rPr>
              <w:t>油烟净化器</w:t>
            </w:r>
            <w:r>
              <w:rPr>
                <w:rFonts w:hint="eastAsia"/>
                <w:color w:val="auto"/>
              </w:rPr>
              <w:t>处理后楼顶排放；</w:t>
            </w:r>
            <w:r>
              <w:rPr>
                <w:color w:val="auto"/>
                <w:kern w:val="0"/>
              </w:rPr>
              <w:t>污水处理站</w:t>
            </w:r>
            <w:r>
              <w:rPr>
                <w:rFonts w:hint="eastAsia"/>
                <w:color w:val="auto"/>
                <w:kern w:val="0"/>
              </w:rPr>
              <w:t>无组织</w:t>
            </w:r>
            <w:r>
              <w:rPr>
                <w:color w:val="auto"/>
                <w:kern w:val="0"/>
              </w:rPr>
              <w:t>恶臭废气</w:t>
            </w:r>
            <w:r>
              <w:rPr>
                <w:rFonts w:hint="eastAsia"/>
                <w:color w:val="auto"/>
                <w:kern w:val="0"/>
              </w:rPr>
              <w:t>采用密闭、投加除臭剂处理。各类废气经过对应处理设施处理后，</w:t>
            </w:r>
            <w:r>
              <w:rPr>
                <w:rFonts w:hint="eastAsia"/>
                <w:color w:val="auto"/>
              </w:rPr>
              <w:t>均能达标排放，对外环境影响较小。根据《排污许可证申请与核发技术规范 医疗机构》（HJ1105-2020）污水处理站无组织排放的可行技术为恶臭区加盖、投放除臭剂，本项目污水处理站无组织排放采用恶臭区加盖、投放除臭剂，</w:t>
            </w:r>
            <w:r>
              <w:rPr>
                <w:rFonts w:hint="eastAsia"/>
                <w:color w:val="auto"/>
                <w:kern w:val="0"/>
              </w:rPr>
              <w:t>废气处理设施为可行技术。</w:t>
            </w:r>
          </w:p>
          <w:p w14:paraId="69D9BD49">
            <w:pPr>
              <w:adjustRightInd w:val="0"/>
              <w:snapToGrid w:val="0"/>
              <w:spacing w:line="360" w:lineRule="auto"/>
              <w:ind w:firstLine="482" w:firstLineChars="200"/>
              <w:jc w:val="left"/>
              <w:rPr>
                <w:b/>
                <w:color w:val="auto"/>
                <w:kern w:val="0"/>
                <w:sz w:val="24"/>
              </w:rPr>
            </w:pPr>
            <w:r>
              <w:rPr>
                <w:rFonts w:hint="eastAsia"/>
                <w:b/>
                <w:color w:val="auto"/>
                <w:kern w:val="0"/>
                <w:sz w:val="24"/>
              </w:rPr>
              <w:t>4、废气</w:t>
            </w:r>
            <w:r>
              <w:rPr>
                <w:rFonts w:hint="eastAsia"/>
                <w:b/>
                <w:color w:val="auto"/>
                <w:kern w:val="0"/>
                <w:sz w:val="24"/>
                <w:lang w:val="en-US" w:eastAsia="zh-CN"/>
              </w:rPr>
              <w:t>环境影响</w:t>
            </w:r>
            <w:r>
              <w:rPr>
                <w:rFonts w:hint="eastAsia"/>
                <w:b/>
                <w:color w:val="auto"/>
                <w:kern w:val="0"/>
                <w:sz w:val="24"/>
              </w:rPr>
              <w:t>分析</w:t>
            </w:r>
          </w:p>
          <w:p w14:paraId="11A2ED10">
            <w:pPr>
              <w:pStyle w:val="43"/>
              <w:ind w:firstLine="480"/>
              <w:jc w:val="both"/>
              <w:rPr>
                <w:color w:val="auto"/>
                <w:kern w:val="0"/>
                <w:sz w:val="24"/>
              </w:rPr>
            </w:pPr>
            <w:r>
              <w:rPr>
                <w:rFonts w:hint="eastAsia"/>
                <w:color w:val="auto"/>
                <w:szCs w:val="28"/>
              </w:rPr>
              <w:t>项目食堂油烟经过油烟净化器处理后排放浓度满足《饮食业油烟排放标准》（GB18483-2001）小型标准要求</w:t>
            </w:r>
            <w:r>
              <w:rPr>
                <w:rFonts w:hint="eastAsia"/>
                <w:color w:val="auto"/>
                <w:kern w:val="0"/>
              </w:rPr>
              <w:t>；</w:t>
            </w:r>
            <w:r>
              <w:rPr>
                <w:color w:val="auto"/>
              </w:rPr>
              <w:t>本项目污水处理站设备，各处理单元加盖板进行密闭，采取封闭措施，设置绿化隔离带</w:t>
            </w:r>
            <w:r>
              <w:rPr>
                <w:rFonts w:hint="eastAsia"/>
                <w:color w:val="auto"/>
              </w:rPr>
              <w:t>，</w:t>
            </w:r>
            <w:r>
              <w:rPr>
                <w:color w:val="auto"/>
              </w:rPr>
              <w:t>加强医院通排风，减少污水处理站对周边环境的影响</w:t>
            </w:r>
            <w:r>
              <w:rPr>
                <w:rFonts w:hint="eastAsia"/>
                <w:color w:val="auto"/>
                <w:lang w:eastAsia="zh-CN"/>
              </w:rPr>
              <w:t>。</w:t>
            </w:r>
            <w:r>
              <w:rPr>
                <w:rFonts w:hint="eastAsia"/>
                <w:color w:val="auto"/>
                <w:kern w:val="0"/>
                <w:sz w:val="24"/>
              </w:rPr>
              <w:t>综上所述，在运营单位妥善管理的前提下，对环境影响较小。</w:t>
            </w:r>
          </w:p>
          <w:p w14:paraId="400674B1">
            <w:pPr>
              <w:adjustRightInd w:val="0"/>
              <w:snapToGrid w:val="0"/>
              <w:spacing w:line="360" w:lineRule="auto"/>
              <w:ind w:firstLine="482" w:firstLineChars="200"/>
              <w:jc w:val="left"/>
              <w:rPr>
                <w:b/>
                <w:color w:val="auto"/>
                <w:kern w:val="0"/>
                <w:sz w:val="24"/>
              </w:rPr>
            </w:pPr>
            <w:r>
              <w:rPr>
                <w:rFonts w:hint="eastAsia" w:cs="Times New Roman"/>
                <w:b/>
                <w:color w:val="auto"/>
                <w:kern w:val="0"/>
                <w:sz w:val="24"/>
                <w:lang w:val="en-US" w:eastAsia="zh-CN"/>
              </w:rPr>
              <w:t>5</w:t>
            </w:r>
            <w:r>
              <w:rPr>
                <w:b/>
                <w:color w:val="auto"/>
                <w:kern w:val="0"/>
                <w:sz w:val="24"/>
              </w:rPr>
              <w:t>、废气监测要求</w:t>
            </w:r>
          </w:p>
          <w:p w14:paraId="149AC328">
            <w:pPr>
              <w:pStyle w:val="9"/>
              <w:adjustRightInd w:val="0"/>
              <w:snapToGrid w:val="0"/>
              <w:spacing w:after="0" w:line="360" w:lineRule="auto"/>
              <w:ind w:left="0" w:leftChars="0" w:firstLine="480" w:firstLineChars="200"/>
              <w:jc w:val="left"/>
              <w:rPr>
                <w:color w:val="auto"/>
              </w:rPr>
            </w:pPr>
            <w:r>
              <w:rPr>
                <w:color w:val="auto"/>
                <w:szCs w:val="24"/>
              </w:rPr>
              <w:t>根据《</w:t>
            </w:r>
            <w:r>
              <w:rPr>
                <w:rFonts w:hint="eastAsia"/>
                <w:color w:val="auto"/>
                <w:szCs w:val="24"/>
              </w:rPr>
              <w:t>排污许可证申请与核发技术规范 医疗机构</w:t>
            </w:r>
            <w:r>
              <w:rPr>
                <w:color w:val="auto"/>
                <w:szCs w:val="24"/>
              </w:rPr>
              <w:t>》</w:t>
            </w:r>
            <w:r>
              <w:rPr>
                <w:rFonts w:hint="eastAsia"/>
                <w:color w:val="auto"/>
                <w:szCs w:val="24"/>
              </w:rPr>
              <w:t>（HJ1105-2020）</w:t>
            </w:r>
            <w:r>
              <w:rPr>
                <w:color w:val="auto"/>
                <w:szCs w:val="24"/>
              </w:rPr>
              <w:t>，确定</w:t>
            </w:r>
            <w:r>
              <w:rPr>
                <w:rFonts w:hint="eastAsia"/>
                <w:color w:val="auto"/>
                <w:szCs w:val="24"/>
              </w:rPr>
              <w:t>本</w:t>
            </w:r>
            <w:r>
              <w:rPr>
                <w:color w:val="auto"/>
                <w:szCs w:val="24"/>
              </w:rPr>
              <w:t>项目</w:t>
            </w:r>
            <w:r>
              <w:rPr>
                <w:rFonts w:hint="eastAsia"/>
                <w:color w:val="auto"/>
                <w:szCs w:val="24"/>
              </w:rPr>
              <w:t>废气</w:t>
            </w:r>
            <w:r>
              <w:rPr>
                <w:color w:val="auto"/>
                <w:szCs w:val="24"/>
              </w:rPr>
              <w:t>污染源监测计划</w:t>
            </w:r>
            <w:r>
              <w:rPr>
                <w:rFonts w:hint="eastAsia"/>
                <w:color w:val="auto"/>
                <w:szCs w:val="24"/>
              </w:rPr>
              <w:t>如下：</w:t>
            </w:r>
          </w:p>
          <w:p w14:paraId="5EACCEDE">
            <w:pPr>
              <w:adjustRightInd w:val="0"/>
              <w:snapToGrid w:val="0"/>
              <w:jc w:val="center"/>
              <w:rPr>
                <w:b/>
                <w:color w:val="auto"/>
                <w:szCs w:val="21"/>
              </w:rPr>
            </w:pPr>
            <w:r>
              <w:rPr>
                <w:b/>
                <w:color w:val="auto"/>
                <w:szCs w:val="21"/>
              </w:rPr>
              <w:t>表</w:t>
            </w:r>
            <w:r>
              <w:rPr>
                <w:rFonts w:hint="eastAsia"/>
                <w:b/>
                <w:color w:val="auto"/>
                <w:szCs w:val="21"/>
              </w:rPr>
              <w:t>4-</w:t>
            </w:r>
            <w:r>
              <w:rPr>
                <w:rFonts w:hint="eastAsia"/>
                <w:b/>
                <w:color w:val="auto"/>
                <w:szCs w:val="21"/>
                <w:lang w:val="en-US" w:eastAsia="zh-CN"/>
              </w:rPr>
              <w:t>3</w:t>
            </w:r>
            <w:r>
              <w:rPr>
                <w:rFonts w:hint="eastAsia"/>
                <w:b/>
                <w:color w:val="auto"/>
                <w:szCs w:val="21"/>
              </w:rPr>
              <w:t xml:space="preserve"> </w:t>
            </w:r>
            <w:r>
              <w:rPr>
                <w:b/>
                <w:color w:val="auto"/>
                <w:szCs w:val="21"/>
              </w:rPr>
              <w:t xml:space="preserve"> </w:t>
            </w:r>
            <w:r>
              <w:rPr>
                <w:rFonts w:hint="eastAsia"/>
                <w:b/>
                <w:color w:val="auto"/>
                <w:szCs w:val="21"/>
              </w:rPr>
              <w:t>废气</w:t>
            </w:r>
            <w:r>
              <w:rPr>
                <w:b/>
                <w:color w:val="auto"/>
                <w:szCs w:val="21"/>
              </w:rPr>
              <w:t>监测计划一览表</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1189"/>
              <w:gridCol w:w="1346"/>
              <w:gridCol w:w="1152"/>
              <w:gridCol w:w="3653"/>
            </w:tblGrid>
            <w:tr w14:paraId="5E59B4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5" w:type="pct"/>
                  <w:vAlign w:val="center"/>
                </w:tcPr>
                <w:p w14:paraId="1D5CFA9A">
                  <w:pPr>
                    <w:adjustRightInd w:val="0"/>
                    <w:snapToGrid w:val="0"/>
                    <w:jc w:val="center"/>
                    <w:rPr>
                      <w:rFonts w:cs="宋体"/>
                      <w:b/>
                      <w:color w:val="auto"/>
                      <w:kern w:val="18"/>
                      <w:szCs w:val="21"/>
                    </w:rPr>
                  </w:pPr>
                  <w:r>
                    <w:rPr>
                      <w:rFonts w:hint="eastAsia" w:cs="宋体"/>
                      <w:b/>
                      <w:color w:val="auto"/>
                      <w:kern w:val="18"/>
                      <w:szCs w:val="21"/>
                    </w:rPr>
                    <w:t>排放形式</w:t>
                  </w:r>
                </w:p>
              </w:tc>
              <w:tc>
                <w:tcPr>
                  <w:tcW w:w="702" w:type="pct"/>
                  <w:vAlign w:val="center"/>
                </w:tcPr>
                <w:p w14:paraId="4282B5E5">
                  <w:pPr>
                    <w:adjustRightInd w:val="0"/>
                    <w:snapToGrid w:val="0"/>
                    <w:jc w:val="center"/>
                    <w:rPr>
                      <w:rFonts w:cs="宋体"/>
                      <w:b/>
                      <w:color w:val="auto"/>
                      <w:kern w:val="18"/>
                      <w:szCs w:val="21"/>
                    </w:rPr>
                  </w:pPr>
                  <w:r>
                    <w:rPr>
                      <w:rFonts w:hint="eastAsia" w:cs="宋体"/>
                      <w:b/>
                      <w:color w:val="auto"/>
                      <w:kern w:val="18"/>
                      <w:szCs w:val="21"/>
                    </w:rPr>
                    <w:t>监测点位</w:t>
                  </w:r>
                </w:p>
              </w:tc>
              <w:tc>
                <w:tcPr>
                  <w:tcW w:w="795" w:type="pct"/>
                  <w:vAlign w:val="center"/>
                </w:tcPr>
                <w:p w14:paraId="2E9ACA22">
                  <w:pPr>
                    <w:adjustRightInd w:val="0"/>
                    <w:snapToGrid w:val="0"/>
                    <w:jc w:val="center"/>
                    <w:rPr>
                      <w:rFonts w:cs="宋体"/>
                      <w:b/>
                      <w:color w:val="auto"/>
                      <w:kern w:val="18"/>
                      <w:szCs w:val="21"/>
                    </w:rPr>
                  </w:pPr>
                  <w:r>
                    <w:rPr>
                      <w:rFonts w:hint="eastAsia" w:cs="宋体"/>
                      <w:b/>
                      <w:color w:val="auto"/>
                      <w:kern w:val="18"/>
                      <w:szCs w:val="21"/>
                    </w:rPr>
                    <w:t>监测指标</w:t>
                  </w:r>
                </w:p>
              </w:tc>
              <w:tc>
                <w:tcPr>
                  <w:tcW w:w="680" w:type="pct"/>
                  <w:vAlign w:val="center"/>
                </w:tcPr>
                <w:p w14:paraId="72EABA38">
                  <w:pPr>
                    <w:adjustRightInd w:val="0"/>
                    <w:snapToGrid w:val="0"/>
                    <w:jc w:val="center"/>
                    <w:rPr>
                      <w:rFonts w:cs="宋体"/>
                      <w:b/>
                      <w:color w:val="auto"/>
                      <w:kern w:val="18"/>
                      <w:szCs w:val="21"/>
                    </w:rPr>
                  </w:pPr>
                  <w:r>
                    <w:rPr>
                      <w:rFonts w:hint="eastAsia" w:cs="宋体"/>
                      <w:b/>
                      <w:color w:val="auto"/>
                      <w:kern w:val="18"/>
                      <w:szCs w:val="21"/>
                    </w:rPr>
                    <w:t>监测频次</w:t>
                  </w:r>
                </w:p>
              </w:tc>
              <w:tc>
                <w:tcPr>
                  <w:tcW w:w="2157" w:type="pct"/>
                  <w:vAlign w:val="center"/>
                </w:tcPr>
                <w:p w14:paraId="50A5D497">
                  <w:pPr>
                    <w:adjustRightInd w:val="0"/>
                    <w:snapToGrid w:val="0"/>
                    <w:jc w:val="center"/>
                    <w:rPr>
                      <w:rFonts w:cs="宋体"/>
                      <w:b/>
                      <w:color w:val="auto"/>
                      <w:kern w:val="18"/>
                      <w:szCs w:val="21"/>
                    </w:rPr>
                  </w:pPr>
                  <w:r>
                    <w:rPr>
                      <w:rFonts w:hint="eastAsia" w:cs="宋体"/>
                      <w:b/>
                      <w:color w:val="auto"/>
                      <w:kern w:val="18"/>
                      <w:szCs w:val="21"/>
                    </w:rPr>
                    <w:t>执行标准</w:t>
                  </w:r>
                </w:p>
              </w:tc>
            </w:tr>
            <w:tr w14:paraId="59B790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5" w:type="pct"/>
                  <w:vAlign w:val="center"/>
                </w:tcPr>
                <w:p w14:paraId="583ED1AF">
                  <w:pPr>
                    <w:pStyle w:val="44"/>
                    <w:spacing w:line="240" w:lineRule="auto"/>
                    <w:rPr>
                      <w:rFonts w:cs="宋体"/>
                      <w:color w:val="auto"/>
                      <w:szCs w:val="21"/>
                      <w:lang w:eastAsia="zh-CN"/>
                    </w:rPr>
                  </w:pPr>
                  <w:r>
                    <w:rPr>
                      <w:rFonts w:hint="eastAsia" w:cs="宋体"/>
                      <w:color w:val="auto"/>
                      <w:szCs w:val="21"/>
                      <w:lang w:eastAsia="zh-CN"/>
                    </w:rPr>
                    <w:t>无组织</w:t>
                  </w:r>
                </w:p>
              </w:tc>
              <w:tc>
                <w:tcPr>
                  <w:tcW w:w="702" w:type="pct"/>
                  <w:vAlign w:val="center"/>
                </w:tcPr>
                <w:p w14:paraId="7059DD09">
                  <w:pPr>
                    <w:adjustRightInd w:val="0"/>
                    <w:snapToGrid w:val="0"/>
                    <w:jc w:val="center"/>
                    <w:rPr>
                      <w:rFonts w:cs="宋体"/>
                      <w:color w:val="auto"/>
                      <w:kern w:val="18"/>
                      <w:szCs w:val="21"/>
                    </w:rPr>
                  </w:pPr>
                  <w:r>
                    <w:rPr>
                      <w:rFonts w:hint="eastAsia" w:cs="宋体"/>
                      <w:color w:val="auto"/>
                      <w:kern w:val="18"/>
                      <w:szCs w:val="21"/>
                    </w:rPr>
                    <w:t>污水处理站周界</w:t>
                  </w:r>
                </w:p>
              </w:tc>
              <w:tc>
                <w:tcPr>
                  <w:tcW w:w="795" w:type="pct"/>
                  <w:vAlign w:val="center"/>
                </w:tcPr>
                <w:p w14:paraId="4327C6C1">
                  <w:pPr>
                    <w:adjustRightInd w:val="0"/>
                    <w:snapToGrid w:val="0"/>
                    <w:rPr>
                      <w:rFonts w:cs="宋体"/>
                      <w:color w:val="auto"/>
                      <w:kern w:val="18"/>
                      <w:szCs w:val="21"/>
                    </w:rPr>
                  </w:pPr>
                  <w:r>
                    <w:rPr>
                      <w:rFonts w:hint="eastAsia" w:cs="宋体"/>
                      <w:color w:val="auto"/>
                      <w:kern w:val="18"/>
                      <w:szCs w:val="21"/>
                    </w:rPr>
                    <w:t>氨、硫化氢、臭气浓度、氯气、甲烷</w:t>
                  </w:r>
                </w:p>
              </w:tc>
              <w:tc>
                <w:tcPr>
                  <w:tcW w:w="680" w:type="pct"/>
                  <w:vAlign w:val="center"/>
                </w:tcPr>
                <w:p w14:paraId="721B898D">
                  <w:pPr>
                    <w:adjustRightInd w:val="0"/>
                    <w:snapToGrid w:val="0"/>
                    <w:jc w:val="center"/>
                    <w:rPr>
                      <w:rFonts w:cs="宋体"/>
                      <w:color w:val="auto"/>
                      <w:kern w:val="18"/>
                      <w:szCs w:val="21"/>
                    </w:rPr>
                  </w:pPr>
                  <w:r>
                    <w:rPr>
                      <w:rFonts w:hint="eastAsia" w:cs="宋体"/>
                      <w:color w:val="auto"/>
                      <w:kern w:val="18"/>
                      <w:szCs w:val="21"/>
                    </w:rPr>
                    <w:t>1次/季度</w:t>
                  </w:r>
                </w:p>
              </w:tc>
              <w:tc>
                <w:tcPr>
                  <w:tcW w:w="2157" w:type="pct"/>
                  <w:vAlign w:val="center"/>
                </w:tcPr>
                <w:p w14:paraId="0B3BFEB3">
                  <w:pPr>
                    <w:adjustRightInd w:val="0"/>
                    <w:snapToGrid w:val="0"/>
                    <w:jc w:val="center"/>
                    <w:rPr>
                      <w:rFonts w:cs="宋体"/>
                      <w:color w:val="auto"/>
                      <w:szCs w:val="21"/>
                    </w:rPr>
                  </w:pPr>
                  <w:r>
                    <w:rPr>
                      <w:rFonts w:hint="eastAsia" w:cs="宋体"/>
                      <w:color w:val="auto"/>
                      <w:szCs w:val="21"/>
                    </w:rPr>
                    <w:t>《医疗机构水污染物排放标准》（GB18466-2005）中表3“污水处理站周边大气污染物最高允许浓度”标准</w:t>
                  </w:r>
                </w:p>
              </w:tc>
            </w:tr>
          </w:tbl>
          <w:p w14:paraId="61DCE64E">
            <w:pPr>
              <w:snapToGrid w:val="0"/>
              <w:spacing w:line="360" w:lineRule="auto"/>
              <w:ind w:firstLine="380" w:firstLineChars="200"/>
              <w:rPr>
                <w:bCs/>
                <w:color w:val="auto"/>
                <w:spacing w:val="-10"/>
                <w:szCs w:val="21"/>
              </w:rPr>
            </w:pPr>
          </w:p>
          <w:p w14:paraId="1F0E9183">
            <w:pPr>
              <w:snapToGrid w:val="0"/>
              <w:spacing w:line="360" w:lineRule="auto"/>
              <w:ind w:firstLine="380" w:firstLineChars="200"/>
              <w:rPr>
                <w:bCs/>
                <w:color w:val="auto"/>
                <w:spacing w:val="-10"/>
                <w:szCs w:val="21"/>
              </w:rPr>
            </w:pPr>
          </w:p>
          <w:p w14:paraId="76675C39">
            <w:pPr>
              <w:pStyle w:val="2"/>
              <w:rPr>
                <w:bCs/>
                <w:color w:val="auto"/>
                <w:spacing w:val="-10"/>
                <w:szCs w:val="21"/>
              </w:rPr>
            </w:pPr>
          </w:p>
          <w:p w14:paraId="77511A37">
            <w:pPr>
              <w:pStyle w:val="3"/>
              <w:rPr>
                <w:bCs/>
                <w:color w:val="auto"/>
                <w:spacing w:val="-10"/>
                <w:szCs w:val="21"/>
              </w:rPr>
            </w:pPr>
          </w:p>
          <w:p w14:paraId="7E974EB5">
            <w:pPr>
              <w:pStyle w:val="3"/>
              <w:rPr>
                <w:bCs/>
                <w:color w:val="auto"/>
                <w:spacing w:val="-10"/>
                <w:szCs w:val="21"/>
              </w:rPr>
            </w:pPr>
          </w:p>
          <w:p w14:paraId="2616F1A9">
            <w:pPr>
              <w:pStyle w:val="3"/>
              <w:rPr>
                <w:bCs/>
                <w:color w:val="auto"/>
                <w:spacing w:val="-10"/>
                <w:szCs w:val="21"/>
              </w:rPr>
            </w:pPr>
          </w:p>
          <w:p w14:paraId="59EEC094">
            <w:pPr>
              <w:pStyle w:val="3"/>
              <w:rPr>
                <w:bCs/>
                <w:color w:val="auto"/>
                <w:spacing w:val="-10"/>
                <w:szCs w:val="21"/>
              </w:rPr>
            </w:pPr>
          </w:p>
          <w:p w14:paraId="5152D023">
            <w:pPr>
              <w:pStyle w:val="3"/>
              <w:rPr>
                <w:bCs/>
                <w:color w:val="auto"/>
                <w:spacing w:val="-10"/>
                <w:szCs w:val="21"/>
              </w:rPr>
            </w:pPr>
          </w:p>
          <w:p w14:paraId="106C6110">
            <w:pPr>
              <w:snapToGrid w:val="0"/>
              <w:spacing w:line="360" w:lineRule="auto"/>
              <w:ind w:firstLine="380" w:firstLineChars="200"/>
              <w:rPr>
                <w:bCs/>
                <w:color w:val="auto"/>
                <w:spacing w:val="-10"/>
                <w:szCs w:val="21"/>
              </w:rPr>
            </w:pPr>
          </w:p>
          <w:p w14:paraId="0B5E8E3A">
            <w:pPr>
              <w:snapToGrid w:val="0"/>
              <w:spacing w:line="360" w:lineRule="auto"/>
              <w:rPr>
                <w:bCs/>
                <w:color w:val="auto"/>
                <w:spacing w:val="-10"/>
                <w:szCs w:val="21"/>
              </w:rPr>
            </w:pPr>
          </w:p>
          <w:p w14:paraId="0D2001FD">
            <w:pPr>
              <w:pStyle w:val="2"/>
              <w:rPr>
                <w:color w:val="auto"/>
              </w:rPr>
            </w:pPr>
          </w:p>
        </w:tc>
      </w:tr>
      <w:bookmarkEnd w:id="23"/>
    </w:tbl>
    <w:p w14:paraId="2B4DF30A">
      <w:pPr>
        <w:pStyle w:val="40"/>
        <w:ind w:left="105" w:right="105"/>
        <w:rPr>
          <w:rFonts w:hint="eastAsia" w:ascii="Times New Roman"/>
          <w:color w:val="auto"/>
        </w:rPr>
        <w:sectPr>
          <w:pgSz w:w="11906" w:h="16838"/>
          <w:pgMar w:top="1701" w:right="1531" w:bottom="1701" w:left="1531" w:header="851" w:footer="851" w:gutter="0"/>
          <w:cols w:space="720" w:num="1"/>
          <w:docGrid w:linePitch="312" w:charSpace="0"/>
        </w:sectPr>
      </w:pPr>
    </w:p>
    <w:tbl>
      <w:tblPr>
        <w:tblStyle w:val="17"/>
        <w:tblW w:w="140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3284"/>
      </w:tblGrid>
      <w:tr w14:paraId="0E1A22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34" w:hRule="atLeast"/>
          <w:jc w:val="center"/>
        </w:trPr>
        <w:tc>
          <w:tcPr>
            <w:tcW w:w="746" w:type="dxa"/>
            <w:tcMar>
              <w:left w:w="28" w:type="dxa"/>
              <w:right w:w="28" w:type="dxa"/>
            </w:tcMar>
            <w:vAlign w:val="center"/>
          </w:tcPr>
          <w:p w14:paraId="0FDFA885">
            <w:pPr>
              <w:adjustRightInd w:val="0"/>
              <w:snapToGrid w:val="0"/>
              <w:jc w:val="center"/>
              <w:rPr>
                <w:bCs/>
                <w:color w:val="auto"/>
                <w:szCs w:val="21"/>
              </w:rPr>
            </w:pPr>
            <w:bookmarkStart w:id="24" w:name="_Hlk141861198"/>
            <w:r>
              <w:rPr>
                <w:bCs/>
                <w:color w:val="auto"/>
                <w:szCs w:val="21"/>
              </w:rPr>
              <w:t>运营</w:t>
            </w:r>
          </w:p>
          <w:p w14:paraId="6552B4A1">
            <w:pPr>
              <w:adjustRightInd w:val="0"/>
              <w:snapToGrid w:val="0"/>
              <w:jc w:val="center"/>
              <w:rPr>
                <w:bCs/>
                <w:color w:val="auto"/>
                <w:szCs w:val="21"/>
              </w:rPr>
            </w:pPr>
            <w:r>
              <w:rPr>
                <w:bCs/>
                <w:color w:val="auto"/>
                <w:szCs w:val="21"/>
              </w:rPr>
              <w:t>期环</w:t>
            </w:r>
          </w:p>
          <w:p w14:paraId="2B30B945">
            <w:pPr>
              <w:adjustRightInd w:val="0"/>
              <w:snapToGrid w:val="0"/>
              <w:jc w:val="center"/>
              <w:rPr>
                <w:bCs/>
                <w:color w:val="auto"/>
                <w:szCs w:val="21"/>
              </w:rPr>
            </w:pPr>
            <w:r>
              <w:rPr>
                <w:bCs/>
                <w:color w:val="auto"/>
                <w:szCs w:val="21"/>
              </w:rPr>
              <w:t>境影</w:t>
            </w:r>
          </w:p>
          <w:p w14:paraId="26C6C433">
            <w:pPr>
              <w:adjustRightInd w:val="0"/>
              <w:snapToGrid w:val="0"/>
              <w:jc w:val="center"/>
              <w:rPr>
                <w:bCs/>
                <w:color w:val="auto"/>
                <w:szCs w:val="21"/>
              </w:rPr>
            </w:pPr>
            <w:r>
              <w:rPr>
                <w:bCs/>
                <w:color w:val="auto"/>
                <w:szCs w:val="21"/>
              </w:rPr>
              <w:t>响和</w:t>
            </w:r>
          </w:p>
          <w:p w14:paraId="2912B575">
            <w:pPr>
              <w:adjustRightInd w:val="0"/>
              <w:snapToGrid w:val="0"/>
              <w:jc w:val="center"/>
              <w:rPr>
                <w:bCs/>
                <w:color w:val="auto"/>
                <w:szCs w:val="21"/>
              </w:rPr>
            </w:pPr>
            <w:r>
              <w:rPr>
                <w:bCs/>
                <w:color w:val="auto"/>
                <w:szCs w:val="21"/>
              </w:rPr>
              <w:t>保护</w:t>
            </w:r>
          </w:p>
          <w:p w14:paraId="7FD04EDD">
            <w:pPr>
              <w:adjustRightInd w:val="0"/>
              <w:snapToGrid w:val="0"/>
              <w:jc w:val="center"/>
              <w:rPr>
                <w:bCs/>
                <w:color w:val="auto"/>
                <w:szCs w:val="21"/>
              </w:rPr>
            </w:pPr>
            <w:r>
              <w:rPr>
                <w:bCs/>
                <w:color w:val="auto"/>
                <w:szCs w:val="21"/>
              </w:rPr>
              <w:t>措施</w:t>
            </w:r>
          </w:p>
        </w:tc>
        <w:tc>
          <w:tcPr>
            <w:tcW w:w="13284" w:type="dxa"/>
          </w:tcPr>
          <w:p w14:paraId="543944DD">
            <w:pPr>
              <w:adjustRightInd w:val="0"/>
              <w:snapToGrid w:val="0"/>
              <w:spacing w:line="360" w:lineRule="auto"/>
              <w:ind w:firstLine="482" w:firstLineChars="200"/>
              <w:jc w:val="left"/>
              <w:rPr>
                <w:b/>
                <w:bCs/>
                <w:color w:val="auto"/>
                <w:sz w:val="24"/>
              </w:rPr>
            </w:pPr>
            <w:r>
              <w:rPr>
                <w:rFonts w:hint="eastAsia"/>
                <w:b/>
                <w:bCs/>
                <w:color w:val="auto"/>
                <w:sz w:val="24"/>
              </w:rPr>
              <w:t>二</w:t>
            </w:r>
            <w:r>
              <w:rPr>
                <w:b/>
                <w:bCs/>
                <w:color w:val="auto"/>
                <w:sz w:val="24"/>
              </w:rPr>
              <w:t>、废</w:t>
            </w:r>
            <w:r>
              <w:rPr>
                <w:rFonts w:hint="eastAsia"/>
                <w:b/>
                <w:bCs/>
                <w:color w:val="auto"/>
                <w:sz w:val="24"/>
              </w:rPr>
              <w:t>水</w:t>
            </w:r>
          </w:p>
          <w:p w14:paraId="1B938708">
            <w:pPr>
              <w:adjustRightInd w:val="0"/>
              <w:snapToGrid w:val="0"/>
              <w:spacing w:line="360" w:lineRule="auto"/>
              <w:ind w:firstLine="482" w:firstLineChars="200"/>
              <w:jc w:val="left"/>
              <w:rPr>
                <w:b/>
                <w:color w:val="auto"/>
                <w:sz w:val="24"/>
              </w:rPr>
            </w:pPr>
            <w:r>
              <w:rPr>
                <w:b/>
                <w:color w:val="auto"/>
                <w:sz w:val="24"/>
              </w:rPr>
              <w:t>1、废</w:t>
            </w:r>
            <w:r>
              <w:rPr>
                <w:rFonts w:hint="eastAsia"/>
                <w:b/>
                <w:color w:val="auto"/>
                <w:sz w:val="24"/>
              </w:rPr>
              <w:t>水</w:t>
            </w:r>
            <w:r>
              <w:rPr>
                <w:b/>
                <w:color w:val="auto"/>
                <w:sz w:val="24"/>
              </w:rPr>
              <w:t>污染源情况</w:t>
            </w:r>
          </w:p>
          <w:p w14:paraId="1E23DBB7">
            <w:pPr>
              <w:adjustRightInd w:val="0"/>
              <w:snapToGrid w:val="0"/>
              <w:jc w:val="center"/>
              <w:rPr>
                <w:b/>
                <w:color w:val="auto"/>
                <w:szCs w:val="21"/>
              </w:rPr>
            </w:pPr>
            <w:r>
              <w:rPr>
                <w:b/>
                <w:color w:val="auto"/>
                <w:szCs w:val="21"/>
              </w:rPr>
              <w:t>表</w:t>
            </w:r>
            <w:r>
              <w:rPr>
                <w:rFonts w:hint="eastAsia"/>
                <w:b/>
                <w:color w:val="auto"/>
                <w:szCs w:val="21"/>
              </w:rPr>
              <w:t>4-</w:t>
            </w:r>
            <w:r>
              <w:rPr>
                <w:rFonts w:hint="eastAsia"/>
                <w:b/>
                <w:color w:val="auto"/>
                <w:szCs w:val="21"/>
                <w:lang w:val="en-US" w:eastAsia="zh-CN"/>
              </w:rPr>
              <w:t>4</w:t>
            </w:r>
            <w:r>
              <w:rPr>
                <w:rFonts w:hint="eastAsia"/>
                <w:b/>
                <w:color w:val="auto"/>
                <w:szCs w:val="21"/>
              </w:rPr>
              <w:t xml:space="preserve">  </w:t>
            </w:r>
            <w:r>
              <w:rPr>
                <w:b/>
                <w:color w:val="auto"/>
                <w:szCs w:val="21"/>
              </w:rPr>
              <w:t>废</w:t>
            </w:r>
            <w:r>
              <w:rPr>
                <w:rFonts w:hint="eastAsia"/>
                <w:b/>
                <w:color w:val="auto"/>
                <w:szCs w:val="21"/>
              </w:rPr>
              <w:t>水</w:t>
            </w:r>
            <w:r>
              <w:rPr>
                <w:b/>
                <w:color w:val="auto"/>
                <w:szCs w:val="21"/>
              </w:rPr>
              <w:t>污染源产生、正常排放汇总表</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6"/>
              <w:gridCol w:w="569"/>
              <w:gridCol w:w="976"/>
              <w:gridCol w:w="1247"/>
              <w:gridCol w:w="627"/>
              <w:gridCol w:w="631"/>
              <w:gridCol w:w="735"/>
              <w:gridCol w:w="455"/>
              <w:gridCol w:w="509"/>
              <w:gridCol w:w="737"/>
              <w:gridCol w:w="842"/>
              <w:gridCol w:w="483"/>
              <w:gridCol w:w="612"/>
              <w:gridCol w:w="831"/>
              <w:gridCol w:w="600"/>
              <w:gridCol w:w="623"/>
              <w:gridCol w:w="924"/>
              <w:gridCol w:w="836"/>
            </w:tblGrid>
            <w:tr w14:paraId="50D079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16" w:type="pct"/>
                  <w:vMerge w:val="restart"/>
                  <w:vAlign w:val="center"/>
                </w:tcPr>
                <w:p w14:paraId="317ABB2E">
                  <w:pPr>
                    <w:adjustRightInd w:val="0"/>
                    <w:snapToGrid w:val="0"/>
                    <w:jc w:val="center"/>
                    <w:rPr>
                      <w:b/>
                      <w:bCs/>
                      <w:color w:val="auto"/>
                      <w:sz w:val="18"/>
                      <w:szCs w:val="18"/>
                    </w:rPr>
                  </w:pPr>
                </w:p>
                <w:p w14:paraId="4E0A051F">
                  <w:pPr>
                    <w:adjustRightInd w:val="0"/>
                    <w:snapToGrid w:val="0"/>
                    <w:jc w:val="center"/>
                    <w:rPr>
                      <w:b/>
                      <w:bCs/>
                      <w:color w:val="auto"/>
                      <w:sz w:val="18"/>
                      <w:szCs w:val="18"/>
                    </w:rPr>
                  </w:pPr>
                  <w:r>
                    <w:rPr>
                      <w:b/>
                      <w:bCs/>
                      <w:color w:val="auto"/>
                      <w:sz w:val="18"/>
                      <w:szCs w:val="18"/>
                    </w:rPr>
                    <w:t>污染物</w:t>
                  </w:r>
                </w:p>
                <w:p w14:paraId="6C0E4B02">
                  <w:pPr>
                    <w:adjustRightInd w:val="0"/>
                    <w:snapToGrid w:val="0"/>
                    <w:jc w:val="center"/>
                    <w:rPr>
                      <w:b/>
                      <w:bCs/>
                      <w:color w:val="auto"/>
                      <w:sz w:val="18"/>
                      <w:szCs w:val="18"/>
                    </w:rPr>
                  </w:pPr>
                  <w:r>
                    <w:rPr>
                      <w:b/>
                      <w:bCs/>
                      <w:color w:val="auto"/>
                      <w:sz w:val="18"/>
                      <w:szCs w:val="18"/>
                    </w:rPr>
                    <w:t>种类</w:t>
                  </w:r>
                </w:p>
              </w:tc>
              <w:tc>
                <w:tcPr>
                  <w:tcW w:w="1068" w:type="pct"/>
                  <w:gridSpan w:val="3"/>
                  <w:vAlign w:val="center"/>
                </w:tcPr>
                <w:p w14:paraId="421DCAEA">
                  <w:pPr>
                    <w:adjustRightInd w:val="0"/>
                    <w:snapToGrid w:val="0"/>
                    <w:jc w:val="center"/>
                    <w:rPr>
                      <w:b/>
                      <w:bCs/>
                      <w:color w:val="auto"/>
                      <w:sz w:val="18"/>
                      <w:szCs w:val="18"/>
                    </w:rPr>
                  </w:pPr>
                  <w:r>
                    <w:rPr>
                      <w:b/>
                      <w:bCs/>
                      <w:color w:val="auto"/>
                      <w:sz w:val="18"/>
                      <w:szCs w:val="18"/>
                    </w:rPr>
                    <w:t>污染物产生量和浓度</w:t>
                  </w:r>
                </w:p>
              </w:tc>
              <w:tc>
                <w:tcPr>
                  <w:tcW w:w="936" w:type="pct"/>
                  <w:gridSpan w:val="4"/>
                  <w:vAlign w:val="center"/>
                </w:tcPr>
                <w:p w14:paraId="16C2DE48">
                  <w:pPr>
                    <w:adjustRightInd w:val="0"/>
                    <w:snapToGrid w:val="0"/>
                    <w:jc w:val="center"/>
                    <w:rPr>
                      <w:b/>
                      <w:bCs/>
                      <w:color w:val="auto"/>
                      <w:sz w:val="18"/>
                      <w:szCs w:val="18"/>
                    </w:rPr>
                  </w:pPr>
                  <w:r>
                    <w:rPr>
                      <w:b/>
                      <w:bCs/>
                      <w:color w:val="auto"/>
                      <w:sz w:val="18"/>
                      <w:szCs w:val="18"/>
                    </w:rPr>
                    <w:t>污染治理设施</w:t>
                  </w:r>
                </w:p>
              </w:tc>
              <w:tc>
                <w:tcPr>
                  <w:tcW w:w="799" w:type="pct"/>
                  <w:gridSpan w:val="3"/>
                  <w:vAlign w:val="center"/>
                </w:tcPr>
                <w:p w14:paraId="57B74AB5">
                  <w:pPr>
                    <w:adjustRightInd w:val="0"/>
                    <w:snapToGrid w:val="0"/>
                    <w:jc w:val="center"/>
                    <w:rPr>
                      <w:b/>
                      <w:bCs/>
                      <w:color w:val="auto"/>
                      <w:sz w:val="18"/>
                      <w:szCs w:val="18"/>
                    </w:rPr>
                  </w:pPr>
                  <w:r>
                    <w:rPr>
                      <w:b/>
                      <w:bCs/>
                      <w:color w:val="auto"/>
                      <w:sz w:val="18"/>
                      <w:szCs w:val="18"/>
                    </w:rPr>
                    <w:t>污染物排放量和浓度</w:t>
                  </w:r>
                </w:p>
              </w:tc>
              <w:tc>
                <w:tcPr>
                  <w:tcW w:w="1558" w:type="pct"/>
                  <w:gridSpan w:val="6"/>
                  <w:vAlign w:val="center"/>
                </w:tcPr>
                <w:p w14:paraId="7603FC7D">
                  <w:pPr>
                    <w:adjustRightInd w:val="0"/>
                    <w:snapToGrid w:val="0"/>
                    <w:jc w:val="center"/>
                    <w:rPr>
                      <w:b/>
                      <w:bCs/>
                      <w:color w:val="auto"/>
                      <w:sz w:val="18"/>
                      <w:szCs w:val="18"/>
                    </w:rPr>
                  </w:pPr>
                  <w:r>
                    <w:rPr>
                      <w:b/>
                      <w:bCs/>
                      <w:color w:val="auto"/>
                      <w:sz w:val="18"/>
                      <w:szCs w:val="18"/>
                    </w:rPr>
                    <w:t>排放口基本情况</w:t>
                  </w:r>
                </w:p>
              </w:tc>
              <w:tc>
                <w:tcPr>
                  <w:tcW w:w="319" w:type="pct"/>
                  <w:vAlign w:val="center"/>
                </w:tcPr>
                <w:p w14:paraId="2CCFC926">
                  <w:pPr>
                    <w:adjustRightInd w:val="0"/>
                    <w:snapToGrid w:val="0"/>
                    <w:jc w:val="center"/>
                    <w:rPr>
                      <w:b/>
                      <w:bCs/>
                      <w:color w:val="auto"/>
                      <w:sz w:val="18"/>
                      <w:szCs w:val="18"/>
                    </w:rPr>
                  </w:pPr>
                  <w:r>
                    <w:rPr>
                      <w:b/>
                      <w:bCs/>
                      <w:color w:val="auto"/>
                      <w:sz w:val="18"/>
                      <w:szCs w:val="18"/>
                    </w:rPr>
                    <w:t>排放标准</w:t>
                  </w:r>
                </w:p>
              </w:tc>
            </w:tr>
            <w:tr w14:paraId="13D1E0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316" w:type="pct"/>
                  <w:vMerge w:val="continue"/>
                  <w:vAlign w:val="center"/>
                </w:tcPr>
                <w:p w14:paraId="4F8B31FA">
                  <w:pPr>
                    <w:adjustRightInd w:val="0"/>
                    <w:snapToGrid w:val="0"/>
                    <w:jc w:val="center"/>
                    <w:rPr>
                      <w:b/>
                      <w:bCs/>
                      <w:color w:val="auto"/>
                      <w:sz w:val="18"/>
                      <w:szCs w:val="18"/>
                    </w:rPr>
                  </w:pPr>
                </w:p>
              </w:tc>
              <w:tc>
                <w:tcPr>
                  <w:tcW w:w="217" w:type="pct"/>
                  <w:vAlign w:val="center"/>
                </w:tcPr>
                <w:p w14:paraId="7020794F">
                  <w:pPr>
                    <w:adjustRightInd w:val="0"/>
                    <w:snapToGrid w:val="0"/>
                    <w:jc w:val="center"/>
                    <w:rPr>
                      <w:b/>
                      <w:bCs/>
                      <w:color w:val="auto"/>
                      <w:sz w:val="18"/>
                      <w:szCs w:val="18"/>
                    </w:rPr>
                  </w:pPr>
                  <w:r>
                    <w:rPr>
                      <w:b/>
                      <w:bCs/>
                      <w:color w:val="auto"/>
                      <w:sz w:val="18"/>
                      <w:szCs w:val="18"/>
                    </w:rPr>
                    <w:t>废水量</w:t>
                  </w:r>
                </w:p>
              </w:tc>
              <w:tc>
                <w:tcPr>
                  <w:tcW w:w="373" w:type="pct"/>
                  <w:vAlign w:val="center"/>
                </w:tcPr>
                <w:p w14:paraId="25EF362E">
                  <w:pPr>
                    <w:adjustRightInd w:val="0"/>
                    <w:snapToGrid w:val="0"/>
                    <w:jc w:val="center"/>
                    <w:rPr>
                      <w:b/>
                      <w:bCs/>
                      <w:color w:val="auto"/>
                      <w:sz w:val="18"/>
                      <w:szCs w:val="18"/>
                    </w:rPr>
                  </w:pPr>
                  <w:r>
                    <w:rPr>
                      <w:b/>
                      <w:bCs/>
                      <w:color w:val="auto"/>
                      <w:sz w:val="18"/>
                      <w:szCs w:val="18"/>
                    </w:rPr>
                    <w:t>产生浓度</w:t>
                  </w:r>
                </w:p>
              </w:tc>
              <w:tc>
                <w:tcPr>
                  <w:tcW w:w="477" w:type="pct"/>
                  <w:vAlign w:val="center"/>
                </w:tcPr>
                <w:p w14:paraId="4E238F32">
                  <w:pPr>
                    <w:adjustRightInd w:val="0"/>
                    <w:snapToGrid w:val="0"/>
                    <w:jc w:val="center"/>
                    <w:rPr>
                      <w:b/>
                      <w:bCs/>
                      <w:color w:val="auto"/>
                      <w:sz w:val="18"/>
                      <w:szCs w:val="18"/>
                    </w:rPr>
                  </w:pPr>
                  <w:r>
                    <w:rPr>
                      <w:b/>
                      <w:bCs/>
                      <w:color w:val="auto"/>
                      <w:sz w:val="18"/>
                      <w:szCs w:val="18"/>
                    </w:rPr>
                    <w:t>产生量</w:t>
                  </w:r>
                </w:p>
              </w:tc>
              <w:tc>
                <w:tcPr>
                  <w:tcW w:w="239" w:type="pct"/>
                  <w:vAlign w:val="center"/>
                </w:tcPr>
                <w:p w14:paraId="2A5BE4CF">
                  <w:pPr>
                    <w:adjustRightInd w:val="0"/>
                    <w:snapToGrid w:val="0"/>
                    <w:jc w:val="center"/>
                    <w:rPr>
                      <w:b/>
                      <w:bCs/>
                      <w:color w:val="auto"/>
                      <w:sz w:val="18"/>
                      <w:szCs w:val="18"/>
                    </w:rPr>
                  </w:pPr>
                  <w:r>
                    <w:rPr>
                      <w:b/>
                      <w:bCs/>
                      <w:color w:val="auto"/>
                      <w:sz w:val="18"/>
                      <w:szCs w:val="18"/>
                    </w:rPr>
                    <w:t>处理能力</w:t>
                  </w:r>
                </w:p>
              </w:tc>
              <w:tc>
                <w:tcPr>
                  <w:tcW w:w="241" w:type="pct"/>
                  <w:vMerge w:val="restart"/>
                  <w:vAlign w:val="center"/>
                </w:tcPr>
                <w:p w14:paraId="3DC8704F">
                  <w:pPr>
                    <w:adjustRightInd w:val="0"/>
                    <w:snapToGrid w:val="0"/>
                    <w:jc w:val="center"/>
                    <w:rPr>
                      <w:b/>
                      <w:bCs/>
                      <w:color w:val="auto"/>
                      <w:sz w:val="18"/>
                      <w:szCs w:val="18"/>
                    </w:rPr>
                  </w:pPr>
                  <w:r>
                    <w:rPr>
                      <w:b/>
                      <w:bCs/>
                      <w:color w:val="auto"/>
                      <w:sz w:val="18"/>
                      <w:szCs w:val="18"/>
                    </w:rPr>
                    <w:t>主要治理工艺</w:t>
                  </w:r>
                </w:p>
              </w:tc>
              <w:tc>
                <w:tcPr>
                  <w:tcW w:w="281" w:type="pct"/>
                  <w:vAlign w:val="center"/>
                </w:tcPr>
                <w:p w14:paraId="0210E61B">
                  <w:pPr>
                    <w:adjustRightInd w:val="0"/>
                    <w:snapToGrid w:val="0"/>
                    <w:jc w:val="center"/>
                    <w:rPr>
                      <w:b/>
                      <w:bCs/>
                      <w:color w:val="auto"/>
                      <w:sz w:val="18"/>
                      <w:szCs w:val="18"/>
                    </w:rPr>
                  </w:pPr>
                  <w:r>
                    <w:rPr>
                      <w:b/>
                      <w:bCs/>
                      <w:color w:val="auto"/>
                      <w:sz w:val="18"/>
                      <w:szCs w:val="18"/>
                    </w:rPr>
                    <w:t>去除效率</w:t>
                  </w:r>
                </w:p>
              </w:tc>
              <w:tc>
                <w:tcPr>
                  <w:tcW w:w="174" w:type="pct"/>
                  <w:vMerge w:val="restart"/>
                  <w:vAlign w:val="center"/>
                </w:tcPr>
                <w:p w14:paraId="1F46CB4B">
                  <w:pPr>
                    <w:adjustRightInd w:val="0"/>
                    <w:snapToGrid w:val="0"/>
                    <w:jc w:val="center"/>
                    <w:rPr>
                      <w:b/>
                      <w:bCs/>
                      <w:color w:val="auto"/>
                      <w:sz w:val="18"/>
                      <w:szCs w:val="18"/>
                    </w:rPr>
                  </w:pPr>
                  <w:r>
                    <w:rPr>
                      <w:b/>
                      <w:bCs/>
                      <w:color w:val="auto"/>
                      <w:sz w:val="18"/>
                      <w:szCs w:val="18"/>
                    </w:rPr>
                    <w:t>是否可行技术</w:t>
                  </w:r>
                </w:p>
              </w:tc>
              <w:tc>
                <w:tcPr>
                  <w:tcW w:w="194" w:type="pct"/>
                  <w:vAlign w:val="center"/>
                </w:tcPr>
                <w:p w14:paraId="47F34271">
                  <w:pPr>
                    <w:adjustRightInd w:val="0"/>
                    <w:snapToGrid w:val="0"/>
                    <w:jc w:val="center"/>
                    <w:rPr>
                      <w:b/>
                      <w:bCs/>
                      <w:color w:val="auto"/>
                      <w:sz w:val="18"/>
                      <w:szCs w:val="18"/>
                    </w:rPr>
                  </w:pPr>
                  <w:r>
                    <w:rPr>
                      <w:b/>
                      <w:bCs/>
                      <w:color w:val="auto"/>
                      <w:sz w:val="18"/>
                      <w:szCs w:val="18"/>
                    </w:rPr>
                    <w:t>废水量</w:t>
                  </w:r>
                </w:p>
              </w:tc>
              <w:tc>
                <w:tcPr>
                  <w:tcW w:w="282" w:type="pct"/>
                  <w:vAlign w:val="center"/>
                </w:tcPr>
                <w:p w14:paraId="72A03BC6">
                  <w:pPr>
                    <w:adjustRightInd w:val="0"/>
                    <w:snapToGrid w:val="0"/>
                    <w:jc w:val="center"/>
                    <w:rPr>
                      <w:b/>
                      <w:bCs/>
                      <w:color w:val="auto"/>
                      <w:sz w:val="18"/>
                      <w:szCs w:val="18"/>
                    </w:rPr>
                  </w:pPr>
                  <w:r>
                    <w:rPr>
                      <w:b/>
                      <w:bCs/>
                      <w:color w:val="auto"/>
                      <w:sz w:val="18"/>
                      <w:szCs w:val="18"/>
                    </w:rPr>
                    <w:t>排放浓度</w:t>
                  </w:r>
                </w:p>
              </w:tc>
              <w:tc>
                <w:tcPr>
                  <w:tcW w:w="322" w:type="pct"/>
                  <w:vAlign w:val="center"/>
                </w:tcPr>
                <w:p w14:paraId="1BEC4B19">
                  <w:pPr>
                    <w:adjustRightInd w:val="0"/>
                    <w:snapToGrid w:val="0"/>
                    <w:jc w:val="center"/>
                    <w:rPr>
                      <w:b/>
                      <w:bCs/>
                      <w:color w:val="auto"/>
                      <w:sz w:val="18"/>
                      <w:szCs w:val="18"/>
                    </w:rPr>
                  </w:pPr>
                  <w:r>
                    <w:rPr>
                      <w:b/>
                      <w:bCs/>
                      <w:color w:val="auto"/>
                      <w:sz w:val="18"/>
                      <w:szCs w:val="18"/>
                    </w:rPr>
                    <w:t>排放量</w:t>
                  </w:r>
                </w:p>
              </w:tc>
              <w:tc>
                <w:tcPr>
                  <w:tcW w:w="184" w:type="pct"/>
                  <w:vAlign w:val="center"/>
                </w:tcPr>
                <w:p w14:paraId="01B12CCF">
                  <w:pPr>
                    <w:adjustRightInd w:val="0"/>
                    <w:snapToGrid w:val="0"/>
                    <w:jc w:val="center"/>
                    <w:rPr>
                      <w:b/>
                      <w:bCs/>
                      <w:color w:val="auto"/>
                      <w:spacing w:val="-10"/>
                      <w:sz w:val="18"/>
                      <w:szCs w:val="18"/>
                    </w:rPr>
                  </w:pPr>
                  <w:r>
                    <w:rPr>
                      <w:b/>
                      <w:bCs/>
                      <w:color w:val="auto"/>
                      <w:spacing w:val="-10"/>
                      <w:sz w:val="18"/>
                      <w:szCs w:val="18"/>
                    </w:rPr>
                    <w:t>排放</w:t>
                  </w:r>
                </w:p>
                <w:p w14:paraId="4B749966">
                  <w:pPr>
                    <w:adjustRightInd w:val="0"/>
                    <w:snapToGrid w:val="0"/>
                    <w:jc w:val="center"/>
                    <w:rPr>
                      <w:b/>
                      <w:bCs/>
                      <w:color w:val="auto"/>
                      <w:spacing w:val="-10"/>
                      <w:sz w:val="18"/>
                      <w:szCs w:val="18"/>
                    </w:rPr>
                  </w:pPr>
                  <w:r>
                    <w:rPr>
                      <w:b/>
                      <w:bCs/>
                      <w:color w:val="auto"/>
                      <w:spacing w:val="-10"/>
                      <w:sz w:val="18"/>
                      <w:szCs w:val="18"/>
                    </w:rPr>
                    <w:t>方式</w:t>
                  </w:r>
                </w:p>
              </w:tc>
              <w:tc>
                <w:tcPr>
                  <w:tcW w:w="234" w:type="pct"/>
                  <w:vAlign w:val="center"/>
                </w:tcPr>
                <w:p w14:paraId="46CDE05F">
                  <w:pPr>
                    <w:adjustRightInd w:val="0"/>
                    <w:snapToGrid w:val="0"/>
                    <w:jc w:val="center"/>
                    <w:rPr>
                      <w:b/>
                      <w:bCs/>
                      <w:color w:val="auto"/>
                      <w:sz w:val="18"/>
                      <w:szCs w:val="18"/>
                    </w:rPr>
                  </w:pPr>
                  <w:r>
                    <w:rPr>
                      <w:b/>
                      <w:bCs/>
                      <w:color w:val="auto"/>
                      <w:sz w:val="18"/>
                      <w:szCs w:val="18"/>
                    </w:rPr>
                    <w:t>排放去向</w:t>
                  </w:r>
                </w:p>
              </w:tc>
              <w:tc>
                <w:tcPr>
                  <w:tcW w:w="318" w:type="pct"/>
                  <w:vAlign w:val="center"/>
                </w:tcPr>
                <w:p w14:paraId="73954FF3">
                  <w:pPr>
                    <w:adjustRightInd w:val="0"/>
                    <w:snapToGrid w:val="0"/>
                    <w:jc w:val="center"/>
                    <w:rPr>
                      <w:b/>
                      <w:bCs/>
                      <w:color w:val="auto"/>
                      <w:sz w:val="18"/>
                      <w:szCs w:val="18"/>
                    </w:rPr>
                  </w:pPr>
                  <w:r>
                    <w:rPr>
                      <w:b/>
                      <w:bCs/>
                      <w:color w:val="auto"/>
                      <w:sz w:val="18"/>
                      <w:szCs w:val="18"/>
                    </w:rPr>
                    <w:t>排放规律</w:t>
                  </w:r>
                </w:p>
              </w:tc>
              <w:tc>
                <w:tcPr>
                  <w:tcW w:w="229" w:type="pct"/>
                  <w:vAlign w:val="center"/>
                </w:tcPr>
                <w:p w14:paraId="70034488">
                  <w:pPr>
                    <w:adjustRightInd w:val="0"/>
                    <w:snapToGrid w:val="0"/>
                    <w:jc w:val="center"/>
                    <w:rPr>
                      <w:b/>
                      <w:bCs/>
                      <w:color w:val="auto"/>
                      <w:sz w:val="18"/>
                      <w:szCs w:val="18"/>
                    </w:rPr>
                  </w:pPr>
                  <w:r>
                    <w:rPr>
                      <w:b/>
                      <w:bCs/>
                      <w:color w:val="auto"/>
                      <w:sz w:val="18"/>
                      <w:szCs w:val="18"/>
                    </w:rPr>
                    <w:t>排放编号及名称</w:t>
                  </w:r>
                </w:p>
              </w:tc>
              <w:tc>
                <w:tcPr>
                  <w:tcW w:w="238" w:type="pct"/>
                  <w:vAlign w:val="center"/>
                </w:tcPr>
                <w:p w14:paraId="4D67E6D0">
                  <w:pPr>
                    <w:adjustRightInd w:val="0"/>
                    <w:snapToGrid w:val="0"/>
                    <w:jc w:val="center"/>
                    <w:rPr>
                      <w:b/>
                      <w:bCs/>
                      <w:color w:val="auto"/>
                      <w:sz w:val="18"/>
                      <w:szCs w:val="18"/>
                    </w:rPr>
                  </w:pPr>
                  <w:r>
                    <w:rPr>
                      <w:b/>
                      <w:bCs/>
                      <w:color w:val="auto"/>
                      <w:sz w:val="18"/>
                      <w:szCs w:val="18"/>
                    </w:rPr>
                    <w:t>排放</w:t>
                  </w:r>
                  <w:r>
                    <w:rPr>
                      <w:rFonts w:hint="eastAsia"/>
                      <w:b/>
                      <w:bCs/>
                      <w:color w:val="auto"/>
                      <w:sz w:val="18"/>
                      <w:szCs w:val="18"/>
                    </w:rPr>
                    <w:t>口</w:t>
                  </w:r>
                  <w:r>
                    <w:rPr>
                      <w:b/>
                      <w:bCs/>
                      <w:color w:val="auto"/>
                      <w:sz w:val="18"/>
                      <w:szCs w:val="18"/>
                    </w:rPr>
                    <w:t>类型</w:t>
                  </w:r>
                </w:p>
              </w:tc>
              <w:tc>
                <w:tcPr>
                  <w:tcW w:w="353" w:type="pct"/>
                  <w:vAlign w:val="center"/>
                </w:tcPr>
                <w:p w14:paraId="7C10AC4F">
                  <w:pPr>
                    <w:adjustRightInd w:val="0"/>
                    <w:snapToGrid w:val="0"/>
                    <w:jc w:val="center"/>
                    <w:rPr>
                      <w:b/>
                      <w:bCs/>
                      <w:color w:val="auto"/>
                      <w:sz w:val="18"/>
                      <w:szCs w:val="18"/>
                    </w:rPr>
                  </w:pPr>
                  <w:r>
                    <w:rPr>
                      <w:b/>
                      <w:bCs/>
                      <w:color w:val="auto"/>
                      <w:sz w:val="18"/>
                      <w:szCs w:val="18"/>
                    </w:rPr>
                    <w:t>地理</w:t>
                  </w:r>
                </w:p>
                <w:p w14:paraId="0CAB129B">
                  <w:pPr>
                    <w:adjustRightInd w:val="0"/>
                    <w:snapToGrid w:val="0"/>
                    <w:jc w:val="center"/>
                    <w:rPr>
                      <w:b/>
                      <w:bCs/>
                      <w:color w:val="auto"/>
                      <w:sz w:val="18"/>
                      <w:szCs w:val="18"/>
                    </w:rPr>
                  </w:pPr>
                  <w:r>
                    <w:rPr>
                      <w:b/>
                      <w:bCs/>
                      <w:color w:val="auto"/>
                      <w:sz w:val="18"/>
                      <w:szCs w:val="18"/>
                    </w:rPr>
                    <w:t>坐标</w:t>
                  </w:r>
                </w:p>
              </w:tc>
              <w:tc>
                <w:tcPr>
                  <w:tcW w:w="319" w:type="pct"/>
                  <w:vMerge w:val="restart"/>
                  <w:vAlign w:val="center"/>
                </w:tcPr>
                <w:p w14:paraId="18143167">
                  <w:pPr>
                    <w:adjustRightInd w:val="0"/>
                    <w:snapToGrid w:val="0"/>
                    <w:jc w:val="center"/>
                    <w:rPr>
                      <w:b/>
                      <w:bCs/>
                      <w:color w:val="auto"/>
                      <w:sz w:val="18"/>
                      <w:szCs w:val="18"/>
                    </w:rPr>
                  </w:pPr>
                  <w:r>
                    <w:rPr>
                      <w:b/>
                      <w:bCs/>
                      <w:color w:val="auto"/>
                      <w:sz w:val="18"/>
                      <w:szCs w:val="18"/>
                    </w:rPr>
                    <w:t>浓度</w:t>
                  </w:r>
                </w:p>
                <w:p w14:paraId="06CA6C51">
                  <w:pPr>
                    <w:adjustRightInd w:val="0"/>
                    <w:snapToGrid w:val="0"/>
                    <w:jc w:val="center"/>
                    <w:rPr>
                      <w:b/>
                      <w:bCs/>
                      <w:color w:val="auto"/>
                      <w:sz w:val="18"/>
                      <w:szCs w:val="18"/>
                    </w:rPr>
                  </w:pPr>
                  <w:r>
                    <w:rPr>
                      <w:b/>
                      <w:bCs/>
                      <w:color w:val="auto"/>
                      <w:sz w:val="18"/>
                      <w:szCs w:val="18"/>
                    </w:rPr>
                    <w:t>mg/l</w:t>
                  </w:r>
                </w:p>
              </w:tc>
            </w:tr>
            <w:tr w14:paraId="03EC1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vMerge w:val="continue"/>
                  <w:vAlign w:val="center"/>
                </w:tcPr>
                <w:p w14:paraId="073551A9">
                  <w:pPr>
                    <w:adjustRightInd w:val="0"/>
                    <w:snapToGrid w:val="0"/>
                    <w:jc w:val="center"/>
                    <w:rPr>
                      <w:bCs/>
                      <w:color w:val="auto"/>
                      <w:sz w:val="18"/>
                      <w:szCs w:val="18"/>
                    </w:rPr>
                  </w:pPr>
                </w:p>
              </w:tc>
              <w:tc>
                <w:tcPr>
                  <w:tcW w:w="217" w:type="pct"/>
                  <w:vAlign w:val="center"/>
                </w:tcPr>
                <w:p w14:paraId="3A8ECF09">
                  <w:pPr>
                    <w:adjustRightInd w:val="0"/>
                    <w:snapToGrid w:val="0"/>
                    <w:jc w:val="center"/>
                    <w:rPr>
                      <w:b/>
                      <w:bCs/>
                      <w:color w:val="auto"/>
                      <w:sz w:val="18"/>
                      <w:szCs w:val="18"/>
                    </w:rPr>
                  </w:pPr>
                  <w:r>
                    <w:rPr>
                      <w:b/>
                      <w:bCs/>
                      <w:color w:val="auto"/>
                      <w:sz w:val="18"/>
                      <w:szCs w:val="18"/>
                    </w:rPr>
                    <w:t>m</w:t>
                  </w:r>
                  <w:r>
                    <w:rPr>
                      <w:b/>
                      <w:bCs/>
                      <w:color w:val="auto"/>
                      <w:sz w:val="18"/>
                      <w:szCs w:val="18"/>
                      <w:vertAlign w:val="superscript"/>
                    </w:rPr>
                    <w:t>3</w:t>
                  </w:r>
                  <w:r>
                    <w:rPr>
                      <w:b/>
                      <w:bCs/>
                      <w:color w:val="auto"/>
                      <w:sz w:val="18"/>
                      <w:szCs w:val="18"/>
                    </w:rPr>
                    <w:t>/a</w:t>
                  </w:r>
                </w:p>
              </w:tc>
              <w:tc>
                <w:tcPr>
                  <w:tcW w:w="373" w:type="pct"/>
                  <w:vAlign w:val="center"/>
                </w:tcPr>
                <w:p w14:paraId="2D1338FA">
                  <w:pPr>
                    <w:adjustRightInd w:val="0"/>
                    <w:snapToGrid w:val="0"/>
                    <w:jc w:val="center"/>
                    <w:rPr>
                      <w:b/>
                      <w:bCs/>
                      <w:color w:val="auto"/>
                      <w:sz w:val="18"/>
                      <w:szCs w:val="18"/>
                    </w:rPr>
                  </w:pPr>
                  <w:r>
                    <w:rPr>
                      <w:b/>
                      <w:bCs/>
                      <w:color w:val="auto"/>
                      <w:sz w:val="18"/>
                      <w:szCs w:val="18"/>
                    </w:rPr>
                    <w:t>mg/l</w:t>
                  </w:r>
                </w:p>
              </w:tc>
              <w:tc>
                <w:tcPr>
                  <w:tcW w:w="477" w:type="pct"/>
                  <w:vAlign w:val="center"/>
                </w:tcPr>
                <w:p w14:paraId="0A3F2DC7">
                  <w:pPr>
                    <w:adjustRightInd w:val="0"/>
                    <w:snapToGrid w:val="0"/>
                    <w:jc w:val="center"/>
                    <w:rPr>
                      <w:b/>
                      <w:bCs/>
                      <w:color w:val="auto"/>
                      <w:sz w:val="18"/>
                      <w:szCs w:val="18"/>
                    </w:rPr>
                  </w:pPr>
                  <w:r>
                    <w:rPr>
                      <w:b/>
                      <w:bCs/>
                      <w:color w:val="auto"/>
                      <w:sz w:val="18"/>
                      <w:szCs w:val="18"/>
                    </w:rPr>
                    <w:t>t/a</w:t>
                  </w:r>
                </w:p>
              </w:tc>
              <w:tc>
                <w:tcPr>
                  <w:tcW w:w="239" w:type="pct"/>
                  <w:vAlign w:val="center"/>
                </w:tcPr>
                <w:p w14:paraId="0396B66C">
                  <w:pPr>
                    <w:adjustRightInd w:val="0"/>
                    <w:snapToGrid w:val="0"/>
                    <w:jc w:val="center"/>
                    <w:rPr>
                      <w:b/>
                      <w:bCs/>
                      <w:color w:val="auto"/>
                      <w:sz w:val="18"/>
                      <w:szCs w:val="18"/>
                    </w:rPr>
                  </w:pPr>
                  <w:r>
                    <w:rPr>
                      <w:b/>
                      <w:bCs/>
                      <w:color w:val="auto"/>
                      <w:sz w:val="18"/>
                      <w:szCs w:val="18"/>
                    </w:rPr>
                    <w:t>m</w:t>
                  </w:r>
                  <w:r>
                    <w:rPr>
                      <w:b/>
                      <w:bCs/>
                      <w:color w:val="auto"/>
                      <w:sz w:val="18"/>
                      <w:szCs w:val="18"/>
                      <w:vertAlign w:val="superscript"/>
                    </w:rPr>
                    <w:t>3</w:t>
                  </w:r>
                  <w:r>
                    <w:rPr>
                      <w:b/>
                      <w:bCs/>
                      <w:color w:val="auto"/>
                      <w:sz w:val="18"/>
                      <w:szCs w:val="18"/>
                    </w:rPr>
                    <w:t>/</w:t>
                  </w:r>
                  <w:r>
                    <w:rPr>
                      <w:rFonts w:hint="eastAsia"/>
                      <w:b/>
                      <w:bCs/>
                      <w:color w:val="auto"/>
                      <w:sz w:val="18"/>
                      <w:szCs w:val="18"/>
                    </w:rPr>
                    <w:t>d</w:t>
                  </w:r>
                </w:p>
              </w:tc>
              <w:tc>
                <w:tcPr>
                  <w:tcW w:w="241" w:type="pct"/>
                  <w:vMerge w:val="continue"/>
                  <w:vAlign w:val="center"/>
                </w:tcPr>
                <w:p w14:paraId="08185D48">
                  <w:pPr>
                    <w:adjustRightInd w:val="0"/>
                    <w:snapToGrid w:val="0"/>
                    <w:jc w:val="center"/>
                    <w:rPr>
                      <w:b/>
                      <w:bCs/>
                      <w:color w:val="auto"/>
                      <w:sz w:val="18"/>
                      <w:szCs w:val="18"/>
                    </w:rPr>
                  </w:pPr>
                </w:p>
              </w:tc>
              <w:tc>
                <w:tcPr>
                  <w:tcW w:w="281" w:type="pct"/>
                  <w:vAlign w:val="center"/>
                </w:tcPr>
                <w:p w14:paraId="64A78060">
                  <w:pPr>
                    <w:adjustRightInd w:val="0"/>
                    <w:snapToGrid w:val="0"/>
                    <w:jc w:val="center"/>
                    <w:rPr>
                      <w:b/>
                      <w:bCs/>
                      <w:color w:val="auto"/>
                      <w:sz w:val="18"/>
                      <w:szCs w:val="18"/>
                    </w:rPr>
                  </w:pPr>
                  <w:r>
                    <w:rPr>
                      <w:b/>
                      <w:bCs/>
                      <w:color w:val="auto"/>
                      <w:sz w:val="18"/>
                      <w:szCs w:val="18"/>
                    </w:rPr>
                    <w:t>%</w:t>
                  </w:r>
                </w:p>
              </w:tc>
              <w:tc>
                <w:tcPr>
                  <w:tcW w:w="174" w:type="pct"/>
                  <w:vMerge w:val="continue"/>
                  <w:vAlign w:val="center"/>
                </w:tcPr>
                <w:p w14:paraId="57014609">
                  <w:pPr>
                    <w:adjustRightInd w:val="0"/>
                    <w:snapToGrid w:val="0"/>
                    <w:jc w:val="center"/>
                    <w:rPr>
                      <w:bCs/>
                      <w:color w:val="auto"/>
                      <w:sz w:val="18"/>
                      <w:szCs w:val="18"/>
                    </w:rPr>
                  </w:pPr>
                </w:p>
              </w:tc>
              <w:tc>
                <w:tcPr>
                  <w:tcW w:w="194" w:type="pct"/>
                  <w:vAlign w:val="center"/>
                </w:tcPr>
                <w:p w14:paraId="3B26BC23">
                  <w:pPr>
                    <w:adjustRightInd w:val="0"/>
                    <w:snapToGrid w:val="0"/>
                    <w:jc w:val="center"/>
                    <w:rPr>
                      <w:b/>
                      <w:bCs/>
                      <w:color w:val="auto"/>
                      <w:sz w:val="18"/>
                      <w:szCs w:val="18"/>
                    </w:rPr>
                  </w:pPr>
                  <w:r>
                    <w:rPr>
                      <w:b/>
                      <w:bCs/>
                      <w:color w:val="auto"/>
                      <w:sz w:val="18"/>
                      <w:szCs w:val="18"/>
                    </w:rPr>
                    <w:t>m</w:t>
                  </w:r>
                  <w:r>
                    <w:rPr>
                      <w:b/>
                      <w:bCs/>
                      <w:color w:val="auto"/>
                      <w:sz w:val="18"/>
                      <w:szCs w:val="18"/>
                      <w:vertAlign w:val="superscript"/>
                    </w:rPr>
                    <w:t>3</w:t>
                  </w:r>
                  <w:r>
                    <w:rPr>
                      <w:b/>
                      <w:bCs/>
                      <w:color w:val="auto"/>
                      <w:sz w:val="18"/>
                      <w:szCs w:val="18"/>
                    </w:rPr>
                    <w:t>/a</w:t>
                  </w:r>
                </w:p>
              </w:tc>
              <w:tc>
                <w:tcPr>
                  <w:tcW w:w="282" w:type="pct"/>
                  <w:vAlign w:val="center"/>
                </w:tcPr>
                <w:p w14:paraId="1BB3B828">
                  <w:pPr>
                    <w:adjustRightInd w:val="0"/>
                    <w:snapToGrid w:val="0"/>
                    <w:jc w:val="center"/>
                    <w:rPr>
                      <w:b/>
                      <w:bCs/>
                      <w:color w:val="auto"/>
                      <w:sz w:val="18"/>
                      <w:szCs w:val="18"/>
                    </w:rPr>
                  </w:pPr>
                  <w:r>
                    <w:rPr>
                      <w:b/>
                      <w:bCs/>
                      <w:color w:val="auto"/>
                      <w:sz w:val="18"/>
                      <w:szCs w:val="18"/>
                    </w:rPr>
                    <w:t>mg/l</w:t>
                  </w:r>
                </w:p>
              </w:tc>
              <w:tc>
                <w:tcPr>
                  <w:tcW w:w="322" w:type="pct"/>
                  <w:vAlign w:val="center"/>
                </w:tcPr>
                <w:p w14:paraId="5201FB66">
                  <w:pPr>
                    <w:adjustRightInd w:val="0"/>
                    <w:snapToGrid w:val="0"/>
                    <w:jc w:val="center"/>
                    <w:rPr>
                      <w:b/>
                      <w:bCs/>
                      <w:color w:val="auto"/>
                      <w:sz w:val="18"/>
                      <w:szCs w:val="18"/>
                    </w:rPr>
                  </w:pPr>
                  <w:r>
                    <w:rPr>
                      <w:b/>
                      <w:bCs/>
                      <w:color w:val="auto"/>
                      <w:sz w:val="18"/>
                      <w:szCs w:val="18"/>
                    </w:rPr>
                    <w:t>t/a</w:t>
                  </w:r>
                </w:p>
              </w:tc>
              <w:tc>
                <w:tcPr>
                  <w:tcW w:w="184" w:type="pct"/>
                  <w:vAlign w:val="center"/>
                </w:tcPr>
                <w:p w14:paraId="1BDFF475">
                  <w:pPr>
                    <w:adjustRightInd w:val="0"/>
                    <w:snapToGrid w:val="0"/>
                    <w:jc w:val="center"/>
                    <w:rPr>
                      <w:b/>
                      <w:bCs/>
                      <w:color w:val="auto"/>
                      <w:sz w:val="18"/>
                      <w:szCs w:val="18"/>
                    </w:rPr>
                  </w:pPr>
                  <w:r>
                    <w:rPr>
                      <w:b/>
                      <w:bCs/>
                      <w:color w:val="auto"/>
                      <w:sz w:val="18"/>
                      <w:szCs w:val="18"/>
                    </w:rPr>
                    <w:t>/</w:t>
                  </w:r>
                </w:p>
              </w:tc>
              <w:tc>
                <w:tcPr>
                  <w:tcW w:w="234" w:type="pct"/>
                  <w:vAlign w:val="center"/>
                </w:tcPr>
                <w:p w14:paraId="7564CAFD">
                  <w:pPr>
                    <w:adjustRightInd w:val="0"/>
                    <w:snapToGrid w:val="0"/>
                    <w:jc w:val="center"/>
                    <w:rPr>
                      <w:b/>
                      <w:bCs/>
                      <w:color w:val="auto"/>
                      <w:sz w:val="18"/>
                      <w:szCs w:val="18"/>
                    </w:rPr>
                  </w:pPr>
                  <w:r>
                    <w:rPr>
                      <w:rFonts w:hint="eastAsia"/>
                      <w:b/>
                      <w:bCs/>
                      <w:color w:val="auto"/>
                      <w:sz w:val="18"/>
                      <w:szCs w:val="18"/>
                    </w:rPr>
                    <w:t>/</w:t>
                  </w:r>
                </w:p>
              </w:tc>
              <w:tc>
                <w:tcPr>
                  <w:tcW w:w="318" w:type="pct"/>
                  <w:vAlign w:val="center"/>
                </w:tcPr>
                <w:p w14:paraId="25C50D48">
                  <w:pPr>
                    <w:adjustRightInd w:val="0"/>
                    <w:snapToGrid w:val="0"/>
                    <w:jc w:val="center"/>
                    <w:rPr>
                      <w:b/>
                      <w:bCs/>
                      <w:color w:val="auto"/>
                      <w:sz w:val="18"/>
                      <w:szCs w:val="18"/>
                    </w:rPr>
                  </w:pPr>
                  <w:r>
                    <w:rPr>
                      <w:rFonts w:hint="eastAsia"/>
                      <w:b/>
                      <w:bCs/>
                      <w:color w:val="auto"/>
                      <w:sz w:val="18"/>
                      <w:szCs w:val="18"/>
                    </w:rPr>
                    <w:t>/</w:t>
                  </w:r>
                </w:p>
              </w:tc>
              <w:tc>
                <w:tcPr>
                  <w:tcW w:w="229" w:type="pct"/>
                  <w:vAlign w:val="center"/>
                </w:tcPr>
                <w:p w14:paraId="6F1637A0">
                  <w:pPr>
                    <w:adjustRightInd w:val="0"/>
                    <w:snapToGrid w:val="0"/>
                    <w:jc w:val="center"/>
                    <w:rPr>
                      <w:b/>
                      <w:bCs/>
                      <w:color w:val="auto"/>
                      <w:sz w:val="18"/>
                      <w:szCs w:val="18"/>
                    </w:rPr>
                  </w:pPr>
                  <w:r>
                    <w:rPr>
                      <w:rFonts w:hint="eastAsia"/>
                      <w:b/>
                      <w:bCs/>
                      <w:color w:val="auto"/>
                      <w:sz w:val="18"/>
                      <w:szCs w:val="18"/>
                    </w:rPr>
                    <w:t>/</w:t>
                  </w:r>
                </w:p>
              </w:tc>
              <w:tc>
                <w:tcPr>
                  <w:tcW w:w="238" w:type="pct"/>
                  <w:vAlign w:val="center"/>
                </w:tcPr>
                <w:p w14:paraId="1AF17B07">
                  <w:pPr>
                    <w:adjustRightInd w:val="0"/>
                    <w:snapToGrid w:val="0"/>
                    <w:jc w:val="center"/>
                    <w:rPr>
                      <w:b/>
                      <w:bCs/>
                      <w:color w:val="auto"/>
                      <w:sz w:val="18"/>
                      <w:szCs w:val="18"/>
                    </w:rPr>
                  </w:pPr>
                  <w:r>
                    <w:rPr>
                      <w:b/>
                      <w:bCs/>
                      <w:color w:val="auto"/>
                      <w:sz w:val="18"/>
                      <w:szCs w:val="18"/>
                    </w:rPr>
                    <w:t>/</w:t>
                  </w:r>
                </w:p>
              </w:tc>
              <w:tc>
                <w:tcPr>
                  <w:tcW w:w="353" w:type="pct"/>
                  <w:vAlign w:val="center"/>
                </w:tcPr>
                <w:p w14:paraId="520E7238">
                  <w:pPr>
                    <w:adjustRightInd w:val="0"/>
                    <w:snapToGrid w:val="0"/>
                    <w:jc w:val="center"/>
                    <w:rPr>
                      <w:b/>
                      <w:bCs/>
                      <w:color w:val="auto"/>
                      <w:sz w:val="18"/>
                      <w:szCs w:val="18"/>
                    </w:rPr>
                  </w:pPr>
                  <w:r>
                    <w:rPr>
                      <w:b/>
                      <w:bCs/>
                      <w:color w:val="auto"/>
                      <w:sz w:val="18"/>
                      <w:szCs w:val="18"/>
                    </w:rPr>
                    <w:t>/</w:t>
                  </w:r>
                </w:p>
              </w:tc>
              <w:tc>
                <w:tcPr>
                  <w:tcW w:w="319" w:type="pct"/>
                  <w:vMerge w:val="continue"/>
                  <w:vAlign w:val="center"/>
                </w:tcPr>
                <w:p w14:paraId="27EC207F">
                  <w:pPr>
                    <w:adjustRightInd w:val="0"/>
                    <w:snapToGrid w:val="0"/>
                    <w:jc w:val="center"/>
                    <w:rPr>
                      <w:bCs/>
                      <w:color w:val="auto"/>
                      <w:sz w:val="18"/>
                      <w:szCs w:val="18"/>
                    </w:rPr>
                  </w:pPr>
                </w:p>
              </w:tc>
            </w:tr>
            <w:tr w14:paraId="2F87C8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16" w:type="pct"/>
                  <w:vAlign w:val="center"/>
                </w:tcPr>
                <w:p w14:paraId="2B6A6F79">
                  <w:pPr>
                    <w:widowControl/>
                    <w:adjustRightInd w:val="0"/>
                    <w:snapToGrid w:val="0"/>
                    <w:jc w:val="center"/>
                    <w:textAlignment w:val="center"/>
                    <w:rPr>
                      <w:bCs/>
                      <w:color w:val="auto"/>
                      <w:sz w:val="18"/>
                      <w:szCs w:val="18"/>
                    </w:rPr>
                  </w:pPr>
                  <w:r>
                    <w:rPr>
                      <w:color w:val="auto"/>
                      <w:kern w:val="0"/>
                      <w:sz w:val="18"/>
                      <w:szCs w:val="18"/>
                      <w:lang w:bidi="ar"/>
                    </w:rPr>
                    <w:t>pH</w:t>
                  </w:r>
                </w:p>
              </w:tc>
              <w:tc>
                <w:tcPr>
                  <w:tcW w:w="217" w:type="pct"/>
                  <w:vMerge w:val="restart"/>
                  <w:vAlign w:val="center"/>
                </w:tcPr>
                <w:p w14:paraId="4BBDE869">
                  <w:pPr>
                    <w:widowControl/>
                    <w:adjustRightInd w:val="0"/>
                    <w:snapToGrid w:val="0"/>
                    <w:jc w:val="center"/>
                    <w:textAlignment w:val="center"/>
                    <w:rPr>
                      <w:rFonts w:hint="default" w:eastAsia="宋体"/>
                      <w:bCs/>
                      <w:color w:val="auto"/>
                      <w:sz w:val="18"/>
                      <w:szCs w:val="18"/>
                      <w:lang w:val="en-US" w:eastAsia="zh-CN"/>
                    </w:rPr>
                  </w:pPr>
                  <w:r>
                    <w:rPr>
                      <w:rFonts w:hint="eastAsia"/>
                      <w:color w:val="auto"/>
                      <w:sz w:val="18"/>
                      <w:szCs w:val="18"/>
                      <w:lang w:val="en-US" w:eastAsia="zh-CN"/>
                    </w:rPr>
                    <w:t>3368</w:t>
                  </w:r>
                </w:p>
              </w:tc>
              <w:tc>
                <w:tcPr>
                  <w:tcW w:w="373" w:type="pct"/>
                  <w:shd w:val="clear" w:color="auto" w:fill="auto"/>
                  <w:vAlign w:val="center"/>
                </w:tcPr>
                <w:p w14:paraId="79BB7CB8">
                  <w:pPr>
                    <w:tabs>
                      <w:tab w:val="center" w:pos="546"/>
                    </w:tabs>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6-9</w:t>
                  </w:r>
                </w:p>
              </w:tc>
              <w:tc>
                <w:tcPr>
                  <w:tcW w:w="477" w:type="pct"/>
                  <w:shd w:val="clear" w:color="auto" w:fill="auto"/>
                  <w:vAlign w:val="center"/>
                </w:tcPr>
                <w:p w14:paraId="5FA449A6">
                  <w:pPr>
                    <w:widowControl/>
                    <w:jc w:val="center"/>
                    <w:textAlignment w:val="center"/>
                    <w:rPr>
                      <w:color w:val="auto"/>
                      <w:kern w:val="0"/>
                      <w:sz w:val="18"/>
                      <w:szCs w:val="18"/>
                      <w:lang w:bidi="ar"/>
                    </w:rPr>
                  </w:pPr>
                  <w:r>
                    <w:rPr>
                      <w:color w:val="auto"/>
                      <w:kern w:val="0"/>
                      <w:sz w:val="18"/>
                      <w:szCs w:val="18"/>
                      <w:lang w:bidi="ar"/>
                    </w:rPr>
                    <w:t>/</w:t>
                  </w:r>
                </w:p>
              </w:tc>
              <w:tc>
                <w:tcPr>
                  <w:tcW w:w="239" w:type="pct"/>
                  <w:vMerge w:val="restart"/>
                  <w:vAlign w:val="center"/>
                </w:tcPr>
                <w:p w14:paraId="3206C260">
                  <w:pPr>
                    <w:widowControl/>
                    <w:jc w:val="center"/>
                    <w:textAlignment w:val="center"/>
                    <w:rPr>
                      <w:color w:val="auto"/>
                      <w:kern w:val="0"/>
                      <w:sz w:val="18"/>
                      <w:szCs w:val="18"/>
                      <w:lang w:bidi="ar"/>
                    </w:rPr>
                  </w:pPr>
                  <w:r>
                    <w:rPr>
                      <w:color w:val="auto"/>
                      <w:kern w:val="0"/>
                      <w:sz w:val="18"/>
                      <w:szCs w:val="18"/>
                      <w:lang w:bidi="ar"/>
                    </w:rPr>
                    <w:t>10</w:t>
                  </w:r>
                </w:p>
              </w:tc>
              <w:tc>
                <w:tcPr>
                  <w:tcW w:w="241" w:type="pct"/>
                  <w:vMerge w:val="restart"/>
                  <w:vAlign w:val="center"/>
                </w:tcPr>
                <w:p w14:paraId="092829C8">
                  <w:pPr>
                    <w:widowControl/>
                    <w:jc w:val="both"/>
                    <w:textAlignment w:val="center"/>
                    <w:rPr>
                      <w:color w:val="auto"/>
                      <w:kern w:val="0"/>
                      <w:sz w:val="18"/>
                      <w:szCs w:val="18"/>
                      <w:lang w:bidi="ar"/>
                    </w:rPr>
                  </w:pPr>
                  <w:r>
                    <w:rPr>
                      <w:rFonts w:ascii="Times New Roman" w:hAnsi="Times New Roman" w:eastAsia="宋体" w:cs="Times New Roman"/>
                      <w:color w:val="auto"/>
                      <w:kern w:val="0"/>
                      <w:sz w:val="18"/>
                      <w:szCs w:val="18"/>
                      <w:lang w:bidi="ar"/>
                    </w:rPr>
                    <w:t>生化+MBR膜处理+消毒</w:t>
                  </w:r>
                </w:p>
              </w:tc>
              <w:tc>
                <w:tcPr>
                  <w:tcW w:w="281" w:type="pct"/>
                  <w:vAlign w:val="center"/>
                </w:tcPr>
                <w:p w14:paraId="7F0F05AB">
                  <w:pPr>
                    <w:widowControl/>
                    <w:jc w:val="center"/>
                    <w:textAlignment w:val="center"/>
                    <w:rPr>
                      <w:color w:val="auto"/>
                      <w:kern w:val="0"/>
                      <w:sz w:val="18"/>
                      <w:szCs w:val="18"/>
                      <w:lang w:bidi="ar"/>
                    </w:rPr>
                  </w:pPr>
                  <w:r>
                    <w:rPr>
                      <w:color w:val="auto"/>
                      <w:kern w:val="0"/>
                      <w:sz w:val="18"/>
                      <w:szCs w:val="18"/>
                      <w:lang w:bidi="ar"/>
                    </w:rPr>
                    <w:t>/</w:t>
                  </w:r>
                </w:p>
              </w:tc>
              <w:tc>
                <w:tcPr>
                  <w:tcW w:w="174" w:type="pct"/>
                  <w:vMerge w:val="restart"/>
                  <w:vAlign w:val="center"/>
                </w:tcPr>
                <w:p w14:paraId="23AB6701">
                  <w:pPr>
                    <w:widowControl/>
                    <w:adjustRightInd w:val="0"/>
                    <w:snapToGrid w:val="0"/>
                    <w:jc w:val="center"/>
                    <w:textAlignment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是</w:t>
                  </w:r>
                </w:p>
              </w:tc>
              <w:tc>
                <w:tcPr>
                  <w:tcW w:w="194" w:type="pct"/>
                  <w:vMerge w:val="restart"/>
                  <w:vAlign w:val="center"/>
                </w:tcPr>
                <w:p w14:paraId="3C59B93B">
                  <w:pPr>
                    <w:widowControl/>
                    <w:adjustRightInd w:val="0"/>
                    <w:snapToGrid w:val="0"/>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3368</w:t>
                  </w:r>
                </w:p>
              </w:tc>
              <w:tc>
                <w:tcPr>
                  <w:tcW w:w="282" w:type="pct"/>
                  <w:shd w:val="clear" w:color="auto" w:fill="auto"/>
                  <w:vAlign w:val="center"/>
                </w:tcPr>
                <w:p w14:paraId="411A2E6F">
                  <w:pPr>
                    <w:widowControl/>
                    <w:jc w:val="center"/>
                    <w:textAlignment w:val="center"/>
                    <w:rPr>
                      <w:color w:val="auto"/>
                      <w:kern w:val="0"/>
                      <w:sz w:val="18"/>
                      <w:szCs w:val="18"/>
                      <w:lang w:bidi="ar"/>
                    </w:rPr>
                  </w:pPr>
                  <w:r>
                    <w:rPr>
                      <w:color w:val="auto"/>
                      <w:kern w:val="0"/>
                      <w:sz w:val="18"/>
                      <w:szCs w:val="18"/>
                      <w:lang w:bidi="ar"/>
                    </w:rPr>
                    <w:t>6-9</w:t>
                  </w:r>
                </w:p>
              </w:tc>
              <w:tc>
                <w:tcPr>
                  <w:tcW w:w="322" w:type="pct"/>
                  <w:shd w:val="clear" w:color="auto" w:fill="auto"/>
                  <w:vAlign w:val="center"/>
                </w:tcPr>
                <w:p w14:paraId="2C948F11">
                  <w:pPr>
                    <w:widowControl/>
                    <w:jc w:val="center"/>
                    <w:textAlignment w:val="center"/>
                    <w:rPr>
                      <w:color w:val="auto"/>
                      <w:kern w:val="0"/>
                      <w:sz w:val="18"/>
                      <w:szCs w:val="18"/>
                      <w:lang w:bidi="ar"/>
                    </w:rPr>
                  </w:pPr>
                  <w:r>
                    <w:rPr>
                      <w:color w:val="auto"/>
                      <w:kern w:val="0"/>
                      <w:sz w:val="18"/>
                      <w:szCs w:val="18"/>
                      <w:lang w:bidi="ar"/>
                    </w:rPr>
                    <w:t>/</w:t>
                  </w:r>
                </w:p>
              </w:tc>
              <w:tc>
                <w:tcPr>
                  <w:tcW w:w="184" w:type="pct"/>
                  <w:vMerge w:val="restart"/>
                  <w:vAlign w:val="center"/>
                </w:tcPr>
                <w:p w14:paraId="188ED090">
                  <w:pPr>
                    <w:widowControl/>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间接排放</w:t>
                  </w:r>
                </w:p>
              </w:tc>
              <w:tc>
                <w:tcPr>
                  <w:tcW w:w="234" w:type="pct"/>
                  <w:vMerge w:val="restart"/>
                  <w:vAlign w:val="center"/>
                </w:tcPr>
                <w:p w14:paraId="2959AEF5">
                  <w:pPr>
                    <w:widowControl/>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华林镇集镇污水处理厂</w:t>
                  </w:r>
                </w:p>
              </w:tc>
              <w:tc>
                <w:tcPr>
                  <w:tcW w:w="318" w:type="pct"/>
                  <w:vMerge w:val="restart"/>
                  <w:vAlign w:val="center"/>
                </w:tcPr>
                <w:p w14:paraId="6F1A85A3">
                  <w:pPr>
                    <w:widowControl/>
                    <w:jc w:val="center"/>
                    <w:textAlignment w:val="center"/>
                    <w:rPr>
                      <w:rFonts w:ascii="Times New Roman" w:hAnsi="Times New Roman" w:eastAsia="宋体" w:cs="Times New Roman"/>
                      <w:color w:val="auto"/>
                      <w:kern w:val="0"/>
                      <w:sz w:val="18"/>
                      <w:szCs w:val="18"/>
                      <w:lang w:bidi="ar"/>
                    </w:rPr>
                  </w:pPr>
                  <w:r>
                    <w:rPr>
                      <w:rFonts w:ascii="Times New Roman" w:hAnsi="Times New Roman" w:eastAsia="宋体" w:cs="Times New Roman"/>
                      <w:color w:val="auto"/>
                      <w:kern w:val="0"/>
                      <w:sz w:val="18"/>
                      <w:szCs w:val="18"/>
                      <w:lang w:bidi="ar"/>
                    </w:rPr>
                    <w:t>间断排放，流量不稳定，但有周期性规律</w:t>
                  </w:r>
                </w:p>
              </w:tc>
              <w:tc>
                <w:tcPr>
                  <w:tcW w:w="229" w:type="pct"/>
                  <w:vMerge w:val="restart"/>
                  <w:vAlign w:val="center"/>
                </w:tcPr>
                <w:p w14:paraId="492C1C9B">
                  <w:pPr>
                    <w:widowControl/>
                    <w:jc w:val="center"/>
                    <w:textAlignment w:val="center"/>
                    <w:rPr>
                      <w:rFonts w:ascii="Times New Roman" w:hAnsi="Times New Roman" w:eastAsia="宋体" w:cs="Times New Roman"/>
                      <w:color w:val="auto"/>
                      <w:kern w:val="0"/>
                      <w:sz w:val="18"/>
                      <w:szCs w:val="18"/>
                      <w:lang w:bidi="ar"/>
                    </w:rPr>
                  </w:pPr>
                  <w:r>
                    <w:rPr>
                      <w:rFonts w:ascii="Times New Roman" w:hAnsi="Times New Roman" w:eastAsia="宋体" w:cs="Times New Roman"/>
                      <w:color w:val="auto"/>
                      <w:kern w:val="0"/>
                      <w:sz w:val="18"/>
                      <w:szCs w:val="18"/>
                      <w:lang w:bidi="ar"/>
                    </w:rPr>
                    <w:t>DW001</w:t>
                  </w:r>
                </w:p>
                <w:p w14:paraId="00719755">
                  <w:pPr>
                    <w:widowControl/>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废水总排口</w:t>
                  </w:r>
                </w:p>
              </w:tc>
              <w:tc>
                <w:tcPr>
                  <w:tcW w:w="238" w:type="pct"/>
                  <w:vMerge w:val="restart"/>
                  <w:vAlign w:val="center"/>
                </w:tcPr>
                <w:p w14:paraId="4AFF908A">
                  <w:pPr>
                    <w:widowControl/>
                    <w:jc w:val="center"/>
                    <w:textAlignment w:val="center"/>
                    <w:rPr>
                      <w:rFonts w:ascii="Times New Roman" w:hAnsi="Times New Roman" w:eastAsia="宋体" w:cs="Times New Roman"/>
                      <w:color w:val="auto"/>
                      <w:kern w:val="0"/>
                      <w:sz w:val="18"/>
                      <w:szCs w:val="18"/>
                      <w:lang w:bidi="ar"/>
                    </w:rPr>
                  </w:pPr>
                  <w:r>
                    <w:rPr>
                      <w:rFonts w:ascii="Times New Roman" w:hAnsi="Times New Roman" w:eastAsia="宋体" w:cs="Times New Roman"/>
                      <w:color w:val="auto"/>
                      <w:kern w:val="0"/>
                      <w:sz w:val="18"/>
                      <w:szCs w:val="18"/>
                      <w:lang w:bidi="ar"/>
                    </w:rPr>
                    <w:t>一般排放口</w:t>
                  </w:r>
                </w:p>
              </w:tc>
              <w:tc>
                <w:tcPr>
                  <w:tcW w:w="353" w:type="pct"/>
                  <w:vMerge w:val="restart"/>
                  <w:vAlign w:val="center"/>
                </w:tcPr>
                <w:p w14:paraId="1CFD212F">
                  <w:pPr>
                    <w:widowControl/>
                    <w:adjustRightInd w:val="0"/>
                    <w:snapToGrid w:val="0"/>
                    <w:jc w:val="center"/>
                    <w:textAlignment w:val="center"/>
                    <w:rPr>
                      <w:rFonts w:hint="default" w:eastAsia="宋体"/>
                      <w:bCs/>
                      <w:color w:val="auto"/>
                      <w:sz w:val="18"/>
                      <w:szCs w:val="18"/>
                      <w:lang w:val="en-US" w:eastAsia="zh-CN"/>
                    </w:rPr>
                  </w:pPr>
                  <w:r>
                    <w:rPr>
                      <w:rFonts w:hint="eastAsia"/>
                      <w:color w:val="auto"/>
                      <w:kern w:val="0"/>
                      <w:sz w:val="18"/>
                      <w:szCs w:val="18"/>
                      <w:lang w:val="en-US" w:eastAsia="zh-CN" w:bidi="ar"/>
                    </w:rPr>
                    <w:t>E：115.94925°N：29.36728°</w:t>
                  </w:r>
                </w:p>
              </w:tc>
              <w:tc>
                <w:tcPr>
                  <w:tcW w:w="319" w:type="pct"/>
                  <w:shd w:val="clear" w:color="auto" w:fill="auto"/>
                  <w:vAlign w:val="center"/>
                </w:tcPr>
                <w:p w14:paraId="609243AA">
                  <w:pPr>
                    <w:jc w:val="center"/>
                    <w:textAlignment w:val="center"/>
                    <w:rPr>
                      <w:color w:val="auto"/>
                      <w:sz w:val="18"/>
                      <w:szCs w:val="18"/>
                    </w:rPr>
                  </w:pPr>
                  <w:r>
                    <w:rPr>
                      <w:rFonts w:hint="eastAsia"/>
                      <w:color w:val="auto"/>
                      <w:sz w:val="18"/>
                      <w:szCs w:val="18"/>
                    </w:rPr>
                    <w:t>6-9</w:t>
                  </w:r>
                </w:p>
              </w:tc>
            </w:tr>
            <w:tr w14:paraId="1EB444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16" w:type="pct"/>
                  <w:vAlign w:val="center"/>
                </w:tcPr>
                <w:p w14:paraId="7BA30E64">
                  <w:pPr>
                    <w:widowControl/>
                    <w:adjustRightInd w:val="0"/>
                    <w:snapToGrid w:val="0"/>
                    <w:jc w:val="center"/>
                    <w:textAlignment w:val="center"/>
                    <w:rPr>
                      <w:bCs/>
                      <w:color w:val="auto"/>
                      <w:sz w:val="18"/>
                      <w:szCs w:val="18"/>
                    </w:rPr>
                  </w:pPr>
                  <w:r>
                    <w:rPr>
                      <w:color w:val="auto"/>
                      <w:kern w:val="0"/>
                      <w:sz w:val="18"/>
                      <w:szCs w:val="18"/>
                      <w:lang w:bidi="ar"/>
                    </w:rPr>
                    <w:t>CODcr</w:t>
                  </w:r>
                </w:p>
              </w:tc>
              <w:tc>
                <w:tcPr>
                  <w:tcW w:w="217" w:type="pct"/>
                  <w:vMerge w:val="continue"/>
                  <w:vAlign w:val="center"/>
                </w:tcPr>
                <w:p w14:paraId="3F3FA586">
                  <w:pPr>
                    <w:adjustRightInd w:val="0"/>
                    <w:snapToGrid w:val="0"/>
                    <w:jc w:val="center"/>
                    <w:rPr>
                      <w:bCs/>
                      <w:color w:val="auto"/>
                      <w:sz w:val="18"/>
                      <w:szCs w:val="18"/>
                    </w:rPr>
                  </w:pPr>
                </w:p>
              </w:tc>
              <w:tc>
                <w:tcPr>
                  <w:tcW w:w="373" w:type="pct"/>
                  <w:shd w:val="clear" w:color="auto" w:fill="auto"/>
                  <w:vAlign w:val="center"/>
                </w:tcPr>
                <w:p w14:paraId="747509E0">
                  <w:pPr>
                    <w:tabs>
                      <w:tab w:val="center" w:pos="546"/>
                    </w:tabs>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240</w:t>
                  </w:r>
                </w:p>
              </w:tc>
              <w:tc>
                <w:tcPr>
                  <w:tcW w:w="477" w:type="pct"/>
                  <w:shd w:val="clear" w:color="auto" w:fill="auto"/>
                  <w:vAlign w:val="center"/>
                </w:tcPr>
                <w:p w14:paraId="0C9BE3EB">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0.8116</w:t>
                  </w:r>
                </w:p>
              </w:tc>
              <w:tc>
                <w:tcPr>
                  <w:tcW w:w="239" w:type="pct"/>
                  <w:vMerge w:val="continue"/>
                  <w:vAlign w:val="center"/>
                </w:tcPr>
                <w:p w14:paraId="79F8ACAB">
                  <w:pPr>
                    <w:widowControl/>
                    <w:jc w:val="center"/>
                    <w:textAlignment w:val="center"/>
                    <w:rPr>
                      <w:color w:val="auto"/>
                      <w:kern w:val="0"/>
                      <w:sz w:val="18"/>
                      <w:szCs w:val="18"/>
                      <w:lang w:bidi="ar"/>
                    </w:rPr>
                  </w:pPr>
                </w:p>
              </w:tc>
              <w:tc>
                <w:tcPr>
                  <w:tcW w:w="241" w:type="pct"/>
                  <w:vMerge w:val="continue"/>
                  <w:vAlign w:val="center"/>
                </w:tcPr>
                <w:p w14:paraId="60701D9C">
                  <w:pPr>
                    <w:widowControl/>
                    <w:jc w:val="center"/>
                    <w:textAlignment w:val="center"/>
                    <w:rPr>
                      <w:color w:val="auto"/>
                      <w:kern w:val="0"/>
                      <w:sz w:val="18"/>
                      <w:szCs w:val="18"/>
                      <w:lang w:bidi="ar"/>
                    </w:rPr>
                  </w:pPr>
                </w:p>
              </w:tc>
              <w:tc>
                <w:tcPr>
                  <w:tcW w:w="281" w:type="pct"/>
                  <w:shd w:val="clear" w:color="auto" w:fill="auto"/>
                  <w:vAlign w:val="center"/>
                </w:tcPr>
                <w:p w14:paraId="27EB21DA">
                  <w:pPr>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s="Times New Roman"/>
                      <w:iCs/>
                      <w:color w:val="auto"/>
                      <w:sz w:val="18"/>
                      <w:szCs w:val="18"/>
                      <w:lang w:val="en-US" w:eastAsia="zh-CN"/>
                    </w:rPr>
                    <w:t>90.5</w:t>
                  </w:r>
                </w:p>
              </w:tc>
              <w:tc>
                <w:tcPr>
                  <w:tcW w:w="174" w:type="pct"/>
                  <w:vMerge w:val="continue"/>
                  <w:vAlign w:val="center"/>
                </w:tcPr>
                <w:p w14:paraId="5FA68154">
                  <w:pPr>
                    <w:widowControl/>
                    <w:jc w:val="center"/>
                    <w:textAlignment w:val="center"/>
                    <w:rPr>
                      <w:color w:val="auto"/>
                      <w:kern w:val="0"/>
                      <w:sz w:val="18"/>
                      <w:szCs w:val="18"/>
                      <w:lang w:bidi="ar"/>
                    </w:rPr>
                  </w:pPr>
                </w:p>
              </w:tc>
              <w:tc>
                <w:tcPr>
                  <w:tcW w:w="194" w:type="pct"/>
                  <w:vMerge w:val="continue"/>
                  <w:vAlign w:val="center"/>
                </w:tcPr>
                <w:p w14:paraId="39D2D5D2">
                  <w:pPr>
                    <w:widowControl/>
                    <w:jc w:val="center"/>
                    <w:textAlignment w:val="center"/>
                    <w:rPr>
                      <w:color w:val="auto"/>
                      <w:kern w:val="0"/>
                      <w:sz w:val="18"/>
                      <w:szCs w:val="18"/>
                      <w:lang w:bidi="ar"/>
                    </w:rPr>
                  </w:pPr>
                </w:p>
              </w:tc>
              <w:tc>
                <w:tcPr>
                  <w:tcW w:w="282" w:type="pct"/>
                  <w:shd w:val="clear" w:color="auto" w:fill="auto"/>
                  <w:vAlign w:val="center"/>
                </w:tcPr>
                <w:p w14:paraId="5AE09B50">
                  <w:pPr>
                    <w:tabs>
                      <w:tab w:val="center" w:pos="546"/>
                    </w:tabs>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22.8</w:t>
                  </w:r>
                </w:p>
              </w:tc>
              <w:tc>
                <w:tcPr>
                  <w:tcW w:w="322" w:type="pct"/>
                  <w:shd w:val="clear" w:color="auto" w:fill="auto"/>
                  <w:vAlign w:val="center"/>
                </w:tcPr>
                <w:p w14:paraId="793E2367">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0.0794</w:t>
                  </w:r>
                </w:p>
              </w:tc>
              <w:tc>
                <w:tcPr>
                  <w:tcW w:w="184" w:type="pct"/>
                  <w:vMerge w:val="continue"/>
                  <w:vAlign w:val="center"/>
                </w:tcPr>
                <w:p w14:paraId="308A571F">
                  <w:pPr>
                    <w:adjustRightInd w:val="0"/>
                    <w:snapToGrid w:val="0"/>
                    <w:jc w:val="center"/>
                    <w:rPr>
                      <w:bCs/>
                      <w:color w:val="auto"/>
                      <w:sz w:val="18"/>
                      <w:szCs w:val="18"/>
                    </w:rPr>
                  </w:pPr>
                </w:p>
              </w:tc>
              <w:tc>
                <w:tcPr>
                  <w:tcW w:w="234" w:type="pct"/>
                  <w:vMerge w:val="continue"/>
                  <w:vAlign w:val="center"/>
                </w:tcPr>
                <w:p w14:paraId="44543313">
                  <w:pPr>
                    <w:adjustRightInd w:val="0"/>
                    <w:snapToGrid w:val="0"/>
                    <w:jc w:val="center"/>
                    <w:rPr>
                      <w:bCs/>
                      <w:color w:val="auto"/>
                      <w:sz w:val="18"/>
                      <w:szCs w:val="18"/>
                    </w:rPr>
                  </w:pPr>
                </w:p>
              </w:tc>
              <w:tc>
                <w:tcPr>
                  <w:tcW w:w="318" w:type="pct"/>
                  <w:vMerge w:val="continue"/>
                  <w:vAlign w:val="center"/>
                </w:tcPr>
                <w:p w14:paraId="1058A92D">
                  <w:pPr>
                    <w:adjustRightInd w:val="0"/>
                    <w:snapToGrid w:val="0"/>
                    <w:jc w:val="center"/>
                    <w:rPr>
                      <w:bCs/>
                      <w:color w:val="auto"/>
                      <w:sz w:val="18"/>
                      <w:szCs w:val="18"/>
                    </w:rPr>
                  </w:pPr>
                </w:p>
              </w:tc>
              <w:tc>
                <w:tcPr>
                  <w:tcW w:w="229" w:type="pct"/>
                  <w:vMerge w:val="continue"/>
                  <w:vAlign w:val="center"/>
                </w:tcPr>
                <w:p w14:paraId="7A3ED7B8">
                  <w:pPr>
                    <w:adjustRightInd w:val="0"/>
                    <w:snapToGrid w:val="0"/>
                    <w:jc w:val="center"/>
                    <w:rPr>
                      <w:bCs/>
                      <w:color w:val="auto"/>
                      <w:sz w:val="18"/>
                      <w:szCs w:val="18"/>
                    </w:rPr>
                  </w:pPr>
                </w:p>
              </w:tc>
              <w:tc>
                <w:tcPr>
                  <w:tcW w:w="238" w:type="pct"/>
                  <w:vMerge w:val="continue"/>
                  <w:vAlign w:val="center"/>
                </w:tcPr>
                <w:p w14:paraId="2E0AC497">
                  <w:pPr>
                    <w:adjustRightInd w:val="0"/>
                    <w:snapToGrid w:val="0"/>
                    <w:jc w:val="center"/>
                    <w:rPr>
                      <w:bCs/>
                      <w:color w:val="auto"/>
                      <w:sz w:val="18"/>
                      <w:szCs w:val="18"/>
                    </w:rPr>
                  </w:pPr>
                </w:p>
              </w:tc>
              <w:tc>
                <w:tcPr>
                  <w:tcW w:w="353" w:type="pct"/>
                  <w:vMerge w:val="continue"/>
                  <w:vAlign w:val="center"/>
                </w:tcPr>
                <w:p w14:paraId="04F9D051">
                  <w:pPr>
                    <w:adjustRightInd w:val="0"/>
                    <w:snapToGrid w:val="0"/>
                    <w:jc w:val="center"/>
                    <w:rPr>
                      <w:bCs/>
                      <w:color w:val="auto"/>
                      <w:sz w:val="18"/>
                      <w:szCs w:val="18"/>
                    </w:rPr>
                  </w:pPr>
                </w:p>
              </w:tc>
              <w:tc>
                <w:tcPr>
                  <w:tcW w:w="319" w:type="pct"/>
                  <w:shd w:val="clear" w:color="auto" w:fill="auto"/>
                  <w:vAlign w:val="center"/>
                </w:tcPr>
                <w:p w14:paraId="144111AB">
                  <w:pPr>
                    <w:jc w:val="center"/>
                    <w:textAlignment w:val="center"/>
                    <w:rPr>
                      <w:rFonts w:hint="default" w:eastAsia="宋体"/>
                      <w:iCs/>
                      <w:color w:val="auto"/>
                      <w:sz w:val="18"/>
                      <w:szCs w:val="18"/>
                      <w:lang w:val="en-US" w:eastAsia="zh-CN"/>
                    </w:rPr>
                  </w:pPr>
                  <w:r>
                    <w:rPr>
                      <w:rFonts w:hint="eastAsia"/>
                      <w:iCs/>
                      <w:color w:val="auto"/>
                      <w:sz w:val="18"/>
                      <w:szCs w:val="18"/>
                      <w:lang w:val="en-US" w:eastAsia="zh-CN"/>
                    </w:rPr>
                    <w:t>200</w:t>
                  </w:r>
                </w:p>
              </w:tc>
            </w:tr>
            <w:tr w14:paraId="17D1D1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16" w:type="pct"/>
                  <w:vAlign w:val="center"/>
                </w:tcPr>
                <w:p w14:paraId="2702AB0A">
                  <w:pPr>
                    <w:widowControl/>
                    <w:adjustRightInd w:val="0"/>
                    <w:snapToGrid w:val="0"/>
                    <w:jc w:val="center"/>
                    <w:textAlignment w:val="center"/>
                    <w:rPr>
                      <w:bCs/>
                      <w:color w:val="auto"/>
                      <w:sz w:val="18"/>
                      <w:szCs w:val="18"/>
                    </w:rPr>
                  </w:pPr>
                  <w:r>
                    <w:rPr>
                      <w:color w:val="auto"/>
                      <w:kern w:val="0"/>
                      <w:sz w:val="18"/>
                      <w:szCs w:val="18"/>
                      <w:lang w:bidi="ar"/>
                    </w:rPr>
                    <w:t>BOD</w:t>
                  </w:r>
                  <w:r>
                    <w:rPr>
                      <w:color w:val="auto"/>
                      <w:kern w:val="0"/>
                      <w:sz w:val="18"/>
                      <w:szCs w:val="18"/>
                      <w:vertAlign w:val="subscript"/>
                      <w:lang w:bidi="ar"/>
                    </w:rPr>
                    <w:t>5</w:t>
                  </w:r>
                </w:p>
              </w:tc>
              <w:tc>
                <w:tcPr>
                  <w:tcW w:w="217" w:type="pct"/>
                  <w:vMerge w:val="continue"/>
                  <w:vAlign w:val="center"/>
                </w:tcPr>
                <w:p w14:paraId="58379D90">
                  <w:pPr>
                    <w:adjustRightInd w:val="0"/>
                    <w:snapToGrid w:val="0"/>
                    <w:jc w:val="center"/>
                    <w:rPr>
                      <w:bCs/>
                      <w:color w:val="auto"/>
                      <w:sz w:val="18"/>
                      <w:szCs w:val="18"/>
                    </w:rPr>
                  </w:pPr>
                </w:p>
              </w:tc>
              <w:tc>
                <w:tcPr>
                  <w:tcW w:w="373" w:type="pct"/>
                  <w:shd w:val="clear" w:color="auto" w:fill="auto"/>
                  <w:vAlign w:val="center"/>
                </w:tcPr>
                <w:p w14:paraId="5AE56F7A">
                  <w:pPr>
                    <w:tabs>
                      <w:tab w:val="center" w:pos="546"/>
                    </w:tabs>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128</w:t>
                  </w:r>
                </w:p>
              </w:tc>
              <w:tc>
                <w:tcPr>
                  <w:tcW w:w="477" w:type="pct"/>
                  <w:shd w:val="clear" w:color="auto" w:fill="auto"/>
                  <w:vAlign w:val="center"/>
                </w:tcPr>
                <w:p w14:paraId="4A40F4D1">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0.4330</w:t>
                  </w:r>
                </w:p>
              </w:tc>
              <w:tc>
                <w:tcPr>
                  <w:tcW w:w="239" w:type="pct"/>
                  <w:vMerge w:val="continue"/>
                  <w:vAlign w:val="center"/>
                </w:tcPr>
                <w:p w14:paraId="51FCDD7F">
                  <w:pPr>
                    <w:widowControl/>
                    <w:jc w:val="center"/>
                    <w:textAlignment w:val="center"/>
                    <w:rPr>
                      <w:color w:val="auto"/>
                      <w:kern w:val="0"/>
                      <w:sz w:val="18"/>
                      <w:szCs w:val="18"/>
                      <w:lang w:bidi="ar"/>
                    </w:rPr>
                  </w:pPr>
                </w:p>
              </w:tc>
              <w:tc>
                <w:tcPr>
                  <w:tcW w:w="241" w:type="pct"/>
                  <w:vMerge w:val="continue"/>
                  <w:vAlign w:val="center"/>
                </w:tcPr>
                <w:p w14:paraId="1EA3DAC8">
                  <w:pPr>
                    <w:widowControl/>
                    <w:jc w:val="center"/>
                    <w:textAlignment w:val="center"/>
                    <w:rPr>
                      <w:color w:val="auto"/>
                      <w:kern w:val="0"/>
                      <w:sz w:val="18"/>
                      <w:szCs w:val="18"/>
                      <w:lang w:bidi="ar"/>
                    </w:rPr>
                  </w:pPr>
                </w:p>
              </w:tc>
              <w:tc>
                <w:tcPr>
                  <w:tcW w:w="281" w:type="pct"/>
                  <w:shd w:val="clear" w:color="auto" w:fill="auto"/>
                  <w:vAlign w:val="center"/>
                </w:tcPr>
                <w:p w14:paraId="1357D65A">
                  <w:pPr>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s="Times New Roman"/>
                      <w:iCs/>
                      <w:color w:val="auto"/>
                      <w:sz w:val="18"/>
                      <w:szCs w:val="18"/>
                      <w:lang w:val="en-US" w:eastAsia="zh-CN"/>
                    </w:rPr>
                    <w:t>90.5</w:t>
                  </w:r>
                </w:p>
              </w:tc>
              <w:tc>
                <w:tcPr>
                  <w:tcW w:w="174" w:type="pct"/>
                  <w:vMerge w:val="continue"/>
                  <w:vAlign w:val="center"/>
                </w:tcPr>
                <w:p w14:paraId="40D78FBF">
                  <w:pPr>
                    <w:widowControl/>
                    <w:jc w:val="center"/>
                    <w:textAlignment w:val="center"/>
                    <w:rPr>
                      <w:color w:val="auto"/>
                      <w:kern w:val="0"/>
                      <w:sz w:val="18"/>
                      <w:szCs w:val="18"/>
                      <w:lang w:bidi="ar"/>
                    </w:rPr>
                  </w:pPr>
                </w:p>
              </w:tc>
              <w:tc>
                <w:tcPr>
                  <w:tcW w:w="194" w:type="pct"/>
                  <w:vMerge w:val="continue"/>
                  <w:vAlign w:val="center"/>
                </w:tcPr>
                <w:p w14:paraId="31E359DF">
                  <w:pPr>
                    <w:widowControl/>
                    <w:jc w:val="center"/>
                    <w:textAlignment w:val="center"/>
                    <w:rPr>
                      <w:color w:val="auto"/>
                      <w:kern w:val="0"/>
                      <w:sz w:val="18"/>
                      <w:szCs w:val="18"/>
                      <w:lang w:bidi="ar"/>
                    </w:rPr>
                  </w:pPr>
                </w:p>
              </w:tc>
              <w:tc>
                <w:tcPr>
                  <w:tcW w:w="282" w:type="pct"/>
                  <w:shd w:val="clear" w:color="auto" w:fill="auto"/>
                  <w:vAlign w:val="center"/>
                </w:tcPr>
                <w:p w14:paraId="5C573799">
                  <w:pPr>
                    <w:tabs>
                      <w:tab w:val="center" w:pos="546"/>
                    </w:tabs>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12.16</w:t>
                  </w:r>
                </w:p>
              </w:tc>
              <w:tc>
                <w:tcPr>
                  <w:tcW w:w="322" w:type="pct"/>
                  <w:shd w:val="clear" w:color="auto" w:fill="auto"/>
                  <w:vAlign w:val="center"/>
                </w:tcPr>
                <w:p w14:paraId="4F700457">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0.0423</w:t>
                  </w:r>
                </w:p>
              </w:tc>
              <w:tc>
                <w:tcPr>
                  <w:tcW w:w="184" w:type="pct"/>
                  <w:vMerge w:val="continue"/>
                  <w:vAlign w:val="center"/>
                </w:tcPr>
                <w:p w14:paraId="37D4ACF9">
                  <w:pPr>
                    <w:adjustRightInd w:val="0"/>
                    <w:snapToGrid w:val="0"/>
                    <w:jc w:val="center"/>
                    <w:rPr>
                      <w:bCs/>
                      <w:color w:val="auto"/>
                      <w:sz w:val="18"/>
                      <w:szCs w:val="18"/>
                    </w:rPr>
                  </w:pPr>
                </w:p>
              </w:tc>
              <w:tc>
                <w:tcPr>
                  <w:tcW w:w="234" w:type="pct"/>
                  <w:vMerge w:val="continue"/>
                  <w:vAlign w:val="center"/>
                </w:tcPr>
                <w:p w14:paraId="66C93D0D">
                  <w:pPr>
                    <w:adjustRightInd w:val="0"/>
                    <w:snapToGrid w:val="0"/>
                    <w:jc w:val="center"/>
                    <w:rPr>
                      <w:bCs/>
                      <w:color w:val="auto"/>
                      <w:sz w:val="18"/>
                      <w:szCs w:val="18"/>
                    </w:rPr>
                  </w:pPr>
                </w:p>
              </w:tc>
              <w:tc>
                <w:tcPr>
                  <w:tcW w:w="318" w:type="pct"/>
                  <w:vMerge w:val="continue"/>
                  <w:vAlign w:val="center"/>
                </w:tcPr>
                <w:p w14:paraId="1A38DE3D">
                  <w:pPr>
                    <w:adjustRightInd w:val="0"/>
                    <w:snapToGrid w:val="0"/>
                    <w:jc w:val="center"/>
                    <w:rPr>
                      <w:bCs/>
                      <w:color w:val="auto"/>
                      <w:sz w:val="18"/>
                      <w:szCs w:val="18"/>
                    </w:rPr>
                  </w:pPr>
                </w:p>
              </w:tc>
              <w:tc>
                <w:tcPr>
                  <w:tcW w:w="229" w:type="pct"/>
                  <w:vMerge w:val="continue"/>
                  <w:vAlign w:val="center"/>
                </w:tcPr>
                <w:p w14:paraId="09CEDFF9">
                  <w:pPr>
                    <w:adjustRightInd w:val="0"/>
                    <w:snapToGrid w:val="0"/>
                    <w:jc w:val="center"/>
                    <w:rPr>
                      <w:bCs/>
                      <w:color w:val="auto"/>
                      <w:sz w:val="18"/>
                      <w:szCs w:val="18"/>
                    </w:rPr>
                  </w:pPr>
                </w:p>
              </w:tc>
              <w:tc>
                <w:tcPr>
                  <w:tcW w:w="238" w:type="pct"/>
                  <w:vMerge w:val="continue"/>
                  <w:vAlign w:val="center"/>
                </w:tcPr>
                <w:p w14:paraId="6DC6E074">
                  <w:pPr>
                    <w:adjustRightInd w:val="0"/>
                    <w:snapToGrid w:val="0"/>
                    <w:jc w:val="center"/>
                    <w:rPr>
                      <w:bCs/>
                      <w:color w:val="auto"/>
                      <w:sz w:val="18"/>
                      <w:szCs w:val="18"/>
                    </w:rPr>
                  </w:pPr>
                </w:p>
              </w:tc>
              <w:tc>
                <w:tcPr>
                  <w:tcW w:w="353" w:type="pct"/>
                  <w:vMerge w:val="continue"/>
                  <w:vAlign w:val="center"/>
                </w:tcPr>
                <w:p w14:paraId="7450A9EA">
                  <w:pPr>
                    <w:adjustRightInd w:val="0"/>
                    <w:snapToGrid w:val="0"/>
                    <w:jc w:val="center"/>
                    <w:rPr>
                      <w:bCs/>
                      <w:color w:val="auto"/>
                      <w:sz w:val="18"/>
                      <w:szCs w:val="18"/>
                    </w:rPr>
                  </w:pPr>
                </w:p>
              </w:tc>
              <w:tc>
                <w:tcPr>
                  <w:tcW w:w="319" w:type="pct"/>
                  <w:shd w:val="clear" w:color="auto" w:fill="auto"/>
                  <w:vAlign w:val="center"/>
                </w:tcPr>
                <w:p w14:paraId="4D72D6D6">
                  <w:pPr>
                    <w:jc w:val="center"/>
                    <w:textAlignment w:val="center"/>
                    <w:rPr>
                      <w:iCs/>
                      <w:color w:val="auto"/>
                      <w:sz w:val="18"/>
                      <w:szCs w:val="18"/>
                    </w:rPr>
                  </w:pPr>
                  <w:r>
                    <w:rPr>
                      <w:rFonts w:hint="eastAsia"/>
                      <w:iCs/>
                      <w:color w:val="auto"/>
                      <w:sz w:val="18"/>
                      <w:szCs w:val="18"/>
                    </w:rPr>
                    <w:t>100</w:t>
                  </w:r>
                </w:p>
              </w:tc>
            </w:tr>
            <w:tr w14:paraId="289DAA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16" w:type="pct"/>
                  <w:vAlign w:val="center"/>
                </w:tcPr>
                <w:p w14:paraId="5FC40FD5">
                  <w:pPr>
                    <w:widowControl/>
                    <w:adjustRightInd w:val="0"/>
                    <w:snapToGrid w:val="0"/>
                    <w:jc w:val="center"/>
                    <w:textAlignment w:val="center"/>
                    <w:rPr>
                      <w:bCs/>
                      <w:color w:val="auto"/>
                      <w:sz w:val="18"/>
                      <w:szCs w:val="18"/>
                    </w:rPr>
                  </w:pPr>
                  <w:r>
                    <w:rPr>
                      <w:color w:val="auto"/>
                      <w:kern w:val="0"/>
                      <w:sz w:val="18"/>
                      <w:szCs w:val="18"/>
                      <w:lang w:bidi="ar"/>
                    </w:rPr>
                    <w:t>SS</w:t>
                  </w:r>
                </w:p>
              </w:tc>
              <w:tc>
                <w:tcPr>
                  <w:tcW w:w="217" w:type="pct"/>
                  <w:vMerge w:val="continue"/>
                  <w:vAlign w:val="center"/>
                </w:tcPr>
                <w:p w14:paraId="5E979519">
                  <w:pPr>
                    <w:adjustRightInd w:val="0"/>
                    <w:snapToGrid w:val="0"/>
                    <w:jc w:val="center"/>
                    <w:rPr>
                      <w:bCs/>
                      <w:color w:val="auto"/>
                      <w:sz w:val="18"/>
                      <w:szCs w:val="18"/>
                    </w:rPr>
                  </w:pPr>
                </w:p>
              </w:tc>
              <w:tc>
                <w:tcPr>
                  <w:tcW w:w="373" w:type="pct"/>
                  <w:shd w:val="clear" w:color="auto" w:fill="auto"/>
                  <w:vAlign w:val="center"/>
                </w:tcPr>
                <w:p w14:paraId="2DDDCD9E">
                  <w:pPr>
                    <w:tabs>
                      <w:tab w:val="center" w:pos="546"/>
                    </w:tabs>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132</w:t>
                  </w:r>
                </w:p>
              </w:tc>
              <w:tc>
                <w:tcPr>
                  <w:tcW w:w="477" w:type="pct"/>
                  <w:shd w:val="clear" w:color="auto" w:fill="auto"/>
                  <w:vAlign w:val="center"/>
                </w:tcPr>
                <w:p w14:paraId="55D53468">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0.4469</w:t>
                  </w:r>
                </w:p>
              </w:tc>
              <w:tc>
                <w:tcPr>
                  <w:tcW w:w="239" w:type="pct"/>
                  <w:vMerge w:val="continue"/>
                  <w:vAlign w:val="center"/>
                </w:tcPr>
                <w:p w14:paraId="46A5302B">
                  <w:pPr>
                    <w:widowControl/>
                    <w:jc w:val="center"/>
                    <w:textAlignment w:val="center"/>
                    <w:rPr>
                      <w:color w:val="auto"/>
                      <w:kern w:val="0"/>
                      <w:sz w:val="18"/>
                      <w:szCs w:val="18"/>
                      <w:lang w:bidi="ar"/>
                    </w:rPr>
                  </w:pPr>
                </w:p>
              </w:tc>
              <w:tc>
                <w:tcPr>
                  <w:tcW w:w="241" w:type="pct"/>
                  <w:vMerge w:val="continue"/>
                  <w:vAlign w:val="center"/>
                </w:tcPr>
                <w:p w14:paraId="522BB448">
                  <w:pPr>
                    <w:widowControl/>
                    <w:jc w:val="center"/>
                    <w:textAlignment w:val="center"/>
                    <w:rPr>
                      <w:color w:val="auto"/>
                      <w:kern w:val="0"/>
                      <w:sz w:val="18"/>
                      <w:szCs w:val="18"/>
                      <w:lang w:bidi="ar"/>
                    </w:rPr>
                  </w:pPr>
                </w:p>
              </w:tc>
              <w:tc>
                <w:tcPr>
                  <w:tcW w:w="281" w:type="pct"/>
                  <w:shd w:val="clear" w:color="auto" w:fill="auto"/>
                  <w:vAlign w:val="center"/>
                </w:tcPr>
                <w:p w14:paraId="047BA049">
                  <w:pPr>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s="Times New Roman"/>
                      <w:iCs/>
                      <w:color w:val="auto"/>
                      <w:sz w:val="18"/>
                      <w:szCs w:val="18"/>
                      <w:lang w:val="en-US" w:eastAsia="zh-CN"/>
                    </w:rPr>
                    <w:t>84.5</w:t>
                  </w:r>
                </w:p>
              </w:tc>
              <w:tc>
                <w:tcPr>
                  <w:tcW w:w="174" w:type="pct"/>
                  <w:vMerge w:val="continue"/>
                  <w:vAlign w:val="center"/>
                </w:tcPr>
                <w:p w14:paraId="111F99F0">
                  <w:pPr>
                    <w:widowControl/>
                    <w:jc w:val="center"/>
                    <w:textAlignment w:val="center"/>
                    <w:rPr>
                      <w:color w:val="auto"/>
                      <w:kern w:val="0"/>
                      <w:sz w:val="18"/>
                      <w:szCs w:val="18"/>
                      <w:lang w:bidi="ar"/>
                    </w:rPr>
                  </w:pPr>
                </w:p>
              </w:tc>
              <w:tc>
                <w:tcPr>
                  <w:tcW w:w="194" w:type="pct"/>
                  <w:vMerge w:val="continue"/>
                  <w:vAlign w:val="center"/>
                </w:tcPr>
                <w:p w14:paraId="0F0987CF">
                  <w:pPr>
                    <w:widowControl/>
                    <w:jc w:val="center"/>
                    <w:textAlignment w:val="center"/>
                    <w:rPr>
                      <w:color w:val="auto"/>
                      <w:kern w:val="0"/>
                      <w:sz w:val="18"/>
                      <w:szCs w:val="18"/>
                      <w:lang w:bidi="ar"/>
                    </w:rPr>
                  </w:pPr>
                </w:p>
              </w:tc>
              <w:tc>
                <w:tcPr>
                  <w:tcW w:w="282" w:type="pct"/>
                  <w:shd w:val="clear" w:color="auto" w:fill="auto"/>
                  <w:vAlign w:val="center"/>
                </w:tcPr>
                <w:p w14:paraId="66BA0E74">
                  <w:pPr>
                    <w:tabs>
                      <w:tab w:val="center" w:pos="546"/>
                    </w:tabs>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20.46</w:t>
                  </w:r>
                </w:p>
              </w:tc>
              <w:tc>
                <w:tcPr>
                  <w:tcW w:w="322" w:type="pct"/>
                  <w:shd w:val="clear" w:color="auto" w:fill="auto"/>
                  <w:vAlign w:val="center"/>
                </w:tcPr>
                <w:p w14:paraId="2D585A8D">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0.0713</w:t>
                  </w:r>
                </w:p>
              </w:tc>
              <w:tc>
                <w:tcPr>
                  <w:tcW w:w="184" w:type="pct"/>
                  <w:vMerge w:val="continue"/>
                  <w:vAlign w:val="center"/>
                </w:tcPr>
                <w:p w14:paraId="4AE7FDB4">
                  <w:pPr>
                    <w:adjustRightInd w:val="0"/>
                    <w:snapToGrid w:val="0"/>
                    <w:jc w:val="center"/>
                    <w:rPr>
                      <w:bCs/>
                      <w:color w:val="auto"/>
                      <w:sz w:val="18"/>
                      <w:szCs w:val="18"/>
                    </w:rPr>
                  </w:pPr>
                </w:p>
              </w:tc>
              <w:tc>
                <w:tcPr>
                  <w:tcW w:w="234" w:type="pct"/>
                  <w:vMerge w:val="continue"/>
                  <w:vAlign w:val="center"/>
                </w:tcPr>
                <w:p w14:paraId="58593F9B">
                  <w:pPr>
                    <w:adjustRightInd w:val="0"/>
                    <w:snapToGrid w:val="0"/>
                    <w:jc w:val="center"/>
                    <w:rPr>
                      <w:bCs/>
                      <w:color w:val="auto"/>
                      <w:sz w:val="18"/>
                      <w:szCs w:val="18"/>
                    </w:rPr>
                  </w:pPr>
                </w:p>
              </w:tc>
              <w:tc>
                <w:tcPr>
                  <w:tcW w:w="318" w:type="pct"/>
                  <w:vMerge w:val="continue"/>
                  <w:vAlign w:val="center"/>
                </w:tcPr>
                <w:p w14:paraId="17ABB6F1">
                  <w:pPr>
                    <w:adjustRightInd w:val="0"/>
                    <w:snapToGrid w:val="0"/>
                    <w:jc w:val="center"/>
                    <w:rPr>
                      <w:bCs/>
                      <w:color w:val="auto"/>
                      <w:sz w:val="18"/>
                      <w:szCs w:val="18"/>
                    </w:rPr>
                  </w:pPr>
                </w:p>
              </w:tc>
              <w:tc>
                <w:tcPr>
                  <w:tcW w:w="229" w:type="pct"/>
                  <w:vMerge w:val="continue"/>
                  <w:vAlign w:val="center"/>
                </w:tcPr>
                <w:p w14:paraId="0ABA2B38">
                  <w:pPr>
                    <w:adjustRightInd w:val="0"/>
                    <w:snapToGrid w:val="0"/>
                    <w:jc w:val="center"/>
                    <w:rPr>
                      <w:bCs/>
                      <w:color w:val="auto"/>
                      <w:sz w:val="18"/>
                      <w:szCs w:val="18"/>
                    </w:rPr>
                  </w:pPr>
                </w:p>
              </w:tc>
              <w:tc>
                <w:tcPr>
                  <w:tcW w:w="238" w:type="pct"/>
                  <w:vMerge w:val="continue"/>
                  <w:vAlign w:val="center"/>
                </w:tcPr>
                <w:p w14:paraId="12B5223D">
                  <w:pPr>
                    <w:adjustRightInd w:val="0"/>
                    <w:snapToGrid w:val="0"/>
                    <w:jc w:val="center"/>
                    <w:rPr>
                      <w:bCs/>
                      <w:color w:val="auto"/>
                      <w:sz w:val="18"/>
                      <w:szCs w:val="18"/>
                    </w:rPr>
                  </w:pPr>
                </w:p>
              </w:tc>
              <w:tc>
                <w:tcPr>
                  <w:tcW w:w="353" w:type="pct"/>
                  <w:vMerge w:val="continue"/>
                  <w:vAlign w:val="center"/>
                </w:tcPr>
                <w:p w14:paraId="1B7705D4">
                  <w:pPr>
                    <w:adjustRightInd w:val="0"/>
                    <w:snapToGrid w:val="0"/>
                    <w:jc w:val="center"/>
                    <w:rPr>
                      <w:bCs/>
                      <w:color w:val="auto"/>
                      <w:sz w:val="18"/>
                      <w:szCs w:val="18"/>
                    </w:rPr>
                  </w:pPr>
                </w:p>
              </w:tc>
              <w:tc>
                <w:tcPr>
                  <w:tcW w:w="319" w:type="pct"/>
                  <w:shd w:val="clear" w:color="auto" w:fill="auto"/>
                  <w:vAlign w:val="center"/>
                </w:tcPr>
                <w:p w14:paraId="0A4924C2">
                  <w:pPr>
                    <w:jc w:val="center"/>
                    <w:textAlignment w:val="center"/>
                    <w:rPr>
                      <w:iCs/>
                      <w:color w:val="auto"/>
                      <w:sz w:val="18"/>
                      <w:szCs w:val="18"/>
                    </w:rPr>
                  </w:pPr>
                  <w:r>
                    <w:rPr>
                      <w:rFonts w:hint="eastAsia"/>
                      <w:iCs/>
                      <w:color w:val="auto"/>
                      <w:sz w:val="18"/>
                      <w:szCs w:val="18"/>
                    </w:rPr>
                    <w:t>60</w:t>
                  </w:r>
                </w:p>
              </w:tc>
            </w:tr>
            <w:tr w14:paraId="168563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316" w:type="pct"/>
                  <w:vAlign w:val="center"/>
                </w:tcPr>
                <w:p w14:paraId="389E5B80">
                  <w:pPr>
                    <w:widowControl/>
                    <w:adjustRightInd w:val="0"/>
                    <w:snapToGrid w:val="0"/>
                    <w:jc w:val="center"/>
                    <w:textAlignment w:val="center"/>
                    <w:rPr>
                      <w:bCs/>
                      <w:color w:val="auto"/>
                      <w:sz w:val="18"/>
                      <w:szCs w:val="18"/>
                    </w:rPr>
                  </w:pPr>
                  <w:r>
                    <w:rPr>
                      <w:color w:val="auto"/>
                      <w:kern w:val="0"/>
                      <w:sz w:val="18"/>
                      <w:szCs w:val="18"/>
                      <w:lang w:bidi="ar"/>
                    </w:rPr>
                    <w:t>NH</w:t>
                  </w:r>
                  <w:r>
                    <w:rPr>
                      <w:color w:val="auto"/>
                      <w:kern w:val="0"/>
                      <w:sz w:val="18"/>
                      <w:szCs w:val="18"/>
                      <w:vertAlign w:val="subscript"/>
                      <w:lang w:bidi="ar"/>
                    </w:rPr>
                    <w:t>3</w:t>
                  </w:r>
                  <w:r>
                    <w:rPr>
                      <w:color w:val="auto"/>
                      <w:kern w:val="0"/>
                      <w:sz w:val="18"/>
                      <w:szCs w:val="18"/>
                      <w:lang w:bidi="ar"/>
                    </w:rPr>
                    <w:t>-N</w:t>
                  </w:r>
                </w:p>
              </w:tc>
              <w:tc>
                <w:tcPr>
                  <w:tcW w:w="217" w:type="pct"/>
                  <w:vMerge w:val="continue"/>
                  <w:vAlign w:val="center"/>
                </w:tcPr>
                <w:p w14:paraId="476E5A6C">
                  <w:pPr>
                    <w:adjustRightInd w:val="0"/>
                    <w:snapToGrid w:val="0"/>
                    <w:jc w:val="center"/>
                    <w:rPr>
                      <w:bCs/>
                      <w:color w:val="auto"/>
                      <w:sz w:val="18"/>
                      <w:szCs w:val="18"/>
                    </w:rPr>
                  </w:pPr>
                </w:p>
              </w:tc>
              <w:tc>
                <w:tcPr>
                  <w:tcW w:w="373" w:type="pct"/>
                  <w:shd w:val="clear" w:color="auto" w:fill="auto"/>
                  <w:vAlign w:val="center"/>
                </w:tcPr>
                <w:p w14:paraId="457E2A18">
                  <w:pPr>
                    <w:tabs>
                      <w:tab w:val="center" w:pos="546"/>
                    </w:tabs>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28</w:t>
                  </w:r>
                </w:p>
              </w:tc>
              <w:tc>
                <w:tcPr>
                  <w:tcW w:w="477" w:type="pct"/>
                  <w:shd w:val="clear" w:color="auto" w:fill="auto"/>
                  <w:vAlign w:val="center"/>
                </w:tcPr>
                <w:p w14:paraId="031ACCA5">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0.0946</w:t>
                  </w:r>
                </w:p>
              </w:tc>
              <w:tc>
                <w:tcPr>
                  <w:tcW w:w="239" w:type="pct"/>
                  <w:vMerge w:val="continue"/>
                  <w:vAlign w:val="center"/>
                </w:tcPr>
                <w:p w14:paraId="16BD2B98">
                  <w:pPr>
                    <w:widowControl/>
                    <w:jc w:val="center"/>
                    <w:textAlignment w:val="center"/>
                    <w:rPr>
                      <w:color w:val="auto"/>
                      <w:kern w:val="0"/>
                      <w:sz w:val="18"/>
                      <w:szCs w:val="18"/>
                      <w:lang w:bidi="ar"/>
                    </w:rPr>
                  </w:pPr>
                </w:p>
              </w:tc>
              <w:tc>
                <w:tcPr>
                  <w:tcW w:w="241" w:type="pct"/>
                  <w:vMerge w:val="continue"/>
                  <w:vAlign w:val="center"/>
                </w:tcPr>
                <w:p w14:paraId="482A42BC">
                  <w:pPr>
                    <w:widowControl/>
                    <w:jc w:val="center"/>
                    <w:textAlignment w:val="center"/>
                    <w:rPr>
                      <w:color w:val="auto"/>
                      <w:kern w:val="0"/>
                      <w:sz w:val="18"/>
                      <w:szCs w:val="18"/>
                      <w:lang w:bidi="ar"/>
                    </w:rPr>
                  </w:pPr>
                </w:p>
              </w:tc>
              <w:tc>
                <w:tcPr>
                  <w:tcW w:w="281" w:type="pct"/>
                  <w:shd w:val="clear" w:color="auto" w:fill="auto"/>
                  <w:vAlign w:val="center"/>
                </w:tcPr>
                <w:p w14:paraId="057F9AD8">
                  <w:pPr>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s="Times New Roman"/>
                      <w:iCs/>
                      <w:color w:val="auto"/>
                      <w:sz w:val="18"/>
                      <w:szCs w:val="18"/>
                      <w:lang w:val="en-US" w:eastAsia="zh-CN"/>
                    </w:rPr>
                    <w:t>82</w:t>
                  </w:r>
                </w:p>
              </w:tc>
              <w:tc>
                <w:tcPr>
                  <w:tcW w:w="174" w:type="pct"/>
                  <w:vMerge w:val="continue"/>
                  <w:vAlign w:val="center"/>
                </w:tcPr>
                <w:p w14:paraId="163B15F0">
                  <w:pPr>
                    <w:widowControl/>
                    <w:jc w:val="center"/>
                    <w:textAlignment w:val="center"/>
                    <w:rPr>
                      <w:color w:val="auto"/>
                      <w:kern w:val="0"/>
                      <w:sz w:val="18"/>
                      <w:szCs w:val="18"/>
                      <w:lang w:bidi="ar"/>
                    </w:rPr>
                  </w:pPr>
                </w:p>
              </w:tc>
              <w:tc>
                <w:tcPr>
                  <w:tcW w:w="194" w:type="pct"/>
                  <w:vMerge w:val="continue"/>
                  <w:vAlign w:val="center"/>
                </w:tcPr>
                <w:p w14:paraId="6EE4B9FF">
                  <w:pPr>
                    <w:widowControl/>
                    <w:jc w:val="center"/>
                    <w:textAlignment w:val="center"/>
                    <w:rPr>
                      <w:color w:val="auto"/>
                      <w:kern w:val="0"/>
                      <w:sz w:val="18"/>
                      <w:szCs w:val="18"/>
                      <w:lang w:bidi="ar"/>
                    </w:rPr>
                  </w:pPr>
                </w:p>
              </w:tc>
              <w:tc>
                <w:tcPr>
                  <w:tcW w:w="282" w:type="pct"/>
                  <w:shd w:val="clear" w:color="auto" w:fill="auto"/>
                  <w:vAlign w:val="center"/>
                </w:tcPr>
                <w:p w14:paraId="359CB503">
                  <w:pPr>
                    <w:tabs>
                      <w:tab w:val="center" w:pos="546"/>
                    </w:tabs>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5.04</w:t>
                  </w:r>
                </w:p>
              </w:tc>
              <w:tc>
                <w:tcPr>
                  <w:tcW w:w="322" w:type="pct"/>
                  <w:shd w:val="clear" w:color="auto" w:fill="auto"/>
                  <w:vAlign w:val="center"/>
                </w:tcPr>
                <w:p w14:paraId="5C70D6ED">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0.0176</w:t>
                  </w:r>
                </w:p>
              </w:tc>
              <w:tc>
                <w:tcPr>
                  <w:tcW w:w="184" w:type="pct"/>
                  <w:vMerge w:val="continue"/>
                  <w:vAlign w:val="center"/>
                </w:tcPr>
                <w:p w14:paraId="2A104576">
                  <w:pPr>
                    <w:adjustRightInd w:val="0"/>
                    <w:snapToGrid w:val="0"/>
                    <w:jc w:val="center"/>
                    <w:rPr>
                      <w:bCs/>
                      <w:color w:val="auto"/>
                      <w:sz w:val="18"/>
                      <w:szCs w:val="18"/>
                    </w:rPr>
                  </w:pPr>
                </w:p>
              </w:tc>
              <w:tc>
                <w:tcPr>
                  <w:tcW w:w="234" w:type="pct"/>
                  <w:vMerge w:val="continue"/>
                  <w:vAlign w:val="center"/>
                </w:tcPr>
                <w:p w14:paraId="6B231C96">
                  <w:pPr>
                    <w:adjustRightInd w:val="0"/>
                    <w:snapToGrid w:val="0"/>
                    <w:jc w:val="center"/>
                    <w:rPr>
                      <w:bCs/>
                      <w:color w:val="auto"/>
                      <w:sz w:val="18"/>
                      <w:szCs w:val="18"/>
                    </w:rPr>
                  </w:pPr>
                </w:p>
              </w:tc>
              <w:tc>
                <w:tcPr>
                  <w:tcW w:w="318" w:type="pct"/>
                  <w:vMerge w:val="continue"/>
                  <w:vAlign w:val="center"/>
                </w:tcPr>
                <w:p w14:paraId="34493CA4">
                  <w:pPr>
                    <w:adjustRightInd w:val="0"/>
                    <w:snapToGrid w:val="0"/>
                    <w:jc w:val="center"/>
                    <w:rPr>
                      <w:bCs/>
                      <w:color w:val="auto"/>
                      <w:sz w:val="18"/>
                      <w:szCs w:val="18"/>
                    </w:rPr>
                  </w:pPr>
                </w:p>
              </w:tc>
              <w:tc>
                <w:tcPr>
                  <w:tcW w:w="229" w:type="pct"/>
                  <w:vMerge w:val="continue"/>
                  <w:vAlign w:val="center"/>
                </w:tcPr>
                <w:p w14:paraId="552DF7DB">
                  <w:pPr>
                    <w:adjustRightInd w:val="0"/>
                    <w:snapToGrid w:val="0"/>
                    <w:jc w:val="center"/>
                    <w:rPr>
                      <w:bCs/>
                      <w:color w:val="auto"/>
                      <w:sz w:val="18"/>
                      <w:szCs w:val="18"/>
                    </w:rPr>
                  </w:pPr>
                </w:p>
              </w:tc>
              <w:tc>
                <w:tcPr>
                  <w:tcW w:w="238" w:type="pct"/>
                  <w:vMerge w:val="continue"/>
                  <w:vAlign w:val="center"/>
                </w:tcPr>
                <w:p w14:paraId="4500492A">
                  <w:pPr>
                    <w:adjustRightInd w:val="0"/>
                    <w:snapToGrid w:val="0"/>
                    <w:jc w:val="center"/>
                    <w:rPr>
                      <w:bCs/>
                      <w:color w:val="auto"/>
                      <w:sz w:val="18"/>
                      <w:szCs w:val="18"/>
                    </w:rPr>
                  </w:pPr>
                </w:p>
              </w:tc>
              <w:tc>
                <w:tcPr>
                  <w:tcW w:w="353" w:type="pct"/>
                  <w:vMerge w:val="continue"/>
                  <w:vAlign w:val="center"/>
                </w:tcPr>
                <w:p w14:paraId="618ED316">
                  <w:pPr>
                    <w:adjustRightInd w:val="0"/>
                    <w:snapToGrid w:val="0"/>
                    <w:jc w:val="center"/>
                    <w:rPr>
                      <w:bCs/>
                      <w:color w:val="auto"/>
                      <w:sz w:val="18"/>
                      <w:szCs w:val="18"/>
                    </w:rPr>
                  </w:pPr>
                </w:p>
              </w:tc>
              <w:tc>
                <w:tcPr>
                  <w:tcW w:w="319" w:type="pct"/>
                  <w:shd w:val="clear" w:color="auto" w:fill="auto"/>
                  <w:vAlign w:val="center"/>
                </w:tcPr>
                <w:p w14:paraId="5C8665AB">
                  <w:pPr>
                    <w:jc w:val="center"/>
                    <w:textAlignment w:val="center"/>
                    <w:rPr>
                      <w:rFonts w:hint="default" w:eastAsia="宋体"/>
                      <w:iCs/>
                      <w:color w:val="auto"/>
                      <w:sz w:val="18"/>
                      <w:szCs w:val="18"/>
                      <w:lang w:val="en-US" w:eastAsia="zh-CN"/>
                    </w:rPr>
                  </w:pPr>
                  <w:r>
                    <w:rPr>
                      <w:rFonts w:hint="eastAsia"/>
                      <w:iCs/>
                      <w:color w:val="auto"/>
                      <w:sz w:val="18"/>
                      <w:szCs w:val="18"/>
                      <w:lang w:val="en-US" w:eastAsia="zh-CN"/>
                    </w:rPr>
                    <w:t>24</w:t>
                  </w:r>
                </w:p>
              </w:tc>
            </w:tr>
            <w:tr w14:paraId="7584AB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16" w:type="pct"/>
                  <w:vAlign w:val="center"/>
                </w:tcPr>
                <w:p w14:paraId="0BFA28A8">
                  <w:pPr>
                    <w:widowControl/>
                    <w:adjustRightInd w:val="0"/>
                    <w:snapToGrid w:val="0"/>
                    <w:jc w:val="center"/>
                    <w:textAlignment w:val="center"/>
                    <w:rPr>
                      <w:color w:val="auto"/>
                      <w:kern w:val="0"/>
                      <w:sz w:val="18"/>
                      <w:szCs w:val="18"/>
                      <w:lang w:bidi="ar"/>
                    </w:rPr>
                  </w:pPr>
                  <w:r>
                    <w:rPr>
                      <w:rFonts w:hint="eastAsia"/>
                      <w:color w:val="auto"/>
                      <w:kern w:val="0"/>
                      <w:sz w:val="18"/>
                      <w:szCs w:val="18"/>
                      <w:lang w:bidi="ar"/>
                    </w:rPr>
                    <w:t>TP</w:t>
                  </w:r>
                </w:p>
              </w:tc>
              <w:tc>
                <w:tcPr>
                  <w:tcW w:w="217" w:type="pct"/>
                  <w:vMerge w:val="continue"/>
                  <w:vAlign w:val="center"/>
                </w:tcPr>
                <w:p w14:paraId="2181323D">
                  <w:pPr>
                    <w:adjustRightInd w:val="0"/>
                    <w:snapToGrid w:val="0"/>
                    <w:jc w:val="center"/>
                    <w:rPr>
                      <w:bCs/>
                      <w:color w:val="auto"/>
                      <w:sz w:val="18"/>
                      <w:szCs w:val="18"/>
                    </w:rPr>
                  </w:pPr>
                </w:p>
              </w:tc>
              <w:tc>
                <w:tcPr>
                  <w:tcW w:w="373" w:type="pct"/>
                  <w:shd w:val="clear" w:color="auto" w:fill="auto"/>
                  <w:vAlign w:val="center"/>
                </w:tcPr>
                <w:p w14:paraId="28CFDCFA">
                  <w:pPr>
                    <w:tabs>
                      <w:tab w:val="center" w:pos="546"/>
                    </w:tabs>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3</w:t>
                  </w:r>
                </w:p>
              </w:tc>
              <w:tc>
                <w:tcPr>
                  <w:tcW w:w="477" w:type="pct"/>
                  <w:shd w:val="clear" w:color="auto" w:fill="auto"/>
                  <w:vAlign w:val="center"/>
                </w:tcPr>
                <w:p w14:paraId="0B178A7F">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0.010</w:t>
                  </w:r>
                  <w:r>
                    <w:rPr>
                      <w:rFonts w:hint="eastAsia" w:cs="Times New Roman"/>
                      <w:color w:val="auto"/>
                      <w:sz w:val="18"/>
                      <w:szCs w:val="18"/>
                      <w:lang w:val="en-US" w:eastAsia="zh-CN"/>
                    </w:rPr>
                    <w:t>4</w:t>
                  </w:r>
                </w:p>
              </w:tc>
              <w:tc>
                <w:tcPr>
                  <w:tcW w:w="239" w:type="pct"/>
                  <w:vMerge w:val="continue"/>
                  <w:vAlign w:val="center"/>
                </w:tcPr>
                <w:p w14:paraId="4A7216AE">
                  <w:pPr>
                    <w:widowControl/>
                    <w:jc w:val="center"/>
                    <w:textAlignment w:val="center"/>
                    <w:rPr>
                      <w:color w:val="auto"/>
                      <w:kern w:val="0"/>
                      <w:sz w:val="18"/>
                      <w:szCs w:val="18"/>
                      <w:lang w:bidi="ar"/>
                    </w:rPr>
                  </w:pPr>
                </w:p>
              </w:tc>
              <w:tc>
                <w:tcPr>
                  <w:tcW w:w="241" w:type="pct"/>
                  <w:vMerge w:val="continue"/>
                  <w:vAlign w:val="center"/>
                </w:tcPr>
                <w:p w14:paraId="3DF1616D">
                  <w:pPr>
                    <w:widowControl/>
                    <w:jc w:val="center"/>
                    <w:textAlignment w:val="center"/>
                    <w:rPr>
                      <w:color w:val="auto"/>
                      <w:kern w:val="0"/>
                      <w:sz w:val="18"/>
                      <w:szCs w:val="18"/>
                      <w:lang w:bidi="ar"/>
                    </w:rPr>
                  </w:pPr>
                </w:p>
              </w:tc>
              <w:tc>
                <w:tcPr>
                  <w:tcW w:w="281" w:type="pct"/>
                  <w:shd w:val="clear" w:color="auto" w:fill="auto"/>
                  <w:vAlign w:val="center"/>
                </w:tcPr>
                <w:p w14:paraId="12C67616">
                  <w:pPr>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80.5</w:t>
                  </w:r>
                </w:p>
              </w:tc>
              <w:tc>
                <w:tcPr>
                  <w:tcW w:w="174" w:type="pct"/>
                  <w:vMerge w:val="continue"/>
                  <w:vAlign w:val="center"/>
                </w:tcPr>
                <w:p w14:paraId="392EF2D0">
                  <w:pPr>
                    <w:widowControl/>
                    <w:jc w:val="center"/>
                    <w:textAlignment w:val="center"/>
                    <w:rPr>
                      <w:color w:val="auto"/>
                      <w:kern w:val="0"/>
                      <w:sz w:val="18"/>
                      <w:szCs w:val="18"/>
                      <w:lang w:bidi="ar"/>
                    </w:rPr>
                  </w:pPr>
                </w:p>
              </w:tc>
              <w:tc>
                <w:tcPr>
                  <w:tcW w:w="194" w:type="pct"/>
                  <w:vMerge w:val="continue"/>
                  <w:vAlign w:val="center"/>
                </w:tcPr>
                <w:p w14:paraId="7187D6EE">
                  <w:pPr>
                    <w:widowControl/>
                    <w:jc w:val="center"/>
                    <w:textAlignment w:val="center"/>
                    <w:rPr>
                      <w:color w:val="auto"/>
                      <w:kern w:val="0"/>
                      <w:sz w:val="18"/>
                      <w:szCs w:val="18"/>
                      <w:lang w:bidi="ar"/>
                    </w:rPr>
                  </w:pPr>
                </w:p>
              </w:tc>
              <w:tc>
                <w:tcPr>
                  <w:tcW w:w="282" w:type="pct"/>
                  <w:shd w:val="clear" w:color="auto" w:fill="auto"/>
                  <w:vAlign w:val="center"/>
                </w:tcPr>
                <w:p w14:paraId="71AE0076">
                  <w:pPr>
                    <w:tabs>
                      <w:tab w:val="center" w:pos="546"/>
                    </w:tabs>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0.585</w:t>
                  </w:r>
                </w:p>
              </w:tc>
              <w:tc>
                <w:tcPr>
                  <w:tcW w:w="322" w:type="pct"/>
                  <w:shd w:val="clear" w:color="auto" w:fill="auto"/>
                  <w:vAlign w:val="center"/>
                </w:tcPr>
                <w:p w14:paraId="1B01BE8F">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0.00</w:t>
                  </w:r>
                  <w:r>
                    <w:rPr>
                      <w:rFonts w:hint="eastAsia" w:cs="Times New Roman"/>
                      <w:color w:val="auto"/>
                      <w:sz w:val="18"/>
                      <w:szCs w:val="18"/>
                      <w:lang w:val="en-US" w:eastAsia="zh-CN"/>
                    </w:rPr>
                    <w:t>2</w:t>
                  </w:r>
                </w:p>
              </w:tc>
              <w:tc>
                <w:tcPr>
                  <w:tcW w:w="184" w:type="pct"/>
                  <w:vMerge w:val="continue"/>
                  <w:vAlign w:val="center"/>
                </w:tcPr>
                <w:p w14:paraId="21B0230E">
                  <w:pPr>
                    <w:adjustRightInd w:val="0"/>
                    <w:snapToGrid w:val="0"/>
                    <w:jc w:val="center"/>
                    <w:rPr>
                      <w:bCs/>
                      <w:color w:val="auto"/>
                      <w:sz w:val="18"/>
                      <w:szCs w:val="18"/>
                    </w:rPr>
                  </w:pPr>
                </w:p>
              </w:tc>
              <w:tc>
                <w:tcPr>
                  <w:tcW w:w="234" w:type="pct"/>
                  <w:vMerge w:val="continue"/>
                  <w:vAlign w:val="center"/>
                </w:tcPr>
                <w:p w14:paraId="20AFCA73">
                  <w:pPr>
                    <w:adjustRightInd w:val="0"/>
                    <w:snapToGrid w:val="0"/>
                    <w:jc w:val="center"/>
                    <w:rPr>
                      <w:bCs/>
                      <w:color w:val="auto"/>
                      <w:sz w:val="18"/>
                      <w:szCs w:val="18"/>
                    </w:rPr>
                  </w:pPr>
                </w:p>
              </w:tc>
              <w:tc>
                <w:tcPr>
                  <w:tcW w:w="318" w:type="pct"/>
                  <w:vMerge w:val="continue"/>
                  <w:vAlign w:val="center"/>
                </w:tcPr>
                <w:p w14:paraId="5D4862A5">
                  <w:pPr>
                    <w:adjustRightInd w:val="0"/>
                    <w:snapToGrid w:val="0"/>
                    <w:jc w:val="center"/>
                    <w:rPr>
                      <w:bCs/>
                      <w:color w:val="auto"/>
                      <w:sz w:val="18"/>
                      <w:szCs w:val="18"/>
                    </w:rPr>
                  </w:pPr>
                </w:p>
              </w:tc>
              <w:tc>
                <w:tcPr>
                  <w:tcW w:w="229" w:type="pct"/>
                  <w:vMerge w:val="continue"/>
                  <w:vAlign w:val="center"/>
                </w:tcPr>
                <w:p w14:paraId="09929B7B">
                  <w:pPr>
                    <w:adjustRightInd w:val="0"/>
                    <w:snapToGrid w:val="0"/>
                    <w:jc w:val="center"/>
                    <w:rPr>
                      <w:bCs/>
                      <w:color w:val="auto"/>
                      <w:sz w:val="18"/>
                      <w:szCs w:val="18"/>
                    </w:rPr>
                  </w:pPr>
                </w:p>
              </w:tc>
              <w:tc>
                <w:tcPr>
                  <w:tcW w:w="238" w:type="pct"/>
                  <w:vMerge w:val="continue"/>
                  <w:vAlign w:val="center"/>
                </w:tcPr>
                <w:p w14:paraId="11090C1A">
                  <w:pPr>
                    <w:adjustRightInd w:val="0"/>
                    <w:snapToGrid w:val="0"/>
                    <w:jc w:val="center"/>
                    <w:rPr>
                      <w:bCs/>
                      <w:color w:val="auto"/>
                      <w:sz w:val="18"/>
                      <w:szCs w:val="18"/>
                    </w:rPr>
                  </w:pPr>
                </w:p>
              </w:tc>
              <w:tc>
                <w:tcPr>
                  <w:tcW w:w="353" w:type="pct"/>
                  <w:vMerge w:val="continue"/>
                  <w:vAlign w:val="center"/>
                </w:tcPr>
                <w:p w14:paraId="2AB66056">
                  <w:pPr>
                    <w:adjustRightInd w:val="0"/>
                    <w:snapToGrid w:val="0"/>
                    <w:jc w:val="center"/>
                    <w:rPr>
                      <w:bCs/>
                      <w:color w:val="auto"/>
                      <w:sz w:val="18"/>
                      <w:szCs w:val="18"/>
                    </w:rPr>
                  </w:pPr>
                </w:p>
              </w:tc>
              <w:tc>
                <w:tcPr>
                  <w:tcW w:w="319" w:type="pct"/>
                  <w:shd w:val="clear" w:color="auto" w:fill="auto"/>
                  <w:vAlign w:val="center"/>
                </w:tcPr>
                <w:p w14:paraId="4B49FEE4">
                  <w:pPr>
                    <w:jc w:val="center"/>
                    <w:textAlignment w:val="center"/>
                    <w:rPr>
                      <w:rFonts w:hint="eastAsia" w:eastAsia="宋体"/>
                      <w:color w:val="auto"/>
                      <w:sz w:val="18"/>
                      <w:szCs w:val="18"/>
                      <w:lang w:eastAsia="zh-CN"/>
                    </w:rPr>
                  </w:pPr>
                  <w:r>
                    <w:rPr>
                      <w:rFonts w:hint="eastAsia"/>
                      <w:color w:val="auto"/>
                      <w:sz w:val="18"/>
                      <w:szCs w:val="18"/>
                      <w:lang w:val="en-US" w:eastAsia="zh-CN"/>
                    </w:rPr>
                    <w:t>2</w:t>
                  </w:r>
                </w:p>
              </w:tc>
            </w:tr>
            <w:tr w14:paraId="29E64D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316" w:type="pct"/>
                  <w:vAlign w:val="center"/>
                </w:tcPr>
                <w:p w14:paraId="0D562265">
                  <w:pPr>
                    <w:widowControl/>
                    <w:adjustRightInd w:val="0"/>
                    <w:snapToGrid w:val="0"/>
                    <w:jc w:val="center"/>
                    <w:textAlignment w:val="center"/>
                    <w:rPr>
                      <w:color w:val="auto"/>
                      <w:kern w:val="0"/>
                      <w:sz w:val="18"/>
                      <w:szCs w:val="18"/>
                      <w:lang w:bidi="ar"/>
                    </w:rPr>
                  </w:pPr>
                  <w:r>
                    <w:rPr>
                      <w:rFonts w:hint="eastAsia"/>
                      <w:color w:val="auto"/>
                      <w:kern w:val="0"/>
                      <w:sz w:val="18"/>
                      <w:szCs w:val="18"/>
                      <w:lang w:bidi="ar"/>
                    </w:rPr>
                    <w:t>TN</w:t>
                  </w:r>
                </w:p>
              </w:tc>
              <w:tc>
                <w:tcPr>
                  <w:tcW w:w="217" w:type="pct"/>
                  <w:vMerge w:val="continue"/>
                  <w:vAlign w:val="center"/>
                </w:tcPr>
                <w:p w14:paraId="2EF7B806">
                  <w:pPr>
                    <w:adjustRightInd w:val="0"/>
                    <w:snapToGrid w:val="0"/>
                    <w:jc w:val="center"/>
                    <w:rPr>
                      <w:bCs/>
                      <w:color w:val="auto"/>
                      <w:sz w:val="18"/>
                      <w:szCs w:val="18"/>
                    </w:rPr>
                  </w:pPr>
                </w:p>
              </w:tc>
              <w:tc>
                <w:tcPr>
                  <w:tcW w:w="373" w:type="pct"/>
                  <w:shd w:val="clear" w:color="auto" w:fill="auto"/>
                  <w:vAlign w:val="center"/>
                </w:tcPr>
                <w:p w14:paraId="5B70FC45">
                  <w:pPr>
                    <w:tabs>
                      <w:tab w:val="center" w:pos="546"/>
                    </w:tabs>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30</w:t>
                  </w:r>
                </w:p>
              </w:tc>
              <w:tc>
                <w:tcPr>
                  <w:tcW w:w="477" w:type="pct"/>
                  <w:shd w:val="clear" w:color="auto" w:fill="auto"/>
                  <w:vAlign w:val="center"/>
                </w:tcPr>
                <w:p w14:paraId="750934E1">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0.10</w:t>
                  </w:r>
                  <w:r>
                    <w:rPr>
                      <w:rFonts w:hint="eastAsia" w:cs="Times New Roman"/>
                      <w:color w:val="auto"/>
                      <w:sz w:val="18"/>
                      <w:szCs w:val="18"/>
                      <w:lang w:val="en-US" w:eastAsia="zh-CN"/>
                    </w:rPr>
                    <w:t>45</w:t>
                  </w:r>
                </w:p>
              </w:tc>
              <w:tc>
                <w:tcPr>
                  <w:tcW w:w="239" w:type="pct"/>
                  <w:vMerge w:val="continue"/>
                  <w:vAlign w:val="center"/>
                </w:tcPr>
                <w:p w14:paraId="549FB6C1">
                  <w:pPr>
                    <w:widowControl/>
                    <w:jc w:val="center"/>
                    <w:textAlignment w:val="center"/>
                    <w:rPr>
                      <w:color w:val="auto"/>
                      <w:kern w:val="0"/>
                      <w:sz w:val="18"/>
                      <w:szCs w:val="18"/>
                      <w:lang w:bidi="ar"/>
                    </w:rPr>
                  </w:pPr>
                </w:p>
              </w:tc>
              <w:tc>
                <w:tcPr>
                  <w:tcW w:w="241" w:type="pct"/>
                  <w:vMerge w:val="continue"/>
                  <w:vAlign w:val="center"/>
                </w:tcPr>
                <w:p w14:paraId="6CC1D7EC">
                  <w:pPr>
                    <w:widowControl/>
                    <w:jc w:val="center"/>
                    <w:textAlignment w:val="center"/>
                    <w:rPr>
                      <w:color w:val="auto"/>
                      <w:kern w:val="0"/>
                      <w:sz w:val="18"/>
                      <w:szCs w:val="18"/>
                      <w:lang w:bidi="ar"/>
                    </w:rPr>
                  </w:pPr>
                </w:p>
              </w:tc>
              <w:tc>
                <w:tcPr>
                  <w:tcW w:w="281" w:type="pct"/>
                  <w:shd w:val="clear" w:color="auto" w:fill="auto"/>
                  <w:vAlign w:val="center"/>
                </w:tcPr>
                <w:p w14:paraId="3E21AF37">
                  <w:pPr>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75.5</w:t>
                  </w:r>
                </w:p>
              </w:tc>
              <w:tc>
                <w:tcPr>
                  <w:tcW w:w="174" w:type="pct"/>
                  <w:vMerge w:val="continue"/>
                  <w:vAlign w:val="center"/>
                </w:tcPr>
                <w:p w14:paraId="48E4414F">
                  <w:pPr>
                    <w:widowControl/>
                    <w:jc w:val="center"/>
                    <w:textAlignment w:val="center"/>
                    <w:rPr>
                      <w:color w:val="auto"/>
                      <w:kern w:val="0"/>
                      <w:sz w:val="18"/>
                      <w:szCs w:val="18"/>
                      <w:lang w:bidi="ar"/>
                    </w:rPr>
                  </w:pPr>
                </w:p>
              </w:tc>
              <w:tc>
                <w:tcPr>
                  <w:tcW w:w="194" w:type="pct"/>
                  <w:vMerge w:val="continue"/>
                  <w:vAlign w:val="center"/>
                </w:tcPr>
                <w:p w14:paraId="2B8B8D11">
                  <w:pPr>
                    <w:widowControl/>
                    <w:jc w:val="center"/>
                    <w:textAlignment w:val="center"/>
                    <w:rPr>
                      <w:color w:val="auto"/>
                      <w:kern w:val="0"/>
                      <w:sz w:val="18"/>
                      <w:szCs w:val="18"/>
                      <w:lang w:bidi="ar"/>
                    </w:rPr>
                  </w:pPr>
                </w:p>
              </w:tc>
              <w:tc>
                <w:tcPr>
                  <w:tcW w:w="282" w:type="pct"/>
                  <w:shd w:val="clear" w:color="auto" w:fill="auto"/>
                  <w:vAlign w:val="center"/>
                </w:tcPr>
                <w:p w14:paraId="64B3F2BF">
                  <w:pPr>
                    <w:tabs>
                      <w:tab w:val="center" w:pos="546"/>
                    </w:tabs>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7.35</w:t>
                  </w:r>
                </w:p>
              </w:tc>
              <w:tc>
                <w:tcPr>
                  <w:tcW w:w="322" w:type="pct"/>
                  <w:shd w:val="clear" w:color="auto" w:fill="auto"/>
                  <w:vAlign w:val="center"/>
                </w:tcPr>
                <w:p w14:paraId="5AFC1968">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0.0256</w:t>
                  </w:r>
                </w:p>
              </w:tc>
              <w:tc>
                <w:tcPr>
                  <w:tcW w:w="184" w:type="pct"/>
                  <w:vMerge w:val="continue"/>
                  <w:vAlign w:val="center"/>
                </w:tcPr>
                <w:p w14:paraId="10954689">
                  <w:pPr>
                    <w:adjustRightInd w:val="0"/>
                    <w:snapToGrid w:val="0"/>
                    <w:jc w:val="center"/>
                    <w:rPr>
                      <w:bCs/>
                      <w:color w:val="auto"/>
                      <w:sz w:val="18"/>
                      <w:szCs w:val="18"/>
                    </w:rPr>
                  </w:pPr>
                </w:p>
              </w:tc>
              <w:tc>
                <w:tcPr>
                  <w:tcW w:w="234" w:type="pct"/>
                  <w:vMerge w:val="continue"/>
                  <w:vAlign w:val="center"/>
                </w:tcPr>
                <w:p w14:paraId="12420167">
                  <w:pPr>
                    <w:adjustRightInd w:val="0"/>
                    <w:snapToGrid w:val="0"/>
                    <w:jc w:val="center"/>
                    <w:rPr>
                      <w:bCs/>
                      <w:color w:val="auto"/>
                      <w:sz w:val="18"/>
                      <w:szCs w:val="18"/>
                    </w:rPr>
                  </w:pPr>
                </w:p>
              </w:tc>
              <w:tc>
                <w:tcPr>
                  <w:tcW w:w="318" w:type="pct"/>
                  <w:vMerge w:val="continue"/>
                  <w:vAlign w:val="center"/>
                </w:tcPr>
                <w:p w14:paraId="47081C01">
                  <w:pPr>
                    <w:adjustRightInd w:val="0"/>
                    <w:snapToGrid w:val="0"/>
                    <w:jc w:val="center"/>
                    <w:rPr>
                      <w:bCs/>
                      <w:color w:val="auto"/>
                      <w:sz w:val="18"/>
                      <w:szCs w:val="18"/>
                    </w:rPr>
                  </w:pPr>
                </w:p>
              </w:tc>
              <w:tc>
                <w:tcPr>
                  <w:tcW w:w="229" w:type="pct"/>
                  <w:vMerge w:val="continue"/>
                  <w:vAlign w:val="center"/>
                </w:tcPr>
                <w:p w14:paraId="400D7F49">
                  <w:pPr>
                    <w:adjustRightInd w:val="0"/>
                    <w:snapToGrid w:val="0"/>
                    <w:jc w:val="center"/>
                    <w:rPr>
                      <w:bCs/>
                      <w:color w:val="auto"/>
                      <w:sz w:val="18"/>
                      <w:szCs w:val="18"/>
                    </w:rPr>
                  </w:pPr>
                </w:p>
              </w:tc>
              <w:tc>
                <w:tcPr>
                  <w:tcW w:w="238" w:type="pct"/>
                  <w:vMerge w:val="continue"/>
                  <w:vAlign w:val="center"/>
                </w:tcPr>
                <w:p w14:paraId="3481437C">
                  <w:pPr>
                    <w:adjustRightInd w:val="0"/>
                    <w:snapToGrid w:val="0"/>
                    <w:jc w:val="center"/>
                    <w:rPr>
                      <w:bCs/>
                      <w:color w:val="auto"/>
                      <w:sz w:val="18"/>
                      <w:szCs w:val="18"/>
                    </w:rPr>
                  </w:pPr>
                </w:p>
              </w:tc>
              <w:tc>
                <w:tcPr>
                  <w:tcW w:w="353" w:type="pct"/>
                  <w:vMerge w:val="continue"/>
                  <w:vAlign w:val="center"/>
                </w:tcPr>
                <w:p w14:paraId="52EF91B7">
                  <w:pPr>
                    <w:adjustRightInd w:val="0"/>
                    <w:snapToGrid w:val="0"/>
                    <w:jc w:val="center"/>
                    <w:rPr>
                      <w:bCs/>
                      <w:color w:val="auto"/>
                      <w:sz w:val="18"/>
                      <w:szCs w:val="18"/>
                    </w:rPr>
                  </w:pPr>
                </w:p>
              </w:tc>
              <w:tc>
                <w:tcPr>
                  <w:tcW w:w="319" w:type="pct"/>
                  <w:shd w:val="clear" w:color="auto" w:fill="auto"/>
                  <w:vAlign w:val="center"/>
                </w:tcPr>
                <w:p w14:paraId="232AC0AC">
                  <w:pPr>
                    <w:jc w:val="center"/>
                    <w:textAlignment w:val="center"/>
                    <w:rPr>
                      <w:rFonts w:hint="default" w:eastAsia="宋体"/>
                      <w:color w:val="auto"/>
                      <w:sz w:val="18"/>
                      <w:szCs w:val="18"/>
                      <w:lang w:val="en-US" w:eastAsia="zh-CN"/>
                    </w:rPr>
                  </w:pPr>
                  <w:r>
                    <w:rPr>
                      <w:rFonts w:hint="eastAsia"/>
                      <w:color w:val="auto"/>
                      <w:sz w:val="18"/>
                      <w:szCs w:val="18"/>
                      <w:lang w:val="en-US" w:eastAsia="zh-CN"/>
                    </w:rPr>
                    <w:t>30</w:t>
                  </w:r>
                </w:p>
              </w:tc>
            </w:tr>
            <w:tr w14:paraId="0B3CC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vAlign w:val="center"/>
                </w:tcPr>
                <w:p w14:paraId="51DB0B73">
                  <w:pPr>
                    <w:widowControl/>
                    <w:adjustRightInd w:val="0"/>
                    <w:snapToGrid w:val="0"/>
                    <w:jc w:val="center"/>
                    <w:textAlignment w:val="center"/>
                    <w:rPr>
                      <w:color w:val="auto"/>
                      <w:kern w:val="0"/>
                      <w:sz w:val="18"/>
                      <w:szCs w:val="18"/>
                      <w:lang w:bidi="ar"/>
                    </w:rPr>
                  </w:pPr>
                  <w:r>
                    <w:rPr>
                      <w:rFonts w:hint="eastAsia" w:cs="宋体"/>
                      <w:color w:val="auto"/>
                      <w:kern w:val="0"/>
                      <w:sz w:val="18"/>
                      <w:szCs w:val="18"/>
                      <w:lang w:bidi="ar"/>
                    </w:rPr>
                    <w:t>粪大肠菌群数</w:t>
                  </w:r>
                </w:p>
              </w:tc>
              <w:tc>
                <w:tcPr>
                  <w:tcW w:w="217" w:type="pct"/>
                  <w:vMerge w:val="continue"/>
                  <w:vAlign w:val="center"/>
                </w:tcPr>
                <w:p w14:paraId="4CDC5851">
                  <w:pPr>
                    <w:adjustRightInd w:val="0"/>
                    <w:snapToGrid w:val="0"/>
                    <w:jc w:val="center"/>
                    <w:rPr>
                      <w:bCs/>
                      <w:color w:val="auto"/>
                      <w:sz w:val="18"/>
                      <w:szCs w:val="18"/>
                    </w:rPr>
                  </w:pPr>
                </w:p>
              </w:tc>
              <w:tc>
                <w:tcPr>
                  <w:tcW w:w="373" w:type="pct"/>
                  <w:shd w:val="clear" w:color="auto" w:fill="auto"/>
                  <w:vAlign w:val="center"/>
                </w:tcPr>
                <w:p w14:paraId="532158DA">
                  <w:pPr>
                    <w:tabs>
                      <w:tab w:val="center" w:pos="546"/>
                    </w:tabs>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2</w:t>
                  </w:r>
                  <w:r>
                    <w:rPr>
                      <w:rFonts w:hint="default" w:ascii="Times New Roman" w:hAnsi="Times New Roman" w:cs="Times New Roman"/>
                      <w:iCs/>
                      <w:color w:val="auto"/>
                      <w:sz w:val="18"/>
                      <w:szCs w:val="18"/>
                    </w:rPr>
                    <w:t>×10</w:t>
                  </w:r>
                  <w:r>
                    <w:rPr>
                      <w:rFonts w:hint="default" w:ascii="Times New Roman" w:hAnsi="Times New Roman" w:cs="Times New Roman"/>
                      <w:iCs/>
                      <w:color w:val="auto"/>
                      <w:sz w:val="18"/>
                      <w:szCs w:val="18"/>
                      <w:vertAlign w:val="superscript"/>
                      <w:lang w:val="en-US" w:eastAsia="zh-CN"/>
                    </w:rPr>
                    <w:t>6</w:t>
                  </w:r>
                  <w:r>
                    <w:rPr>
                      <w:rFonts w:hint="default" w:ascii="Times New Roman" w:hAnsi="Times New Roman" w:cs="Times New Roman"/>
                      <w:iCs/>
                      <w:color w:val="auto"/>
                      <w:sz w:val="18"/>
                      <w:szCs w:val="18"/>
                    </w:rPr>
                    <w:t>个/L</w:t>
                  </w:r>
                </w:p>
              </w:tc>
              <w:tc>
                <w:tcPr>
                  <w:tcW w:w="477" w:type="pct"/>
                  <w:shd w:val="clear" w:color="auto" w:fill="auto"/>
                  <w:vAlign w:val="center"/>
                </w:tcPr>
                <w:p w14:paraId="5BFE3F7A">
                  <w:pPr>
                    <w:widowControl/>
                    <w:jc w:val="center"/>
                    <w:textAlignment w:val="center"/>
                    <w:rPr>
                      <w:color w:val="auto"/>
                      <w:kern w:val="0"/>
                      <w:sz w:val="18"/>
                      <w:szCs w:val="18"/>
                      <w:lang w:bidi="ar"/>
                    </w:rPr>
                  </w:pPr>
                  <w:r>
                    <w:rPr>
                      <w:color w:val="auto"/>
                      <w:kern w:val="0"/>
                      <w:sz w:val="18"/>
                      <w:szCs w:val="18"/>
                      <w:lang w:bidi="ar"/>
                    </w:rPr>
                    <w:t>/</w:t>
                  </w:r>
                </w:p>
              </w:tc>
              <w:tc>
                <w:tcPr>
                  <w:tcW w:w="239" w:type="pct"/>
                  <w:vMerge w:val="continue"/>
                  <w:vAlign w:val="center"/>
                </w:tcPr>
                <w:p w14:paraId="44F2BB20">
                  <w:pPr>
                    <w:widowControl/>
                    <w:jc w:val="center"/>
                    <w:textAlignment w:val="center"/>
                    <w:rPr>
                      <w:color w:val="auto"/>
                      <w:kern w:val="0"/>
                      <w:sz w:val="18"/>
                      <w:szCs w:val="18"/>
                      <w:lang w:bidi="ar"/>
                    </w:rPr>
                  </w:pPr>
                </w:p>
              </w:tc>
              <w:tc>
                <w:tcPr>
                  <w:tcW w:w="241" w:type="pct"/>
                  <w:vMerge w:val="continue"/>
                  <w:vAlign w:val="center"/>
                </w:tcPr>
                <w:p w14:paraId="1A8ECB18">
                  <w:pPr>
                    <w:widowControl/>
                    <w:jc w:val="center"/>
                    <w:textAlignment w:val="center"/>
                    <w:rPr>
                      <w:color w:val="auto"/>
                      <w:kern w:val="0"/>
                      <w:sz w:val="18"/>
                      <w:szCs w:val="18"/>
                      <w:lang w:bidi="ar"/>
                    </w:rPr>
                  </w:pPr>
                </w:p>
              </w:tc>
              <w:tc>
                <w:tcPr>
                  <w:tcW w:w="281" w:type="pct"/>
                  <w:shd w:val="clear" w:color="auto" w:fill="auto"/>
                  <w:vAlign w:val="center"/>
                </w:tcPr>
                <w:p w14:paraId="06351567">
                  <w:pPr>
                    <w:tabs>
                      <w:tab w:val="center" w:pos="546"/>
                    </w:tabs>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99.</w:t>
                  </w:r>
                  <w:r>
                    <w:rPr>
                      <w:rFonts w:hint="eastAsia" w:cs="Times New Roman"/>
                      <w:color w:val="auto"/>
                      <w:sz w:val="18"/>
                      <w:szCs w:val="18"/>
                      <w:lang w:val="en-US" w:eastAsia="zh-CN"/>
                    </w:rPr>
                    <w:t>9</w:t>
                  </w:r>
                </w:p>
              </w:tc>
              <w:tc>
                <w:tcPr>
                  <w:tcW w:w="174" w:type="pct"/>
                  <w:vMerge w:val="continue"/>
                  <w:vAlign w:val="center"/>
                </w:tcPr>
                <w:p w14:paraId="45F15A7C">
                  <w:pPr>
                    <w:widowControl/>
                    <w:jc w:val="center"/>
                    <w:textAlignment w:val="center"/>
                    <w:rPr>
                      <w:color w:val="auto"/>
                      <w:kern w:val="0"/>
                      <w:sz w:val="18"/>
                      <w:szCs w:val="18"/>
                      <w:lang w:bidi="ar"/>
                    </w:rPr>
                  </w:pPr>
                </w:p>
              </w:tc>
              <w:tc>
                <w:tcPr>
                  <w:tcW w:w="194" w:type="pct"/>
                  <w:vMerge w:val="continue"/>
                  <w:vAlign w:val="center"/>
                </w:tcPr>
                <w:p w14:paraId="7E46F633">
                  <w:pPr>
                    <w:widowControl/>
                    <w:jc w:val="center"/>
                    <w:textAlignment w:val="center"/>
                    <w:rPr>
                      <w:color w:val="auto"/>
                      <w:kern w:val="0"/>
                      <w:sz w:val="18"/>
                      <w:szCs w:val="18"/>
                      <w:lang w:bidi="ar"/>
                    </w:rPr>
                  </w:pPr>
                </w:p>
              </w:tc>
              <w:tc>
                <w:tcPr>
                  <w:tcW w:w="282" w:type="pct"/>
                  <w:shd w:val="clear" w:color="auto" w:fill="auto"/>
                  <w:vAlign w:val="center"/>
                </w:tcPr>
                <w:p w14:paraId="5F1A7739">
                  <w:pPr>
                    <w:tabs>
                      <w:tab w:val="center" w:pos="546"/>
                    </w:tabs>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2000</w:t>
                  </w:r>
                  <w:r>
                    <w:rPr>
                      <w:rFonts w:hint="default" w:ascii="Times New Roman" w:hAnsi="Times New Roman" w:cs="Times New Roman"/>
                      <w:iCs/>
                      <w:color w:val="auto"/>
                      <w:sz w:val="18"/>
                      <w:szCs w:val="18"/>
                    </w:rPr>
                    <w:t>个/L</w:t>
                  </w:r>
                </w:p>
              </w:tc>
              <w:tc>
                <w:tcPr>
                  <w:tcW w:w="322" w:type="pct"/>
                  <w:shd w:val="clear" w:color="auto" w:fill="auto"/>
                  <w:vAlign w:val="center"/>
                </w:tcPr>
                <w:p w14:paraId="3BB0F147">
                  <w:pPr>
                    <w:widowControl/>
                    <w:jc w:val="center"/>
                    <w:textAlignment w:val="center"/>
                    <w:rPr>
                      <w:color w:val="auto"/>
                      <w:kern w:val="0"/>
                      <w:sz w:val="18"/>
                      <w:szCs w:val="18"/>
                      <w:lang w:bidi="ar"/>
                    </w:rPr>
                  </w:pPr>
                  <w:r>
                    <w:rPr>
                      <w:color w:val="auto"/>
                      <w:kern w:val="0"/>
                      <w:sz w:val="18"/>
                      <w:szCs w:val="18"/>
                      <w:lang w:bidi="ar"/>
                    </w:rPr>
                    <w:t>/</w:t>
                  </w:r>
                </w:p>
              </w:tc>
              <w:tc>
                <w:tcPr>
                  <w:tcW w:w="184" w:type="pct"/>
                  <w:vMerge w:val="continue"/>
                  <w:vAlign w:val="center"/>
                </w:tcPr>
                <w:p w14:paraId="495D72D1">
                  <w:pPr>
                    <w:adjustRightInd w:val="0"/>
                    <w:snapToGrid w:val="0"/>
                    <w:jc w:val="center"/>
                    <w:rPr>
                      <w:bCs/>
                      <w:color w:val="auto"/>
                      <w:sz w:val="18"/>
                      <w:szCs w:val="18"/>
                    </w:rPr>
                  </w:pPr>
                </w:p>
              </w:tc>
              <w:tc>
                <w:tcPr>
                  <w:tcW w:w="234" w:type="pct"/>
                  <w:vMerge w:val="continue"/>
                  <w:vAlign w:val="center"/>
                </w:tcPr>
                <w:p w14:paraId="41392E7C">
                  <w:pPr>
                    <w:adjustRightInd w:val="0"/>
                    <w:snapToGrid w:val="0"/>
                    <w:jc w:val="center"/>
                    <w:rPr>
                      <w:bCs/>
                      <w:color w:val="auto"/>
                      <w:sz w:val="18"/>
                      <w:szCs w:val="18"/>
                    </w:rPr>
                  </w:pPr>
                </w:p>
              </w:tc>
              <w:tc>
                <w:tcPr>
                  <w:tcW w:w="318" w:type="pct"/>
                  <w:vMerge w:val="continue"/>
                  <w:vAlign w:val="center"/>
                </w:tcPr>
                <w:p w14:paraId="03AE0F3A">
                  <w:pPr>
                    <w:adjustRightInd w:val="0"/>
                    <w:snapToGrid w:val="0"/>
                    <w:jc w:val="center"/>
                    <w:rPr>
                      <w:bCs/>
                      <w:color w:val="auto"/>
                      <w:sz w:val="18"/>
                      <w:szCs w:val="18"/>
                    </w:rPr>
                  </w:pPr>
                </w:p>
              </w:tc>
              <w:tc>
                <w:tcPr>
                  <w:tcW w:w="229" w:type="pct"/>
                  <w:vMerge w:val="continue"/>
                  <w:vAlign w:val="center"/>
                </w:tcPr>
                <w:p w14:paraId="160E64CB">
                  <w:pPr>
                    <w:adjustRightInd w:val="0"/>
                    <w:snapToGrid w:val="0"/>
                    <w:jc w:val="center"/>
                    <w:rPr>
                      <w:bCs/>
                      <w:color w:val="auto"/>
                      <w:sz w:val="18"/>
                      <w:szCs w:val="18"/>
                    </w:rPr>
                  </w:pPr>
                </w:p>
              </w:tc>
              <w:tc>
                <w:tcPr>
                  <w:tcW w:w="238" w:type="pct"/>
                  <w:vMerge w:val="continue"/>
                  <w:vAlign w:val="center"/>
                </w:tcPr>
                <w:p w14:paraId="7A5F38B3">
                  <w:pPr>
                    <w:adjustRightInd w:val="0"/>
                    <w:snapToGrid w:val="0"/>
                    <w:jc w:val="center"/>
                    <w:rPr>
                      <w:bCs/>
                      <w:color w:val="auto"/>
                      <w:sz w:val="18"/>
                      <w:szCs w:val="18"/>
                    </w:rPr>
                  </w:pPr>
                </w:p>
              </w:tc>
              <w:tc>
                <w:tcPr>
                  <w:tcW w:w="353" w:type="pct"/>
                  <w:vMerge w:val="continue"/>
                  <w:vAlign w:val="center"/>
                </w:tcPr>
                <w:p w14:paraId="0C006479">
                  <w:pPr>
                    <w:adjustRightInd w:val="0"/>
                    <w:snapToGrid w:val="0"/>
                    <w:jc w:val="center"/>
                    <w:rPr>
                      <w:bCs/>
                      <w:color w:val="auto"/>
                      <w:sz w:val="18"/>
                      <w:szCs w:val="18"/>
                    </w:rPr>
                  </w:pPr>
                </w:p>
              </w:tc>
              <w:tc>
                <w:tcPr>
                  <w:tcW w:w="319" w:type="pct"/>
                  <w:shd w:val="clear" w:color="auto" w:fill="auto"/>
                  <w:vAlign w:val="center"/>
                </w:tcPr>
                <w:p w14:paraId="67A2C2B6">
                  <w:pPr>
                    <w:tabs>
                      <w:tab w:val="center" w:pos="546"/>
                    </w:tabs>
                    <w:jc w:val="center"/>
                    <w:rPr>
                      <w:color w:val="auto"/>
                      <w:sz w:val="18"/>
                      <w:szCs w:val="18"/>
                    </w:rPr>
                  </w:pPr>
                  <w:r>
                    <w:rPr>
                      <w:rFonts w:hint="eastAsia"/>
                      <w:color w:val="auto"/>
                      <w:sz w:val="18"/>
                      <w:szCs w:val="18"/>
                    </w:rPr>
                    <w:t>5000个/L</w:t>
                  </w:r>
                </w:p>
              </w:tc>
            </w:tr>
            <w:tr w14:paraId="3057F5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vAlign w:val="center"/>
                </w:tcPr>
                <w:p w14:paraId="383EBF89">
                  <w:pPr>
                    <w:widowControl/>
                    <w:adjustRightInd w:val="0"/>
                    <w:snapToGrid w:val="0"/>
                    <w:jc w:val="center"/>
                    <w:textAlignment w:val="center"/>
                    <w:rPr>
                      <w:color w:val="auto"/>
                      <w:kern w:val="0"/>
                      <w:sz w:val="18"/>
                      <w:szCs w:val="18"/>
                      <w:lang w:bidi="ar"/>
                    </w:rPr>
                  </w:pPr>
                  <w:r>
                    <w:rPr>
                      <w:rFonts w:hint="eastAsia"/>
                      <w:color w:val="auto"/>
                      <w:kern w:val="0"/>
                      <w:sz w:val="18"/>
                      <w:szCs w:val="18"/>
                      <w:lang w:bidi="ar"/>
                    </w:rPr>
                    <w:t>总余氯</w:t>
                  </w:r>
                </w:p>
              </w:tc>
              <w:tc>
                <w:tcPr>
                  <w:tcW w:w="217" w:type="pct"/>
                  <w:vMerge w:val="continue"/>
                  <w:vAlign w:val="center"/>
                </w:tcPr>
                <w:p w14:paraId="7018FA80">
                  <w:pPr>
                    <w:adjustRightInd w:val="0"/>
                    <w:snapToGrid w:val="0"/>
                    <w:jc w:val="center"/>
                    <w:rPr>
                      <w:bCs/>
                      <w:color w:val="auto"/>
                      <w:sz w:val="18"/>
                      <w:szCs w:val="18"/>
                    </w:rPr>
                  </w:pPr>
                </w:p>
              </w:tc>
              <w:tc>
                <w:tcPr>
                  <w:tcW w:w="373" w:type="pct"/>
                  <w:vAlign w:val="center"/>
                </w:tcPr>
                <w:p w14:paraId="2DC26B10">
                  <w:pPr>
                    <w:widowControl/>
                    <w:jc w:val="center"/>
                    <w:textAlignment w:val="center"/>
                    <w:rPr>
                      <w:color w:val="auto"/>
                      <w:kern w:val="0"/>
                      <w:sz w:val="18"/>
                      <w:szCs w:val="18"/>
                      <w:lang w:bidi="ar"/>
                    </w:rPr>
                  </w:pPr>
                  <w:r>
                    <w:rPr>
                      <w:color w:val="auto"/>
                      <w:kern w:val="0"/>
                      <w:sz w:val="18"/>
                      <w:szCs w:val="18"/>
                      <w:lang w:bidi="ar"/>
                    </w:rPr>
                    <w:t>/</w:t>
                  </w:r>
                </w:p>
              </w:tc>
              <w:tc>
                <w:tcPr>
                  <w:tcW w:w="477" w:type="pct"/>
                  <w:vAlign w:val="center"/>
                </w:tcPr>
                <w:p w14:paraId="0D5953C5">
                  <w:pPr>
                    <w:widowControl/>
                    <w:jc w:val="center"/>
                    <w:textAlignment w:val="center"/>
                    <w:rPr>
                      <w:color w:val="auto"/>
                      <w:kern w:val="0"/>
                      <w:sz w:val="18"/>
                      <w:szCs w:val="18"/>
                      <w:lang w:bidi="ar"/>
                    </w:rPr>
                  </w:pPr>
                  <w:r>
                    <w:rPr>
                      <w:color w:val="auto"/>
                      <w:kern w:val="0"/>
                      <w:sz w:val="18"/>
                      <w:szCs w:val="18"/>
                      <w:lang w:bidi="ar"/>
                    </w:rPr>
                    <w:t>/</w:t>
                  </w:r>
                </w:p>
              </w:tc>
              <w:tc>
                <w:tcPr>
                  <w:tcW w:w="239" w:type="pct"/>
                  <w:vMerge w:val="continue"/>
                  <w:vAlign w:val="center"/>
                </w:tcPr>
                <w:p w14:paraId="0B69FF1E">
                  <w:pPr>
                    <w:widowControl/>
                    <w:jc w:val="center"/>
                    <w:textAlignment w:val="center"/>
                    <w:rPr>
                      <w:color w:val="auto"/>
                      <w:kern w:val="0"/>
                      <w:sz w:val="18"/>
                      <w:szCs w:val="18"/>
                      <w:lang w:bidi="ar"/>
                    </w:rPr>
                  </w:pPr>
                </w:p>
              </w:tc>
              <w:tc>
                <w:tcPr>
                  <w:tcW w:w="241" w:type="pct"/>
                  <w:vMerge w:val="continue"/>
                  <w:vAlign w:val="center"/>
                </w:tcPr>
                <w:p w14:paraId="73478C1E">
                  <w:pPr>
                    <w:widowControl/>
                    <w:jc w:val="center"/>
                    <w:textAlignment w:val="center"/>
                    <w:rPr>
                      <w:color w:val="auto"/>
                      <w:kern w:val="0"/>
                      <w:sz w:val="18"/>
                      <w:szCs w:val="18"/>
                      <w:lang w:bidi="ar"/>
                    </w:rPr>
                  </w:pPr>
                </w:p>
              </w:tc>
              <w:tc>
                <w:tcPr>
                  <w:tcW w:w="281" w:type="pct"/>
                  <w:vAlign w:val="center"/>
                </w:tcPr>
                <w:p w14:paraId="112F2E4C">
                  <w:pPr>
                    <w:widowControl/>
                    <w:jc w:val="center"/>
                    <w:textAlignment w:val="center"/>
                    <w:rPr>
                      <w:color w:val="auto"/>
                      <w:kern w:val="0"/>
                      <w:sz w:val="18"/>
                      <w:szCs w:val="18"/>
                      <w:lang w:bidi="ar"/>
                    </w:rPr>
                  </w:pPr>
                  <w:r>
                    <w:rPr>
                      <w:color w:val="auto"/>
                      <w:kern w:val="0"/>
                      <w:sz w:val="18"/>
                      <w:szCs w:val="18"/>
                      <w:lang w:bidi="ar"/>
                    </w:rPr>
                    <w:t>/</w:t>
                  </w:r>
                </w:p>
              </w:tc>
              <w:tc>
                <w:tcPr>
                  <w:tcW w:w="174" w:type="pct"/>
                  <w:vMerge w:val="continue"/>
                  <w:vAlign w:val="center"/>
                </w:tcPr>
                <w:p w14:paraId="42820315">
                  <w:pPr>
                    <w:widowControl/>
                    <w:jc w:val="center"/>
                    <w:textAlignment w:val="center"/>
                    <w:rPr>
                      <w:color w:val="auto"/>
                      <w:kern w:val="0"/>
                      <w:sz w:val="18"/>
                      <w:szCs w:val="18"/>
                      <w:lang w:bidi="ar"/>
                    </w:rPr>
                  </w:pPr>
                </w:p>
              </w:tc>
              <w:tc>
                <w:tcPr>
                  <w:tcW w:w="194" w:type="pct"/>
                  <w:vMerge w:val="continue"/>
                  <w:vAlign w:val="center"/>
                </w:tcPr>
                <w:p w14:paraId="66F22038">
                  <w:pPr>
                    <w:widowControl/>
                    <w:jc w:val="center"/>
                    <w:textAlignment w:val="center"/>
                    <w:rPr>
                      <w:color w:val="auto"/>
                      <w:kern w:val="0"/>
                      <w:sz w:val="18"/>
                      <w:szCs w:val="18"/>
                      <w:lang w:bidi="ar"/>
                    </w:rPr>
                  </w:pPr>
                </w:p>
              </w:tc>
              <w:tc>
                <w:tcPr>
                  <w:tcW w:w="282" w:type="pct"/>
                  <w:vAlign w:val="center"/>
                </w:tcPr>
                <w:p w14:paraId="18F1389A">
                  <w:pPr>
                    <w:widowControl/>
                    <w:jc w:val="center"/>
                    <w:textAlignment w:val="center"/>
                    <w:rPr>
                      <w:color w:val="auto"/>
                      <w:kern w:val="0"/>
                      <w:sz w:val="18"/>
                      <w:szCs w:val="18"/>
                      <w:lang w:bidi="ar"/>
                    </w:rPr>
                  </w:pPr>
                  <w:r>
                    <w:rPr>
                      <w:color w:val="auto"/>
                      <w:kern w:val="0"/>
                      <w:sz w:val="18"/>
                      <w:szCs w:val="18"/>
                      <w:lang w:bidi="ar"/>
                    </w:rPr>
                    <w:t>8</w:t>
                  </w:r>
                </w:p>
              </w:tc>
              <w:tc>
                <w:tcPr>
                  <w:tcW w:w="322" w:type="pct"/>
                  <w:vAlign w:val="center"/>
                </w:tcPr>
                <w:p w14:paraId="77D46CA8">
                  <w:pPr>
                    <w:widowControl/>
                    <w:jc w:val="center"/>
                    <w:textAlignment w:val="center"/>
                    <w:rPr>
                      <w:color w:val="auto"/>
                      <w:kern w:val="0"/>
                      <w:sz w:val="18"/>
                      <w:szCs w:val="18"/>
                      <w:lang w:bidi="ar"/>
                    </w:rPr>
                  </w:pPr>
                  <w:r>
                    <w:rPr>
                      <w:rFonts w:hint="eastAsia"/>
                      <w:color w:val="auto"/>
                      <w:kern w:val="0"/>
                      <w:sz w:val="18"/>
                      <w:szCs w:val="18"/>
                      <w:lang w:bidi="ar"/>
                    </w:rPr>
                    <w:t>0.026</w:t>
                  </w:r>
                </w:p>
              </w:tc>
              <w:tc>
                <w:tcPr>
                  <w:tcW w:w="184" w:type="pct"/>
                  <w:vMerge w:val="continue"/>
                  <w:vAlign w:val="center"/>
                </w:tcPr>
                <w:p w14:paraId="7524A36A">
                  <w:pPr>
                    <w:adjustRightInd w:val="0"/>
                    <w:snapToGrid w:val="0"/>
                    <w:jc w:val="center"/>
                    <w:rPr>
                      <w:bCs/>
                      <w:color w:val="auto"/>
                      <w:sz w:val="18"/>
                      <w:szCs w:val="18"/>
                    </w:rPr>
                  </w:pPr>
                </w:p>
              </w:tc>
              <w:tc>
                <w:tcPr>
                  <w:tcW w:w="234" w:type="pct"/>
                  <w:vMerge w:val="continue"/>
                  <w:vAlign w:val="center"/>
                </w:tcPr>
                <w:p w14:paraId="57682981">
                  <w:pPr>
                    <w:adjustRightInd w:val="0"/>
                    <w:snapToGrid w:val="0"/>
                    <w:jc w:val="center"/>
                    <w:rPr>
                      <w:bCs/>
                      <w:color w:val="auto"/>
                      <w:sz w:val="18"/>
                      <w:szCs w:val="18"/>
                    </w:rPr>
                  </w:pPr>
                </w:p>
              </w:tc>
              <w:tc>
                <w:tcPr>
                  <w:tcW w:w="318" w:type="pct"/>
                  <w:vMerge w:val="continue"/>
                  <w:vAlign w:val="center"/>
                </w:tcPr>
                <w:p w14:paraId="19FCC2E6">
                  <w:pPr>
                    <w:adjustRightInd w:val="0"/>
                    <w:snapToGrid w:val="0"/>
                    <w:jc w:val="center"/>
                    <w:rPr>
                      <w:bCs/>
                      <w:color w:val="auto"/>
                      <w:sz w:val="18"/>
                      <w:szCs w:val="18"/>
                    </w:rPr>
                  </w:pPr>
                </w:p>
              </w:tc>
              <w:tc>
                <w:tcPr>
                  <w:tcW w:w="229" w:type="pct"/>
                  <w:vMerge w:val="continue"/>
                  <w:vAlign w:val="center"/>
                </w:tcPr>
                <w:p w14:paraId="76480F56">
                  <w:pPr>
                    <w:adjustRightInd w:val="0"/>
                    <w:snapToGrid w:val="0"/>
                    <w:jc w:val="center"/>
                    <w:rPr>
                      <w:bCs/>
                      <w:color w:val="auto"/>
                      <w:sz w:val="18"/>
                      <w:szCs w:val="18"/>
                    </w:rPr>
                  </w:pPr>
                </w:p>
              </w:tc>
              <w:tc>
                <w:tcPr>
                  <w:tcW w:w="238" w:type="pct"/>
                  <w:vMerge w:val="continue"/>
                  <w:vAlign w:val="center"/>
                </w:tcPr>
                <w:p w14:paraId="3C96BE6E">
                  <w:pPr>
                    <w:adjustRightInd w:val="0"/>
                    <w:snapToGrid w:val="0"/>
                    <w:jc w:val="center"/>
                    <w:rPr>
                      <w:bCs/>
                      <w:color w:val="auto"/>
                      <w:sz w:val="18"/>
                      <w:szCs w:val="18"/>
                    </w:rPr>
                  </w:pPr>
                </w:p>
              </w:tc>
              <w:tc>
                <w:tcPr>
                  <w:tcW w:w="353" w:type="pct"/>
                  <w:vMerge w:val="continue"/>
                  <w:vAlign w:val="center"/>
                </w:tcPr>
                <w:p w14:paraId="03899322">
                  <w:pPr>
                    <w:adjustRightInd w:val="0"/>
                    <w:snapToGrid w:val="0"/>
                    <w:jc w:val="center"/>
                    <w:rPr>
                      <w:bCs/>
                      <w:color w:val="auto"/>
                      <w:sz w:val="18"/>
                      <w:szCs w:val="18"/>
                    </w:rPr>
                  </w:pPr>
                </w:p>
              </w:tc>
              <w:tc>
                <w:tcPr>
                  <w:tcW w:w="319" w:type="pct"/>
                  <w:vAlign w:val="center"/>
                </w:tcPr>
                <w:p w14:paraId="15FD0876">
                  <w:pPr>
                    <w:widowControl/>
                    <w:adjustRightInd w:val="0"/>
                    <w:snapToGrid w:val="0"/>
                    <w:jc w:val="center"/>
                    <w:textAlignment w:val="center"/>
                    <w:rPr>
                      <w:bCs/>
                      <w:color w:val="auto"/>
                      <w:sz w:val="18"/>
                      <w:szCs w:val="18"/>
                    </w:rPr>
                  </w:pPr>
                  <w:r>
                    <w:rPr>
                      <w:rFonts w:hint="eastAsia"/>
                      <w:bCs/>
                      <w:color w:val="auto"/>
                      <w:sz w:val="18"/>
                      <w:szCs w:val="18"/>
                    </w:rPr>
                    <w:t>2~</w:t>
                  </w:r>
                  <w:r>
                    <w:rPr>
                      <w:bCs/>
                      <w:color w:val="auto"/>
                      <w:sz w:val="18"/>
                      <w:szCs w:val="18"/>
                    </w:rPr>
                    <w:t>8</w:t>
                  </w:r>
                </w:p>
              </w:tc>
            </w:tr>
            <w:tr w14:paraId="779252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vAlign w:val="center"/>
                </w:tcPr>
                <w:p w14:paraId="5507E59F">
                  <w:pPr>
                    <w:widowControl/>
                    <w:adjustRightInd w:val="0"/>
                    <w:snapToGrid w:val="0"/>
                    <w:jc w:val="center"/>
                    <w:textAlignment w:val="center"/>
                    <w:rPr>
                      <w:rFonts w:hint="eastAsia" w:eastAsia="宋体"/>
                      <w:color w:val="7030A0"/>
                      <w:kern w:val="0"/>
                      <w:sz w:val="18"/>
                      <w:szCs w:val="18"/>
                      <w:lang w:val="en-US" w:eastAsia="zh-CN" w:bidi="ar"/>
                    </w:rPr>
                  </w:pPr>
                  <w:r>
                    <w:rPr>
                      <w:rFonts w:hint="eastAsia"/>
                      <w:color w:val="7030A0"/>
                      <w:kern w:val="0"/>
                      <w:sz w:val="18"/>
                      <w:szCs w:val="18"/>
                      <w:lang w:val="en-US" w:eastAsia="zh-CN" w:bidi="ar"/>
                    </w:rPr>
                    <w:t>LAS</w:t>
                  </w:r>
                </w:p>
              </w:tc>
              <w:tc>
                <w:tcPr>
                  <w:tcW w:w="217" w:type="pct"/>
                  <w:vMerge w:val="continue"/>
                  <w:vAlign w:val="center"/>
                </w:tcPr>
                <w:p w14:paraId="526FCE67">
                  <w:pPr>
                    <w:adjustRightInd w:val="0"/>
                    <w:snapToGrid w:val="0"/>
                    <w:jc w:val="center"/>
                    <w:rPr>
                      <w:bCs/>
                      <w:color w:val="7030A0"/>
                      <w:sz w:val="18"/>
                      <w:szCs w:val="18"/>
                    </w:rPr>
                  </w:pPr>
                </w:p>
              </w:tc>
              <w:tc>
                <w:tcPr>
                  <w:tcW w:w="373" w:type="pct"/>
                  <w:vAlign w:val="center"/>
                </w:tcPr>
                <w:p w14:paraId="6EACD790">
                  <w:pPr>
                    <w:widowControl/>
                    <w:jc w:val="center"/>
                    <w:textAlignment w:val="center"/>
                    <w:rPr>
                      <w:rFonts w:hint="default" w:eastAsia="宋体"/>
                      <w:color w:val="7030A0"/>
                      <w:kern w:val="0"/>
                      <w:sz w:val="18"/>
                      <w:szCs w:val="18"/>
                      <w:lang w:val="en-US" w:eastAsia="zh-CN" w:bidi="ar"/>
                    </w:rPr>
                  </w:pPr>
                  <w:r>
                    <w:rPr>
                      <w:rFonts w:hint="eastAsia"/>
                      <w:color w:val="7030A0"/>
                      <w:kern w:val="0"/>
                      <w:sz w:val="18"/>
                      <w:szCs w:val="18"/>
                      <w:lang w:val="en-US" w:eastAsia="zh-CN" w:bidi="ar"/>
                    </w:rPr>
                    <w:t>0.704</w:t>
                  </w:r>
                </w:p>
              </w:tc>
              <w:tc>
                <w:tcPr>
                  <w:tcW w:w="477" w:type="pct"/>
                  <w:vAlign w:val="center"/>
                </w:tcPr>
                <w:p w14:paraId="128861B5">
                  <w:pPr>
                    <w:widowControl/>
                    <w:jc w:val="center"/>
                    <w:textAlignment w:val="center"/>
                    <w:rPr>
                      <w:rFonts w:hint="default" w:eastAsia="宋体"/>
                      <w:color w:val="7030A0"/>
                      <w:kern w:val="0"/>
                      <w:sz w:val="18"/>
                      <w:szCs w:val="18"/>
                      <w:lang w:val="en-US" w:eastAsia="zh-CN" w:bidi="ar"/>
                    </w:rPr>
                  </w:pPr>
                  <w:r>
                    <w:rPr>
                      <w:rFonts w:hint="eastAsia"/>
                      <w:color w:val="7030A0"/>
                      <w:kern w:val="0"/>
                      <w:sz w:val="18"/>
                      <w:szCs w:val="18"/>
                      <w:lang w:val="en-US" w:eastAsia="zh-CN" w:bidi="ar"/>
                    </w:rPr>
                    <w:t>0.0027</w:t>
                  </w:r>
                </w:p>
              </w:tc>
              <w:tc>
                <w:tcPr>
                  <w:tcW w:w="239" w:type="pct"/>
                  <w:vMerge w:val="continue"/>
                  <w:vAlign w:val="center"/>
                </w:tcPr>
                <w:p w14:paraId="00E4AD54">
                  <w:pPr>
                    <w:widowControl/>
                    <w:jc w:val="center"/>
                    <w:textAlignment w:val="center"/>
                    <w:rPr>
                      <w:color w:val="7030A0"/>
                      <w:kern w:val="0"/>
                      <w:sz w:val="18"/>
                      <w:szCs w:val="18"/>
                      <w:lang w:bidi="ar"/>
                    </w:rPr>
                  </w:pPr>
                </w:p>
              </w:tc>
              <w:tc>
                <w:tcPr>
                  <w:tcW w:w="241" w:type="pct"/>
                  <w:vMerge w:val="continue"/>
                  <w:vAlign w:val="center"/>
                </w:tcPr>
                <w:p w14:paraId="0BD16061">
                  <w:pPr>
                    <w:widowControl/>
                    <w:jc w:val="center"/>
                    <w:textAlignment w:val="center"/>
                    <w:rPr>
                      <w:color w:val="7030A0"/>
                      <w:kern w:val="0"/>
                      <w:sz w:val="18"/>
                      <w:szCs w:val="18"/>
                      <w:lang w:bidi="ar"/>
                    </w:rPr>
                  </w:pPr>
                </w:p>
              </w:tc>
              <w:tc>
                <w:tcPr>
                  <w:tcW w:w="281" w:type="pct"/>
                  <w:vAlign w:val="center"/>
                </w:tcPr>
                <w:p w14:paraId="306244B0">
                  <w:pPr>
                    <w:widowControl/>
                    <w:jc w:val="center"/>
                    <w:textAlignment w:val="center"/>
                    <w:rPr>
                      <w:rFonts w:hint="default" w:eastAsia="宋体"/>
                      <w:color w:val="7030A0"/>
                      <w:kern w:val="0"/>
                      <w:sz w:val="18"/>
                      <w:szCs w:val="18"/>
                      <w:lang w:val="en-US" w:eastAsia="zh-CN" w:bidi="ar"/>
                    </w:rPr>
                  </w:pPr>
                  <w:r>
                    <w:rPr>
                      <w:rFonts w:hint="eastAsia"/>
                      <w:color w:val="7030A0"/>
                      <w:kern w:val="0"/>
                      <w:sz w:val="18"/>
                      <w:szCs w:val="18"/>
                      <w:lang w:val="en-US" w:eastAsia="zh-CN" w:bidi="ar"/>
                    </w:rPr>
                    <w:t>80</w:t>
                  </w:r>
                </w:p>
              </w:tc>
              <w:tc>
                <w:tcPr>
                  <w:tcW w:w="174" w:type="pct"/>
                  <w:vMerge w:val="continue"/>
                  <w:vAlign w:val="center"/>
                </w:tcPr>
                <w:p w14:paraId="70EDDF51">
                  <w:pPr>
                    <w:widowControl/>
                    <w:jc w:val="center"/>
                    <w:textAlignment w:val="center"/>
                    <w:rPr>
                      <w:color w:val="7030A0"/>
                      <w:kern w:val="0"/>
                      <w:sz w:val="18"/>
                      <w:szCs w:val="18"/>
                      <w:lang w:bidi="ar"/>
                    </w:rPr>
                  </w:pPr>
                </w:p>
              </w:tc>
              <w:tc>
                <w:tcPr>
                  <w:tcW w:w="194" w:type="pct"/>
                  <w:vMerge w:val="continue"/>
                  <w:vAlign w:val="center"/>
                </w:tcPr>
                <w:p w14:paraId="59C1081E">
                  <w:pPr>
                    <w:widowControl/>
                    <w:jc w:val="center"/>
                    <w:textAlignment w:val="center"/>
                    <w:rPr>
                      <w:color w:val="7030A0"/>
                      <w:kern w:val="0"/>
                      <w:sz w:val="18"/>
                      <w:szCs w:val="18"/>
                      <w:lang w:bidi="ar"/>
                    </w:rPr>
                  </w:pPr>
                </w:p>
              </w:tc>
              <w:tc>
                <w:tcPr>
                  <w:tcW w:w="282" w:type="pct"/>
                  <w:vAlign w:val="center"/>
                </w:tcPr>
                <w:p w14:paraId="48737E88">
                  <w:pPr>
                    <w:widowControl/>
                    <w:jc w:val="center"/>
                    <w:textAlignment w:val="center"/>
                    <w:rPr>
                      <w:rFonts w:hint="default" w:eastAsia="宋体"/>
                      <w:color w:val="7030A0"/>
                      <w:kern w:val="0"/>
                      <w:sz w:val="18"/>
                      <w:szCs w:val="18"/>
                      <w:lang w:val="en-US" w:eastAsia="zh-CN" w:bidi="ar"/>
                    </w:rPr>
                  </w:pPr>
                  <w:r>
                    <w:rPr>
                      <w:rFonts w:hint="eastAsia"/>
                      <w:color w:val="7030A0"/>
                      <w:kern w:val="0"/>
                      <w:sz w:val="18"/>
                      <w:szCs w:val="18"/>
                      <w:lang w:val="en-US" w:eastAsia="zh-CN" w:bidi="ar"/>
                    </w:rPr>
                    <w:t>0.1408</w:t>
                  </w:r>
                </w:p>
              </w:tc>
              <w:tc>
                <w:tcPr>
                  <w:tcW w:w="322" w:type="pct"/>
                  <w:vAlign w:val="center"/>
                </w:tcPr>
                <w:p w14:paraId="53813922">
                  <w:pPr>
                    <w:widowControl/>
                    <w:jc w:val="center"/>
                    <w:textAlignment w:val="center"/>
                    <w:rPr>
                      <w:rFonts w:hint="default" w:eastAsia="宋体"/>
                      <w:color w:val="7030A0"/>
                      <w:kern w:val="0"/>
                      <w:sz w:val="18"/>
                      <w:szCs w:val="18"/>
                      <w:lang w:val="en-US" w:eastAsia="zh-CN" w:bidi="ar"/>
                    </w:rPr>
                  </w:pPr>
                  <w:r>
                    <w:rPr>
                      <w:rFonts w:hint="eastAsia"/>
                      <w:color w:val="7030A0"/>
                      <w:kern w:val="0"/>
                      <w:sz w:val="18"/>
                      <w:szCs w:val="18"/>
                      <w:lang w:val="en-US" w:eastAsia="zh-CN" w:bidi="ar"/>
                    </w:rPr>
                    <w:t>0.0005</w:t>
                  </w:r>
                </w:p>
              </w:tc>
              <w:tc>
                <w:tcPr>
                  <w:tcW w:w="184" w:type="pct"/>
                  <w:vMerge w:val="continue"/>
                  <w:vAlign w:val="center"/>
                </w:tcPr>
                <w:p w14:paraId="6AFD6A0E">
                  <w:pPr>
                    <w:adjustRightInd w:val="0"/>
                    <w:snapToGrid w:val="0"/>
                    <w:jc w:val="center"/>
                    <w:rPr>
                      <w:bCs/>
                      <w:color w:val="7030A0"/>
                      <w:sz w:val="18"/>
                      <w:szCs w:val="18"/>
                    </w:rPr>
                  </w:pPr>
                </w:p>
              </w:tc>
              <w:tc>
                <w:tcPr>
                  <w:tcW w:w="234" w:type="pct"/>
                  <w:vMerge w:val="continue"/>
                  <w:vAlign w:val="center"/>
                </w:tcPr>
                <w:p w14:paraId="3D8B2F22">
                  <w:pPr>
                    <w:adjustRightInd w:val="0"/>
                    <w:snapToGrid w:val="0"/>
                    <w:jc w:val="center"/>
                    <w:rPr>
                      <w:bCs/>
                      <w:color w:val="7030A0"/>
                      <w:sz w:val="18"/>
                      <w:szCs w:val="18"/>
                    </w:rPr>
                  </w:pPr>
                </w:p>
              </w:tc>
              <w:tc>
                <w:tcPr>
                  <w:tcW w:w="318" w:type="pct"/>
                  <w:vMerge w:val="continue"/>
                  <w:vAlign w:val="center"/>
                </w:tcPr>
                <w:p w14:paraId="0E62EB6B">
                  <w:pPr>
                    <w:adjustRightInd w:val="0"/>
                    <w:snapToGrid w:val="0"/>
                    <w:jc w:val="center"/>
                    <w:rPr>
                      <w:bCs/>
                      <w:color w:val="7030A0"/>
                      <w:sz w:val="18"/>
                      <w:szCs w:val="18"/>
                    </w:rPr>
                  </w:pPr>
                </w:p>
              </w:tc>
              <w:tc>
                <w:tcPr>
                  <w:tcW w:w="229" w:type="pct"/>
                  <w:vMerge w:val="continue"/>
                  <w:vAlign w:val="center"/>
                </w:tcPr>
                <w:p w14:paraId="159B0D12">
                  <w:pPr>
                    <w:adjustRightInd w:val="0"/>
                    <w:snapToGrid w:val="0"/>
                    <w:jc w:val="center"/>
                    <w:rPr>
                      <w:bCs/>
                      <w:color w:val="7030A0"/>
                      <w:sz w:val="18"/>
                      <w:szCs w:val="18"/>
                    </w:rPr>
                  </w:pPr>
                </w:p>
              </w:tc>
              <w:tc>
                <w:tcPr>
                  <w:tcW w:w="238" w:type="pct"/>
                  <w:vMerge w:val="continue"/>
                  <w:vAlign w:val="center"/>
                </w:tcPr>
                <w:p w14:paraId="79B3D2DE">
                  <w:pPr>
                    <w:adjustRightInd w:val="0"/>
                    <w:snapToGrid w:val="0"/>
                    <w:jc w:val="center"/>
                    <w:rPr>
                      <w:bCs/>
                      <w:color w:val="7030A0"/>
                      <w:sz w:val="18"/>
                      <w:szCs w:val="18"/>
                    </w:rPr>
                  </w:pPr>
                </w:p>
              </w:tc>
              <w:tc>
                <w:tcPr>
                  <w:tcW w:w="353" w:type="pct"/>
                  <w:vMerge w:val="continue"/>
                  <w:vAlign w:val="center"/>
                </w:tcPr>
                <w:p w14:paraId="728B80D8">
                  <w:pPr>
                    <w:adjustRightInd w:val="0"/>
                    <w:snapToGrid w:val="0"/>
                    <w:jc w:val="center"/>
                    <w:rPr>
                      <w:bCs/>
                      <w:color w:val="7030A0"/>
                      <w:sz w:val="18"/>
                      <w:szCs w:val="18"/>
                    </w:rPr>
                  </w:pPr>
                </w:p>
              </w:tc>
              <w:tc>
                <w:tcPr>
                  <w:tcW w:w="319" w:type="pct"/>
                  <w:vAlign w:val="center"/>
                </w:tcPr>
                <w:p w14:paraId="37CE62A5">
                  <w:pPr>
                    <w:widowControl/>
                    <w:adjustRightInd w:val="0"/>
                    <w:snapToGrid w:val="0"/>
                    <w:jc w:val="center"/>
                    <w:textAlignment w:val="center"/>
                    <w:rPr>
                      <w:rFonts w:hint="default" w:eastAsia="宋体"/>
                      <w:bCs/>
                      <w:color w:val="7030A0"/>
                      <w:sz w:val="18"/>
                      <w:szCs w:val="18"/>
                      <w:lang w:val="en-US" w:eastAsia="zh-CN"/>
                    </w:rPr>
                  </w:pPr>
                  <w:r>
                    <w:rPr>
                      <w:rFonts w:hint="eastAsia"/>
                      <w:bCs/>
                      <w:color w:val="7030A0"/>
                      <w:sz w:val="18"/>
                      <w:szCs w:val="18"/>
                      <w:lang w:val="en-US" w:eastAsia="zh-CN"/>
                    </w:rPr>
                    <w:t>10</w:t>
                  </w:r>
                </w:p>
              </w:tc>
            </w:tr>
          </w:tbl>
          <w:p w14:paraId="3D7A20CA">
            <w:pPr>
              <w:adjustRightInd w:val="0"/>
              <w:snapToGrid w:val="0"/>
              <w:spacing w:line="360" w:lineRule="auto"/>
              <w:rPr>
                <w:bCs/>
                <w:color w:val="auto"/>
                <w:szCs w:val="21"/>
              </w:rPr>
            </w:pPr>
          </w:p>
        </w:tc>
      </w:tr>
      <w:bookmarkEnd w:id="24"/>
    </w:tbl>
    <w:p w14:paraId="69C8770F">
      <w:pPr>
        <w:pStyle w:val="40"/>
        <w:ind w:left="105" w:right="105"/>
        <w:rPr>
          <w:rFonts w:hint="eastAsia" w:ascii="Times New Roman"/>
          <w:color w:val="auto"/>
        </w:rPr>
        <w:sectPr>
          <w:pgSz w:w="16838" w:h="11906" w:orient="landscape"/>
          <w:pgMar w:top="1531" w:right="1701" w:bottom="1531" w:left="1701" w:header="851" w:footer="851" w:gutter="0"/>
          <w:cols w:space="720" w:num="1"/>
          <w:docGrid w:linePitch="312" w:charSpace="0"/>
        </w:sectPr>
      </w:pPr>
    </w:p>
    <w:tbl>
      <w:tblPr>
        <w:tblStyle w:val="17"/>
        <w:tblW w:w="89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40"/>
        <w:gridCol w:w="8740"/>
      </w:tblGrid>
      <w:tr w14:paraId="63641E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73" w:hRule="atLeast"/>
          <w:jc w:val="center"/>
        </w:trPr>
        <w:tc>
          <w:tcPr>
            <w:tcW w:w="240" w:type="dxa"/>
            <w:tcMar>
              <w:left w:w="28" w:type="dxa"/>
              <w:right w:w="28" w:type="dxa"/>
            </w:tcMar>
            <w:vAlign w:val="center"/>
          </w:tcPr>
          <w:p w14:paraId="49AEF815">
            <w:pPr>
              <w:adjustRightInd w:val="0"/>
              <w:snapToGrid w:val="0"/>
              <w:jc w:val="center"/>
              <w:rPr>
                <w:bCs/>
                <w:color w:val="auto"/>
                <w:szCs w:val="21"/>
              </w:rPr>
            </w:pPr>
            <w:bookmarkStart w:id="25" w:name="_Hlk141861243"/>
            <w:r>
              <w:rPr>
                <w:bCs/>
                <w:color w:val="auto"/>
                <w:szCs w:val="21"/>
              </w:rPr>
              <w:t>运营</w:t>
            </w:r>
          </w:p>
          <w:p w14:paraId="4BDFA245">
            <w:pPr>
              <w:adjustRightInd w:val="0"/>
              <w:snapToGrid w:val="0"/>
              <w:jc w:val="center"/>
              <w:rPr>
                <w:bCs/>
                <w:color w:val="auto"/>
                <w:szCs w:val="21"/>
              </w:rPr>
            </w:pPr>
            <w:r>
              <w:rPr>
                <w:bCs/>
                <w:color w:val="auto"/>
                <w:szCs w:val="21"/>
              </w:rPr>
              <w:t>期环</w:t>
            </w:r>
          </w:p>
          <w:p w14:paraId="359D5D40">
            <w:pPr>
              <w:adjustRightInd w:val="0"/>
              <w:snapToGrid w:val="0"/>
              <w:jc w:val="center"/>
              <w:rPr>
                <w:bCs/>
                <w:color w:val="auto"/>
                <w:szCs w:val="21"/>
              </w:rPr>
            </w:pPr>
            <w:r>
              <w:rPr>
                <w:bCs/>
                <w:color w:val="auto"/>
                <w:szCs w:val="21"/>
              </w:rPr>
              <w:t>境影</w:t>
            </w:r>
          </w:p>
          <w:p w14:paraId="62BC8203">
            <w:pPr>
              <w:adjustRightInd w:val="0"/>
              <w:snapToGrid w:val="0"/>
              <w:jc w:val="center"/>
              <w:rPr>
                <w:bCs/>
                <w:color w:val="auto"/>
                <w:szCs w:val="21"/>
              </w:rPr>
            </w:pPr>
            <w:r>
              <w:rPr>
                <w:bCs/>
                <w:color w:val="auto"/>
                <w:szCs w:val="21"/>
              </w:rPr>
              <w:t>响和</w:t>
            </w:r>
          </w:p>
          <w:p w14:paraId="63205DA2">
            <w:pPr>
              <w:adjustRightInd w:val="0"/>
              <w:snapToGrid w:val="0"/>
              <w:jc w:val="center"/>
              <w:rPr>
                <w:bCs/>
                <w:color w:val="auto"/>
                <w:szCs w:val="21"/>
              </w:rPr>
            </w:pPr>
            <w:r>
              <w:rPr>
                <w:bCs/>
                <w:color w:val="auto"/>
                <w:szCs w:val="21"/>
              </w:rPr>
              <w:t>保护</w:t>
            </w:r>
          </w:p>
          <w:p w14:paraId="17235FA0">
            <w:pPr>
              <w:pStyle w:val="16"/>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bCs/>
                <w:color w:val="auto"/>
                <w:szCs w:val="21"/>
              </w:rPr>
              <w:t>措</w:t>
            </w:r>
          </w:p>
          <w:p w14:paraId="19D5E688">
            <w:pPr>
              <w:pStyle w:val="16"/>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color w:val="auto"/>
                <w:kern w:val="2"/>
                <w:szCs w:val="24"/>
              </w:rPr>
              <w:t>施</w:t>
            </w:r>
          </w:p>
        </w:tc>
        <w:tc>
          <w:tcPr>
            <w:tcW w:w="8740" w:type="dxa"/>
            <w:vAlign w:val="center"/>
          </w:tcPr>
          <w:p w14:paraId="63CD0895">
            <w:pPr>
              <w:adjustRightInd w:val="0"/>
              <w:snapToGrid w:val="0"/>
              <w:spacing w:line="360" w:lineRule="auto"/>
              <w:ind w:firstLine="482" w:firstLineChars="200"/>
              <w:jc w:val="left"/>
              <w:rPr>
                <w:color w:val="auto"/>
                <w:sz w:val="24"/>
                <w:szCs w:val="20"/>
              </w:rPr>
            </w:pPr>
            <w:r>
              <w:rPr>
                <w:rFonts w:hint="eastAsia"/>
                <w:b/>
                <w:color w:val="auto"/>
                <w:sz w:val="24"/>
              </w:rPr>
              <w:t>2、废水</w:t>
            </w:r>
            <w:r>
              <w:rPr>
                <w:b/>
                <w:color w:val="auto"/>
                <w:sz w:val="24"/>
              </w:rPr>
              <w:t>污染源强核算过程</w:t>
            </w:r>
          </w:p>
          <w:p w14:paraId="73E67E12">
            <w:pPr>
              <w:adjustRightInd w:val="0"/>
              <w:snapToGrid w:val="0"/>
              <w:spacing w:line="360" w:lineRule="auto"/>
              <w:ind w:firstLine="480" w:firstLineChars="200"/>
              <w:jc w:val="left"/>
              <w:rPr>
                <w:rFonts w:hint="eastAsia"/>
                <w:color w:val="auto"/>
                <w:kern w:val="0"/>
                <w:sz w:val="24"/>
                <w:lang w:val="en-US" w:eastAsia="zh-CN"/>
              </w:rPr>
            </w:pPr>
            <w:r>
              <w:rPr>
                <w:rFonts w:hint="eastAsia"/>
                <w:color w:val="auto"/>
                <w:kern w:val="0"/>
                <w:sz w:val="24"/>
                <w:lang w:val="en-US" w:eastAsia="zh-CN"/>
              </w:rPr>
              <w:t>医院内部设有两个化粪池，分别位于门诊大楼的后侧和右侧，用于处理废水。医院的日常用水涵盖了多个方面，主要包括门诊检验的用水、医护人员的办公用水、住院病房的用水、陪护人员的用水、病床用品的洗涤用水、检验科的用水、食堂的用水、煎药的用水以及行政人员的用水。具体来说，门诊检验、医护人员办公、住院病房、陪护人员、病床用品洗涤以及行政人员的用水，都通过管道系统汇集并排入位于门诊大楼右侧的化粪池，之后这些废水将被送往院内的污水处理站进行进一步处理。而检验科、食堂和煎药的用水，则在经过预处理后，排入位于门诊大楼后侧的化粪池，同样最终输送至污水处理站进行处理。</w:t>
            </w:r>
          </w:p>
          <w:p w14:paraId="1B38D235">
            <w:pPr>
              <w:adjustRightInd w:val="0"/>
              <w:snapToGrid w:val="0"/>
              <w:spacing w:line="360" w:lineRule="auto"/>
              <w:ind w:firstLine="480" w:firstLineChars="200"/>
              <w:jc w:val="both"/>
              <w:rPr>
                <w:rFonts w:hint="eastAsia"/>
                <w:color w:val="auto"/>
                <w:kern w:val="0"/>
                <w:sz w:val="24"/>
              </w:rPr>
            </w:pPr>
            <w:r>
              <w:rPr>
                <w:color w:val="auto"/>
                <w:kern w:val="0"/>
                <w:sz w:val="24"/>
              </w:rPr>
              <w:t>项目不设置传染科，医院影像科的影片均采用激光打印机进行打印，不进行洗片，不产生洗印废水；本项目检验科主要进行常规的血样、尿样分析，不使用含重金属的药剂，检验科的试剂使用设备厂家配套的套装试剂，不会产生废试剂；检验科废水主要为检验设备清洗废水</w:t>
            </w:r>
            <w:r>
              <w:rPr>
                <w:rFonts w:hint="eastAsia"/>
                <w:color w:val="auto"/>
                <w:kern w:val="0"/>
                <w:sz w:val="24"/>
                <w:lang w:val="en-US" w:eastAsia="zh-CN"/>
              </w:rPr>
              <w:t>和含药剂清洗废水</w:t>
            </w:r>
            <w:r>
              <w:rPr>
                <w:color w:val="auto"/>
                <w:kern w:val="0"/>
                <w:sz w:val="24"/>
              </w:rPr>
              <w:t>，不会产生含氰、含铬等重金属的检验废水</w:t>
            </w:r>
            <w:r>
              <w:rPr>
                <w:rFonts w:hint="eastAsia"/>
                <w:color w:val="auto"/>
                <w:kern w:val="0"/>
                <w:sz w:val="24"/>
              </w:rPr>
              <w:t>。现有病床数20张。项目用水由市政供水管网提供</w:t>
            </w:r>
            <w:r>
              <w:rPr>
                <w:rFonts w:hint="eastAsia"/>
                <w:color w:val="auto"/>
                <w:kern w:val="0"/>
                <w:sz w:val="24"/>
                <w:lang w:eastAsia="zh-CN"/>
              </w:rPr>
              <w:t>，</w:t>
            </w:r>
            <w:r>
              <w:rPr>
                <w:rFonts w:hint="eastAsia"/>
                <w:color w:val="auto"/>
                <w:kern w:val="0"/>
                <w:sz w:val="24"/>
              </w:rPr>
              <w:t>用水参数参考《</w:t>
            </w:r>
            <w:r>
              <w:rPr>
                <w:rFonts w:hint="eastAsia"/>
                <w:color w:val="auto"/>
                <w:kern w:val="0"/>
                <w:sz w:val="24"/>
                <w:lang w:eastAsia="zh-CN"/>
              </w:rPr>
              <w:t>综合医院建筑设计标准</w:t>
            </w:r>
            <w:r>
              <w:rPr>
                <w:rFonts w:hint="eastAsia"/>
                <w:color w:val="auto"/>
                <w:kern w:val="0"/>
                <w:sz w:val="24"/>
              </w:rPr>
              <w:t>》（GB51039-2014）</w:t>
            </w:r>
            <w:r>
              <w:rPr>
                <w:rFonts w:hint="eastAsia"/>
                <w:color w:val="auto"/>
                <w:kern w:val="0"/>
                <w:sz w:val="24"/>
                <w:lang w:eastAsia="zh-CN"/>
              </w:rPr>
              <w:t>、</w:t>
            </w:r>
            <w:r>
              <w:rPr>
                <w:rFonts w:hint="eastAsia"/>
                <w:color w:val="auto"/>
                <w:kern w:val="0"/>
                <w:sz w:val="24"/>
              </w:rPr>
              <w:t>《建筑给排水设计规范》</w:t>
            </w:r>
            <w:r>
              <w:rPr>
                <w:rFonts w:hint="eastAsia" w:ascii="Times New Roman" w:hAnsi="Times New Roman" w:eastAsia="宋体"/>
                <w:color w:val="auto"/>
                <w:sz w:val="24"/>
                <w:lang w:val="en-US" w:eastAsia="zh-CN"/>
              </w:rPr>
              <w:t>等参考文件</w:t>
            </w:r>
            <w:r>
              <w:rPr>
                <w:rFonts w:hint="eastAsia" w:ascii="Times New Roman" w:hAnsi="Times New Roman" w:eastAsia="宋体"/>
                <w:color w:val="auto"/>
                <w:sz w:val="24"/>
                <w:lang w:eastAsia="zh-CN"/>
              </w:rPr>
              <w:t>，</w:t>
            </w:r>
            <w:r>
              <w:rPr>
                <w:rFonts w:hint="eastAsia"/>
                <w:color w:val="auto"/>
                <w:kern w:val="0"/>
                <w:sz w:val="24"/>
              </w:rPr>
              <w:t>并结合医院实际运营用水情况估算。</w:t>
            </w:r>
          </w:p>
          <w:p w14:paraId="448D6AA4">
            <w:pPr>
              <w:keepNext w:val="0"/>
              <w:keepLines w:val="0"/>
              <w:pageBreakBefore w:val="0"/>
              <w:widowControl w:val="0"/>
              <w:tabs>
                <w:tab w:val="left" w:pos="333"/>
              </w:tabs>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b/>
                <w:bCs/>
                <w:color w:val="auto"/>
                <w:kern w:val="0"/>
                <w:sz w:val="24"/>
                <w:lang w:val="en-US" w:eastAsia="zh-CN"/>
              </w:rPr>
            </w:pPr>
            <w:r>
              <w:rPr>
                <w:rFonts w:hint="eastAsia"/>
                <w:b/>
                <w:bCs/>
                <w:color w:val="auto"/>
                <w:kern w:val="0"/>
                <w:sz w:val="24"/>
                <w:lang w:val="en-US" w:eastAsia="zh-CN"/>
              </w:rPr>
              <w:t>病区用水</w:t>
            </w:r>
          </w:p>
          <w:p w14:paraId="0E8F54E2">
            <w:pPr>
              <w:pStyle w:val="25"/>
              <w:spacing w:line="360" w:lineRule="auto"/>
              <w:ind w:firstLine="480" w:firstLineChars="200"/>
              <w:rPr>
                <w:color w:val="auto"/>
              </w:rPr>
            </w:pPr>
            <w:r>
              <w:rPr>
                <w:rFonts w:hint="eastAsia"/>
                <w:color w:val="auto"/>
              </w:rPr>
              <w:t>①门诊</w:t>
            </w:r>
            <w:r>
              <w:rPr>
                <w:rFonts w:hint="eastAsia"/>
                <w:color w:val="auto"/>
                <w:lang w:val="en-US" w:eastAsia="zh-CN"/>
              </w:rPr>
              <w:t>检验</w:t>
            </w:r>
            <w:r>
              <w:rPr>
                <w:rFonts w:hint="eastAsia"/>
                <w:color w:val="auto"/>
              </w:rPr>
              <w:t>用水</w:t>
            </w:r>
          </w:p>
          <w:p w14:paraId="4AD37FA1">
            <w:pPr>
              <w:pStyle w:val="25"/>
              <w:spacing w:line="360" w:lineRule="auto"/>
              <w:ind w:firstLine="480" w:firstLineChars="200"/>
              <w:jc w:val="both"/>
              <w:rPr>
                <w:rFonts w:ascii="Times New Roman" w:cs="Times New Roman"/>
                <w:color w:val="auto"/>
                <w:kern w:val="0"/>
              </w:rPr>
            </w:pPr>
            <w:r>
              <w:rPr>
                <w:rFonts w:ascii="Times New Roman" w:cs="Times New Roman"/>
                <w:color w:val="auto"/>
              </w:rPr>
              <w:t>门诊平均就诊量约25人</w:t>
            </w:r>
            <w:r>
              <w:rPr>
                <w:rFonts w:hint="eastAsia" w:ascii="Times New Roman" w:cs="Times New Roman"/>
                <w:color w:val="auto"/>
                <w:lang w:val="en-US" w:eastAsia="zh-CN"/>
              </w:rPr>
              <w:t>/</w:t>
            </w:r>
            <w:r>
              <w:rPr>
                <w:rFonts w:ascii="Times New Roman" w:cs="Times New Roman"/>
                <w:color w:val="auto"/>
              </w:rPr>
              <w:t>次/d，</w:t>
            </w:r>
            <w:r>
              <w:rPr>
                <w:rFonts w:hint="eastAsia" w:ascii="Times New Roman" w:hAnsi="Times New Roman" w:eastAsia="宋体"/>
                <w:color w:val="auto"/>
              </w:rPr>
              <w:t>根据《综合医院建筑设计标准》（GB51039-2014）中“门诊类”用水标准，</w:t>
            </w:r>
            <w:r>
              <w:rPr>
                <w:rFonts w:ascii="Times New Roman" w:cs="Times New Roman"/>
                <w:color w:val="auto"/>
              </w:rPr>
              <w:t>门诊用水量取值10L/人·次，年工作365天，则门诊就诊人员用水量约为0.25m</w:t>
            </w:r>
            <w:r>
              <w:rPr>
                <w:rFonts w:ascii="Times New Roman" w:cs="Times New Roman"/>
                <w:color w:val="auto"/>
                <w:vertAlign w:val="superscript"/>
              </w:rPr>
              <w:t>3</w:t>
            </w:r>
            <w:r>
              <w:rPr>
                <w:rFonts w:ascii="Times New Roman" w:cs="Times New Roman"/>
                <w:color w:val="auto"/>
              </w:rPr>
              <w:t>/d，91.25m</w:t>
            </w:r>
            <w:r>
              <w:rPr>
                <w:rFonts w:ascii="Times New Roman" w:cs="Times New Roman"/>
                <w:color w:val="auto"/>
                <w:vertAlign w:val="superscript"/>
              </w:rPr>
              <w:t>3</w:t>
            </w:r>
            <w:r>
              <w:rPr>
                <w:rFonts w:ascii="Times New Roman" w:cs="Times New Roman"/>
                <w:color w:val="auto"/>
              </w:rPr>
              <w:t>/a。</w:t>
            </w:r>
          </w:p>
          <w:p w14:paraId="680E635F">
            <w:pPr>
              <w:pStyle w:val="29"/>
              <w:widowControl/>
              <w:adjustRightInd w:val="0"/>
              <w:ind w:firstLine="480"/>
              <w:rPr>
                <w:color w:val="auto"/>
                <w:szCs w:val="24"/>
              </w:rPr>
            </w:pPr>
            <w:r>
              <w:rPr>
                <w:rFonts w:hint="eastAsia"/>
                <w:color w:val="auto"/>
                <w:szCs w:val="24"/>
                <w:lang w:val="en-US" w:eastAsia="zh-CN"/>
              </w:rPr>
              <w:t>②</w:t>
            </w:r>
            <w:r>
              <w:rPr>
                <w:rFonts w:hint="eastAsia"/>
                <w:color w:val="auto"/>
                <w:szCs w:val="24"/>
              </w:rPr>
              <w:t>住院病床用水</w:t>
            </w:r>
          </w:p>
          <w:p w14:paraId="247ED1B9">
            <w:pPr>
              <w:pStyle w:val="29"/>
              <w:widowControl/>
              <w:adjustRightInd w:val="0"/>
              <w:spacing w:before="24" w:after="24"/>
              <w:ind w:firstLine="480"/>
              <w:rPr>
                <w:rFonts w:hint="eastAsia"/>
                <w:color w:val="auto"/>
              </w:rPr>
            </w:pPr>
            <w:r>
              <w:rPr>
                <w:rFonts w:hint="eastAsia"/>
                <w:color w:val="auto"/>
              </w:rPr>
              <w:t>本项目床位20张，根据</w:t>
            </w:r>
            <w:r>
              <w:rPr>
                <w:rFonts w:ascii="Times New Roman" w:hAnsi="Times New Roman" w:eastAsia="宋体" w:cs="Times New Roman"/>
                <w:color w:val="auto"/>
                <w:kern w:val="2"/>
                <w:sz w:val="24"/>
                <w:szCs w:val="24"/>
                <w:lang w:val="en-US" w:eastAsia="zh-CN" w:bidi="ar-SA"/>
              </w:rPr>
              <w:t>《综合医院建筑设计标准》GB51039-2014</w:t>
            </w:r>
            <w:r>
              <w:rPr>
                <w:rFonts w:hint="eastAsia"/>
                <w:color w:val="auto"/>
              </w:rPr>
              <w:t>，本项目取200L/床·d，按满负荷计算，则住院病人用水量为4m³/d，即1460m³/a。</w:t>
            </w:r>
          </w:p>
          <w:p w14:paraId="79D1C891">
            <w:pPr>
              <w:pStyle w:val="29"/>
              <w:widowControl/>
              <w:adjustRightInd w:val="0"/>
              <w:ind w:firstLine="480"/>
              <w:jc w:val="left"/>
              <w:rPr>
                <w:color w:val="auto"/>
                <w:szCs w:val="24"/>
              </w:rPr>
            </w:pPr>
            <w:r>
              <w:rPr>
                <w:rFonts w:hint="eastAsia"/>
                <w:color w:val="auto"/>
                <w:szCs w:val="24"/>
                <w:lang w:val="en-US" w:eastAsia="zh-CN"/>
              </w:rPr>
              <w:t>③</w:t>
            </w:r>
            <w:r>
              <w:rPr>
                <w:rFonts w:hint="eastAsia"/>
                <w:color w:val="auto"/>
                <w:szCs w:val="24"/>
              </w:rPr>
              <w:t>病床床品洗涤用水</w:t>
            </w:r>
          </w:p>
          <w:p w14:paraId="7ACABAE6">
            <w:pPr>
              <w:pStyle w:val="29"/>
              <w:widowControl/>
              <w:adjustRightInd w:val="0"/>
              <w:ind w:firstLine="480"/>
              <w:rPr>
                <w:rFonts w:hint="eastAsia"/>
                <w:b/>
                <w:bCs/>
                <w:color w:val="auto"/>
                <w:kern w:val="0"/>
                <w:sz w:val="24"/>
                <w:lang w:val="en-US" w:eastAsia="zh-CN"/>
              </w:rPr>
            </w:pPr>
            <w:r>
              <w:rPr>
                <w:rFonts w:hint="eastAsia"/>
                <w:color w:val="auto"/>
              </w:rPr>
              <w:t>本项目现有病床数20张，产生的床单、被套等需进行洗涤。</w:t>
            </w:r>
            <w:r>
              <w:rPr>
                <w:rFonts w:hint="eastAsia"/>
                <w:color w:val="auto"/>
                <w:lang w:val="en-US" w:eastAsia="zh-CN"/>
              </w:rPr>
              <w:t>根据</w:t>
            </w:r>
            <w:r>
              <w:rPr>
                <w:rFonts w:hint="eastAsia"/>
                <w:color w:val="auto"/>
                <w:kern w:val="0"/>
                <w:sz w:val="24"/>
              </w:rPr>
              <w:t>《建筑给排水设计规范》</w:t>
            </w:r>
            <w:r>
              <w:rPr>
                <w:rFonts w:hint="eastAsia"/>
                <w:color w:val="auto"/>
              </w:rPr>
              <w:t>洗衣用水定额为</w:t>
            </w:r>
            <w:r>
              <w:rPr>
                <w:rFonts w:hint="eastAsia"/>
                <w:b w:val="0"/>
                <w:bCs w:val="0"/>
                <w:color w:val="auto"/>
                <w:lang w:val="en-US" w:eastAsia="zh-CN"/>
              </w:rPr>
              <w:t>40-80L/每千克干衣，取60L/每千克干衣，单套床品约2kg，清洗周期为1周/次，年清洗52次，</w:t>
            </w:r>
            <w:r>
              <w:rPr>
                <w:rFonts w:hint="eastAsia"/>
                <w:color w:val="auto"/>
              </w:rPr>
              <w:t>则项目现有病床床品洗涤用水量</w:t>
            </w:r>
            <w:r>
              <w:rPr>
                <w:rFonts w:hint="eastAsia"/>
                <w:color w:val="auto"/>
                <w:lang w:val="en-US" w:eastAsia="zh-CN"/>
              </w:rPr>
              <w:t>约</w:t>
            </w:r>
            <w:r>
              <w:rPr>
                <w:rFonts w:hint="eastAsia"/>
                <w:color w:val="auto"/>
              </w:rPr>
              <w:t>为</w:t>
            </w:r>
            <w:r>
              <w:rPr>
                <w:rFonts w:hint="eastAsia"/>
                <w:color w:val="auto"/>
                <w:lang w:val="en-US" w:eastAsia="zh-CN"/>
              </w:rPr>
              <w:t>0.35</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124.8</w:t>
            </w:r>
            <w:r>
              <w:rPr>
                <w:rFonts w:hint="eastAsia"/>
                <w:color w:val="auto"/>
              </w:rPr>
              <w:t>m</w:t>
            </w:r>
            <w:r>
              <w:rPr>
                <w:rFonts w:hint="eastAsia"/>
                <w:color w:val="auto"/>
                <w:vertAlign w:val="superscript"/>
              </w:rPr>
              <w:t>3</w:t>
            </w:r>
            <w:r>
              <w:rPr>
                <w:rFonts w:hint="eastAsia"/>
                <w:color w:val="auto"/>
              </w:rPr>
              <w:t>/a。</w:t>
            </w:r>
          </w:p>
          <w:p w14:paraId="51367DD4">
            <w:pPr>
              <w:keepNext w:val="0"/>
              <w:keepLines w:val="0"/>
              <w:pageBreakBefore w:val="0"/>
              <w:widowControl w:val="0"/>
              <w:tabs>
                <w:tab w:val="left" w:pos="333"/>
              </w:tabs>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b/>
                <w:bCs/>
                <w:color w:val="auto"/>
                <w:kern w:val="0"/>
                <w:sz w:val="24"/>
                <w:lang w:val="en-US" w:eastAsia="zh-CN"/>
              </w:rPr>
            </w:pPr>
            <w:r>
              <w:rPr>
                <w:rFonts w:hint="eastAsia"/>
                <w:b/>
                <w:bCs/>
                <w:color w:val="auto"/>
                <w:kern w:val="0"/>
                <w:sz w:val="24"/>
                <w:lang w:val="en-US" w:eastAsia="zh-CN"/>
              </w:rPr>
              <w:t>非病区用水</w:t>
            </w:r>
          </w:p>
          <w:p w14:paraId="385FE5C7">
            <w:pPr>
              <w:pStyle w:val="25"/>
              <w:spacing w:line="360" w:lineRule="auto"/>
              <w:ind w:firstLine="480" w:firstLineChars="200"/>
              <w:jc w:val="both"/>
              <w:rPr>
                <w:color w:val="auto"/>
              </w:rPr>
            </w:pPr>
            <w:r>
              <w:rPr>
                <w:rFonts w:hint="eastAsia"/>
                <w:color w:val="auto"/>
                <w:lang w:val="en-US" w:eastAsia="zh-CN"/>
              </w:rPr>
              <w:t>①</w:t>
            </w:r>
            <w:r>
              <w:rPr>
                <w:rFonts w:hint="eastAsia"/>
                <w:color w:val="auto"/>
              </w:rPr>
              <w:t>医务人员办公用水</w:t>
            </w:r>
          </w:p>
          <w:p w14:paraId="1CA20652">
            <w:pPr>
              <w:keepNext w:val="0"/>
              <w:keepLines w:val="0"/>
              <w:pageBreakBefore w:val="0"/>
              <w:kinsoku/>
              <w:wordWrap/>
              <w:overflowPunct/>
              <w:topLinePunct w:val="0"/>
              <w:autoSpaceDE/>
              <w:autoSpaceDN/>
              <w:bidi w:val="0"/>
              <w:adjustRightInd w:val="0"/>
              <w:spacing w:line="360" w:lineRule="auto"/>
              <w:ind w:firstLine="480" w:firstLineChars="200"/>
              <w:jc w:val="both"/>
              <w:textAlignment w:val="auto"/>
              <w:outlineLvl w:val="9"/>
              <w:rPr>
                <w:rFonts w:hint="eastAsia" w:ascii="Times New Roman" w:hAnsi="Times New Roman" w:eastAsia="宋体"/>
                <w:color w:val="auto"/>
                <w:sz w:val="24"/>
              </w:rPr>
            </w:pPr>
            <w:r>
              <w:rPr>
                <w:rFonts w:hint="eastAsia" w:ascii="Times New Roman" w:hAnsi="Times New Roman" w:eastAsia="宋体"/>
                <w:color w:val="auto"/>
                <w:sz w:val="24"/>
                <w:lang w:val="en-US" w:eastAsia="zh-CN"/>
              </w:rPr>
              <w:t>项目医务人员20人，根据</w:t>
            </w:r>
            <w:r>
              <w:rPr>
                <w:rFonts w:hint="eastAsia" w:ascii="Times New Roman" w:hAnsi="Times New Roman" w:eastAsia="宋体"/>
                <w:color w:val="auto"/>
                <w:kern w:val="0"/>
                <w:sz w:val="24"/>
              </w:rPr>
              <w:t>《</w:t>
            </w:r>
            <w:r>
              <w:rPr>
                <w:rFonts w:hint="eastAsia"/>
                <w:color w:val="auto"/>
                <w:kern w:val="0"/>
                <w:sz w:val="24"/>
                <w:lang w:eastAsia="zh-CN"/>
              </w:rPr>
              <w:t>综合医院建筑设计标准</w:t>
            </w:r>
            <w:r>
              <w:rPr>
                <w:rFonts w:hint="eastAsia" w:ascii="Times New Roman" w:hAnsi="Times New Roman" w:eastAsia="宋体"/>
                <w:color w:val="auto"/>
                <w:kern w:val="0"/>
                <w:sz w:val="24"/>
              </w:rPr>
              <w:t>》（GB51039-2014）</w:t>
            </w:r>
            <w:r>
              <w:rPr>
                <w:rFonts w:hint="eastAsia" w:ascii="Times New Roman" w:hAnsi="Times New Roman" w:eastAsia="宋体"/>
                <w:color w:val="auto"/>
                <w:kern w:val="0"/>
                <w:sz w:val="24"/>
                <w:lang w:val="en-US" w:eastAsia="zh-CN"/>
              </w:rPr>
              <w:t>中医务人员用水定额，评价</w:t>
            </w:r>
            <w:r>
              <w:rPr>
                <w:rFonts w:hint="default" w:ascii="Times New Roman" w:hAnsi="Times New Roman" w:eastAsia="宋体" w:cs="Times New Roman"/>
                <w:color w:val="auto"/>
                <w:kern w:val="0"/>
                <w:sz w:val="24"/>
                <w:szCs w:val="24"/>
                <w:lang w:val="en-US" w:eastAsia="zh-CN" w:bidi="ar"/>
              </w:rPr>
              <w:t>按150L/人·d计，</w:t>
            </w:r>
            <w:r>
              <w:rPr>
                <w:rFonts w:hint="eastAsia" w:ascii="Times New Roman" w:hAnsi="Times New Roman" w:eastAsia="宋体" w:cs="Times New Roman"/>
                <w:color w:val="auto"/>
                <w:kern w:val="0"/>
                <w:sz w:val="24"/>
                <w:szCs w:val="24"/>
                <w:lang w:val="en-US" w:eastAsia="zh-CN" w:bidi="ar"/>
              </w:rPr>
              <w:t>项目医务人员用水量3</w:t>
            </w:r>
            <w:r>
              <w:rPr>
                <w:rFonts w:ascii="Times New Roman" w:cs="Times New Roman"/>
                <w:color w:val="auto"/>
              </w:rPr>
              <w:t>m</w:t>
            </w:r>
            <w:r>
              <w:rPr>
                <w:rFonts w:ascii="Times New Roman" w:cs="Times New Roman"/>
                <w:color w:val="auto"/>
                <w:vertAlign w:val="superscript"/>
              </w:rPr>
              <w:t>3</w:t>
            </w:r>
            <w:r>
              <w:rPr>
                <w:rFonts w:ascii="Times New Roman" w:cs="Times New Roman"/>
                <w:color w:val="auto"/>
              </w:rPr>
              <w:t>/</w:t>
            </w:r>
            <w:r>
              <w:rPr>
                <w:rFonts w:hint="eastAsia" w:ascii="Times New Roman" w:hAnsi="Times New Roman" w:eastAsia="宋体" w:cs="Times New Roman"/>
                <w:color w:val="auto"/>
                <w:kern w:val="0"/>
                <w:sz w:val="24"/>
                <w:szCs w:val="24"/>
                <w:lang w:val="en-US" w:eastAsia="zh-CN" w:bidi="ar"/>
              </w:rPr>
              <w:t>/d，1095</w:t>
            </w:r>
            <w:r>
              <w:rPr>
                <w:rFonts w:ascii="Times New Roman" w:cs="Times New Roman"/>
                <w:color w:val="auto"/>
              </w:rPr>
              <w:t>m</w:t>
            </w:r>
            <w:r>
              <w:rPr>
                <w:rFonts w:ascii="Times New Roman" w:cs="Times New Roman"/>
                <w:color w:val="auto"/>
                <w:vertAlign w:val="superscript"/>
              </w:rPr>
              <w:t>3</w:t>
            </w:r>
            <w:r>
              <w:rPr>
                <w:rFonts w:ascii="Times New Roman" w:cs="Times New Roman"/>
                <w:color w:val="auto"/>
              </w:rPr>
              <w:t>/</w:t>
            </w:r>
            <w:r>
              <w:rPr>
                <w:rFonts w:hint="eastAsia" w:ascii="Times New Roman" w:hAnsi="Times New Roman" w:eastAsia="宋体" w:cs="Times New Roman"/>
                <w:color w:val="auto"/>
                <w:kern w:val="0"/>
                <w:sz w:val="24"/>
                <w:szCs w:val="24"/>
                <w:lang w:val="en-US" w:eastAsia="zh-CN" w:bidi="ar"/>
              </w:rPr>
              <w:t>/a。</w:t>
            </w:r>
          </w:p>
          <w:p w14:paraId="13B886D5">
            <w:pPr>
              <w:pStyle w:val="29"/>
              <w:widowControl/>
              <w:adjustRightInd w:val="0"/>
              <w:ind w:firstLine="480"/>
              <w:rPr>
                <w:color w:val="auto"/>
                <w:szCs w:val="24"/>
              </w:rPr>
            </w:pPr>
            <w:r>
              <w:rPr>
                <w:rFonts w:hint="eastAsia"/>
                <w:color w:val="auto"/>
                <w:szCs w:val="24"/>
                <w:lang w:val="en-US" w:eastAsia="zh-CN"/>
              </w:rPr>
              <w:t>②</w:t>
            </w:r>
            <w:r>
              <w:rPr>
                <w:rFonts w:hint="eastAsia"/>
                <w:color w:val="auto"/>
                <w:szCs w:val="24"/>
              </w:rPr>
              <w:t>陪护人员用水</w:t>
            </w:r>
          </w:p>
          <w:p w14:paraId="46661D6B">
            <w:pPr>
              <w:pStyle w:val="29"/>
              <w:widowControl/>
              <w:adjustRightInd w:val="0"/>
              <w:ind w:firstLine="480"/>
              <w:rPr>
                <w:rFonts w:hint="default"/>
                <w:b/>
                <w:bCs/>
                <w:color w:val="auto"/>
                <w:kern w:val="0"/>
                <w:sz w:val="24"/>
                <w:lang w:val="en-US" w:eastAsia="zh-CN"/>
              </w:rPr>
            </w:pPr>
            <w:r>
              <w:rPr>
                <w:rFonts w:hint="eastAsia"/>
                <w:color w:val="auto"/>
              </w:rPr>
              <w:t>本项目床位20张，</w:t>
            </w:r>
            <w:r>
              <w:rPr>
                <w:rFonts w:hint="eastAsia"/>
                <w:color w:val="auto"/>
                <w:lang w:val="en-US" w:eastAsia="zh-CN"/>
              </w:rPr>
              <w:t>陪护人员20人，</w:t>
            </w:r>
            <w:r>
              <w:rPr>
                <w:rFonts w:hint="eastAsia" w:ascii="Times New Roman" w:hAnsi="Times New Roman" w:eastAsia="宋体"/>
                <w:color w:val="auto"/>
                <w:sz w:val="24"/>
              </w:rPr>
              <w:t>根据</w:t>
            </w:r>
            <w:r>
              <w:rPr>
                <w:rFonts w:hint="eastAsia" w:ascii="Times New Roman" w:hAnsi="Times New Roman" w:eastAsia="宋体"/>
                <w:color w:val="auto"/>
                <w:kern w:val="0"/>
                <w:sz w:val="24"/>
              </w:rPr>
              <w:t>《</w:t>
            </w:r>
            <w:r>
              <w:rPr>
                <w:rFonts w:hint="eastAsia"/>
                <w:color w:val="auto"/>
                <w:kern w:val="0"/>
                <w:sz w:val="24"/>
                <w:lang w:eastAsia="zh-CN"/>
              </w:rPr>
              <w:t>综合医院建筑设计标准</w:t>
            </w:r>
            <w:r>
              <w:rPr>
                <w:rFonts w:hint="eastAsia" w:ascii="Times New Roman" w:hAnsi="Times New Roman" w:eastAsia="宋体"/>
                <w:color w:val="auto"/>
                <w:kern w:val="0"/>
                <w:sz w:val="24"/>
              </w:rPr>
              <w:t>》（GB51039-2014）</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项目</w:t>
            </w:r>
            <w:r>
              <w:rPr>
                <w:rFonts w:hint="eastAsia" w:ascii="Times New Roman" w:hAnsi="Times New Roman" w:eastAsia="宋体"/>
                <w:color w:val="auto"/>
                <w:sz w:val="24"/>
                <w:lang w:val="en-US" w:eastAsia="zh-CN"/>
              </w:rPr>
              <w:t>陪护</w:t>
            </w:r>
            <w:r>
              <w:rPr>
                <w:rFonts w:hint="eastAsia" w:ascii="Times New Roman" w:hAnsi="Times New Roman" w:eastAsia="宋体"/>
                <w:color w:val="auto"/>
                <w:sz w:val="24"/>
              </w:rPr>
              <w:t>人员</w:t>
            </w:r>
            <w:r>
              <w:rPr>
                <w:rFonts w:hint="eastAsia" w:ascii="Times New Roman" w:hAnsi="Times New Roman" w:eastAsia="宋体"/>
                <w:color w:val="auto"/>
                <w:sz w:val="24"/>
                <w:lang w:eastAsia="zh-CN"/>
              </w:rPr>
              <w:t>在</w:t>
            </w:r>
            <w:r>
              <w:rPr>
                <w:rFonts w:hint="eastAsia" w:ascii="Times New Roman" w:hAnsi="Times New Roman" w:eastAsia="宋体"/>
                <w:color w:val="auto"/>
                <w:sz w:val="24"/>
                <w:lang w:val="en-US" w:eastAsia="zh-CN"/>
              </w:rPr>
              <w:t>按</w:t>
            </w:r>
            <w:r>
              <w:rPr>
                <w:rFonts w:hint="eastAsia" w:ascii="Times New Roman" w:hAnsi="Times New Roman" w:eastAsia="宋体"/>
                <w:color w:val="auto"/>
                <w:sz w:val="24"/>
              </w:rPr>
              <w:t>用水量以</w:t>
            </w:r>
            <w:r>
              <w:rPr>
                <w:rFonts w:hint="eastAsia" w:ascii="Times New Roman" w:hAnsi="Times New Roman" w:eastAsia="宋体"/>
                <w:color w:val="auto"/>
                <w:sz w:val="24"/>
                <w:lang w:val="en-US" w:eastAsia="zh-CN"/>
              </w:rPr>
              <w:t>5</w:t>
            </w:r>
            <w:r>
              <w:rPr>
                <w:rFonts w:hint="eastAsia" w:ascii="Times New Roman" w:hAnsi="Times New Roman" w:eastAsia="宋体"/>
                <w:color w:val="auto"/>
                <w:sz w:val="24"/>
              </w:rPr>
              <w:t>0L/</w:t>
            </w:r>
            <w:r>
              <w:rPr>
                <w:rFonts w:hint="eastAsia" w:ascii="Times New Roman" w:hAnsi="Times New Roman" w:eastAsia="宋体"/>
                <w:color w:val="auto"/>
                <w:sz w:val="24"/>
                <w:lang w:val="en-US" w:eastAsia="zh-CN"/>
              </w:rPr>
              <w:t>(</w:t>
            </w:r>
            <w:r>
              <w:rPr>
                <w:rFonts w:hint="eastAsia" w:ascii="Times New Roman" w:hAnsi="Times New Roman" w:eastAsia="宋体"/>
                <w:color w:val="auto"/>
                <w:sz w:val="24"/>
              </w:rPr>
              <w:t>人</w:t>
            </w:r>
            <w:r>
              <w:rPr>
                <w:rFonts w:hint="eastAsia" w:ascii="Times New Roman" w:hAnsi="Times New Roman" w:eastAsia="宋体" w:cs="宋体"/>
                <w:color w:val="auto"/>
                <w:sz w:val="24"/>
              </w:rPr>
              <w:t>•</w:t>
            </w:r>
            <w:r>
              <w:rPr>
                <w:rFonts w:hint="eastAsia" w:ascii="Times New Roman" w:hAnsi="Times New Roman" w:eastAsia="宋体"/>
                <w:color w:val="auto"/>
                <w:sz w:val="24"/>
                <w:lang w:val="en-US" w:eastAsia="zh-CN"/>
              </w:rPr>
              <w:t>d)</w:t>
            </w:r>
            <w:r>
              <w:rPr>
                <w:rFonts w:hint="eastAsia" w:ascii="Times New Roman" w:hAnsi="Times New Roman" w:eastAsia="宋体"/>
                <w:color w:val="auto"/>
                <w:sz w:val="24"/>
              </w:rPr>
              <w:t>计</w:t>
            </w:r>
            <w:r>
              <w:rPr>
                <w:rFonts w:hint="eastAsia" w:ascii="Times New Roman" w:hAnsi="Times New Roman" w:eastAsia="宋体"/>
                <w:color w:val="auto"/>
                <w:sz w:val="24"/>
                <w:lang w:val="en-US" w:eastAsia="zh-CN"/>
              </w:rPr>
              <w:t>，</w:t>
            </w:r>
            <w:r>
              <w:rPr>
                <w:rFonts w:hint="eastAsia" w:ascii="Times New Roman" w:hAnsi="Times New Roman" w:eastAsia="宋体"/>
                <w:color w:val="auto"/>
                <w:sz w:val="24"/>
              </w:rPr>
              <w:t>则</w:t>
            </w:r>
            <w:r>
              <w:rPr>
                <w:rFonts w:hint="eastAsia" w:ascii="Times New Roman" w:hAnsi="Times New Roman" w:eastAsia="宋体"/>
                <w:color w:val="auto"/>
                <w:sz w:val="24"/>
                <w:lang w:val="en-US" w:eastAsia="zh-CN"/>
              </w:rPr>
              <w:t>陪护人员</w:t>
            </w:r>
            <w:r>
              <w:rPr>
                <w:rFonts w:hint="eastAsia" w:ascii="Times New Roman" w:hAnsi="Times New Roman" w:eastAsia="宋体"/>
                <w:color w:val="auto"/>
                <w:sz w:val="24"/>
              </w:rPr>
              <w:t>用水量为</w:t>
            </w:r>
            <w:r>
              <w:rPr>
                <w:rFonts w:hint="eastAsia" w:ascii="Times New Roman" w:hAnsi="Times New Roman" w:eastAsia="宋体"/>
                <w:color w:val="auto"/>
                <w:sz w:val="24"/>
                <w:lang w:val="en-US" w:eastAsia="zh-CN"/>
              </w:rPr>
              <w:t>1</w:t>
            </w:r>
            <w:r>
              <w:rPr>
                <w:rFonts w:hint="eastAsia" w:ascii="Times New Roman" w:hAnsi="Times New Roman" w:eastAsia="宋体"/>
                <w:color w:val="auto"/>
                <w:sz w:val="24"/>
              </w:rPr>
              <w:t>m³/d，</w:t>
            </w:r>
            <w:r>
              <w:rPr>
                <w:rFonts w:hint="eastAsia" w:ascii="Times New Roman" w:hAnsi="Times New Roman" w:eastAsia="宋体"/>
                <w:color w:val="auto"/>
                <w:sz w:val="24"/>
                <w:lang w:val="en-US" w:eastAsia="zh-CN"/>
              </w:rPr>
              <w:t>365</w:t>
            </w:r>
            <w:r>
              <w:rPr>
                <w:rFonts w:hint="eastAsia" w:ascii="Times New Roman" w:hAnsi="Times New Roman" w:eastAsia="宋体"/>
                <w:color w:val="auto"/>
                <w:sz w:val="24"/>
              </w:rPr>
              <w:t>m³/a。</w:t>
            </w:r>
          </w:p>
          <w:p w14:paraId="47DDE979">
            <w:pPr>
              <w:pStyle w:val="29"/>
              <w:widowControl/>
              <w:adjustRightInd w:val="0"/>
              <w:ind w:firstLine="480"/>
              <w:jc w:val="left"/>
              <w:rPr>
                <w:color w:val="auto"/>
                <w:szCs w:val="24"/>
              </w:rPr>
            </w:pPr>
            <w:r>
              <w:rPr>
                <w:rFonts w:hint="eastAsia"/>
                <w:color w:val="auto"/>
                <w:szCs w:val="24"/>
                <w:lang w:val="en-US" w:eastAsia="zh-CN"/>
              </w:rPr>
              <w:t>③</w:t>
            </w:r>
            <w:r>
              <w:rPr>
                <w:rFonts w:hint="eastAsia"/>
                <w:color w:val="auto"/>
                <w:szCs w:val="24"/>
              </w:rPr>
              <w:t>食堂用水</w:t>
            </w:r>
          </w:p>
          <w:p w14:paraId="04203882">
            <w:pPr>
              <w:pStyle w:val="29"/>
              <w:widowControl/>
              <w:adjustRightInd w:val="0"/>
              <w:ind w:firstLine="482"/>
              <w:jc w:val="both"/>
              <w:rPr>
                <w:rFonts w:hint="default" w:ascii="Times New Roman" w:hAnsi="Times New Roman" w:cs="Times New Roman"/>
                <w:b w:val="0"/>
                <w:bCs w:val="0"/>
                <w:color w:val="auto"/>
              </w:rPr>
            </w:pPr>
            <w:r>
              <w:rPr>
                <w:rFonts w:hint="default" w:ascii="Times New Roman" w:hAnsi="Times New Roman" w:cs="Times New Roman"/>
                <w:b w:val="0"/>
                <w:bCs w:val="0"/>
                <w:color w:val="auto"/>
                <w:szCs w:val="24"/>
              </w:rPr>
              <w:t>项目食堂用餐人数24人</w:t>
            </w:r>
            <w:r>
              <w:rPr>
                <w:rFonts w:hint="default" w:ascii="Times New Roman" w:hAnsi="Times New Roman" w:cs="Times New Roman"/>
                <w:b w:val="0"/>
                <w:bCs w:val="0"/>
                <w:color w:val="auto"/>
              </w:rPr>
              <w:t>，</w:t>
            </w:r>
            <w:r>
              <w:rPr>
                <w:rFonts w:hint="default" w:ascii="Times New Roman" w:hAnsi="Times New Roman" w:cs="Times New Roman"/>
                <w:b w:val="0"/>
                <w:bCs w:val="0"/>
                <w:color w:val="auto"/>
                <w:lang w:val="en-US" w:eastAsia="zh-CN"/>
              </w:rPr>
              <w:t>根据</w:t>
            </w:r>
            <w:r>
              <w:rPr>
                <w:rFonts w:hint="default" w:ascii="Times New Roman" w:hAnsi="Times New Roman" w:eastAsia="Helvetica" w:cs="Times New Roman"/>
                <w:b w:val="0"/>
                <w:bCs w:val="0"/>
                <w:i w:val="0"/>
                <w:iCs w:val="0"/>
                <w:caps w:val="0"/>
                <w:color w:val="auto"/>
                <w:spacing w:val="0"/>
                <w:sz w:val="24"/>
                <w:szCs w:val="24"/>
                <w:shd w:val="clear" w:fill="FFFFFF"/>
              </w:rPr>
              <w:t>《</w:t>
            </w:r>
            <w:r>
              <w:rPr>
                <w:rFonts w:hint="eastAsia" w:eastAsia="宋体" w:cs="Times New Roman"/>
                <w:b w:val="0"/>
                <w:bCs w:val="0"/>
                <w:i w:val="0"/>
                <w:iCs w:val="0"/>
                <w:caps w:val="0"/>
                <w:color w:val="auto"/>
                <w:spacing w:val="0"/>
                <w:sz w:val="24"/>
                <w:szCs w:val="24"/>
                <w:shd w:val="clear" w:fill="FFFFFF"/>
                <w:lang w:eastAsia="zh-CN"/>
              </w:rPr>
              <w:t>综合医院建筑设计标准</w:t>
            </w:r>
            <w:r>
              <w:rPr>
                <w:rFonts w:hint="default" w:ascii="Times New Roman" w:hAnsi="Times New Roman" w:eastAsia="Helvetica" w:cs="Times New Roman"/>
                <w:b w:val="0"/>
                <w:bCs w:val="0"/>
                <w:i w:val="0"/>
                <w:iCs w:val="0"/>
                <w:caps w:val="0"/>
                <w:color w:val="auto"/>
                <w:spacing w:val="0"/>
                <w:sz w:val="24"/>
                <w:szCs w:val="24"/>
                <w:shd w:val="clear" w:fill="FFFFFF"/>
              </w:rPr>
              <w:t>》（GB11039-2014）食堂用水定额</w:t>
            </w:r>
            <w:r>
              <w:rPr>
                <w:rFonts w:hint="default" w:ascii="Times New Roman" w:hAnsi="Times New Roman" w:cs="Times New Roman"/>
                <w:b w:val="0"/>
                <w:bCs w:val="0"/>
                <w:i w:val="0"/>
                <w:iCs w:val="0"/>
                <w:caps w:val="0"/>
                <w:color w:val="auto"/>
                <w:spacing w:val="0"/>
                <w:sz w:val="24"/>
                <w:szCs w:val="24"/>
                <w:shd w:val="clear" w:fill="FFFFFF"/>
                <w:lang w:val="en-US" w:eastAsia="zh-CN"/>
              </w:rPr>
              <w:t>为20-25L/人·次，</w:t>
            </w:r>
            <w:r>
              <w:rPr>
                <w:rFonts w:hint="default" w:ascii="Times New Roman" w:hAnsi="Times New Roman" w:eastAsia="Helvetica" w:cs="Times New Roman"/>
                <w:b w:val="0"/>
                <w:bCs w:val="0"/>
                <w:i w:val="0"/>
                <w:iCs w:val="0"/>
                <w:caps w:val="0"/>
                <w:color w:val="auto"/>
                <w:spacing w:val="0"/>
                <w:sz w:val="24"/>
                <w:szCs w:val="24"/>
                <w:shd w:val="clear" w:fill="FFFFFF"/>
              </w:rPr>
              <w:t>取2</w:t>
            </w:r>
            <w:r>
              <w:rPr>
                <w:rFonts w:hint="default" w:ascii="Times New Roman" w:hAnsi="Times New Roman" w:cs="Times New Roman"/>
                <w:b w:val="0"/>
                <w:bCs w:val="0"/>
                <w:i w:val="0"/>
                <w:iCs w:val="0"/>
                <w:caps w:val="0"/>
                <w:color w:val="auto"/>
                <w:spacing w:val="0"/>
                <w:sz w:val="24"/>
                <w:szCs w:val="24"/>
                <w:shd w:val="clear" w:fill="FFFFFF"/>
                <w:lang w:val="en-US" w:eastAsia="zh-CN"/>
              </w:rPr>
              <w:t>5</w:t>
            </w:r>
            <w:r>
              <w:rPr>
                <w:rFonts w:hint="default" w:ascii="Times New Roman" w:hAnsi="Times New Roman" w:eastAsia="Helvetica" w:cs="Times New Roman"/>
                <w:b w:val="0"/>
                <w:bCs w:val="0"/>
                <w:i w:val="0"/>
                <w:iCs w:val="0"/>
                <w:caps w:val="0"/>
                <w:color w:val="auto"/>
                <w:spacing w:val="0"/>
                <w:sz w:val="24"/>
                <w:szCs w:val="24"/>
                <w:shd w:val="clear" w:fill="FFFFFF"/>
              </w:rPr>
              <w:t>升/人·次</w:t>
            </w:r>
            <w:r>
              <w:rPr>
                <w:rFonts w:hint="default" w:ascii="Times New Roman" w:hAnsi="Times New Roman" w:cs="Times New Roman"/>
                <w:b w:val="0"/>
                <w:bCs w:val="0"/>
                <w:i w:val="0"/>
                <w:iCs w:val="0"/>
                <w:caps w:val="0"/>
                <w:color w:val="auto"/>
                <w:spacing w:val="0"/>
                <w:sz w:val="24"/>
                <w:szCs w:val="24"/>
                <w:shd w:val="clear" w:fill="FFFFFF"/>
                <w:lang w:eastAsia="zh-CN"/>
              </w:rPr>
              <w:t>，</w:t>
            </w:r>
            <w:r>
              <w:rPr>
                <w:rFonts w:hint="default" w:ascii="Times New Roman" w:hAnsi="Times New Roman" w:cs="Times New Roman"/>
                <w:b w:val="0"/>
                <w:bCs w:val="0"/>
                <w:color w:val="auto"/>
              </w:rPr>
              <w:t>则食堂现有用水量为</w:t>
            </w:r>
            <w:r>
              <w:rPr>
                <w:rFonts w:hint="default" w:ascii="Times New Roman" w:hAnsi="Times New Roman" w:cs="Times New Roman"/>
                <w:b w:val="0"/>
                <w:bCs w:val="0"/>
                <w:color w:val="auto"/>
                <w:lang w:val="en-US" w:eastAsia="zh-CN"/>
              </w:rPr>
              <w:t>1.8</w:t>
            </w:r>
            <w:r>
              <w:rPr>
                <w:rFonts w:hint="default" w:ascii="Times New Roman" w:hAnsi="Times New Roman" w:cs="Times New Roman"/>
                <w:b w:val="0"/>
                <w:bCs w:val="0"/>
                <w:color w:val="auto"/>
              </w:rPr>
              <w:t>m</w:t>
            </w:r>
            <w:r>
              <w:rPr>
                <w:rFonts w:hint="default" w:ascii="Times New Roman" w:hAnsi="Times New Roman" w:cs="Times New Roman"/>
                <w:b w:val="0"/>
                <w:bCs w:val="0"/>
                <w:color w:val="auto"/>
                <w:vertAlign w:val="superscript"/>
              </w:rPr>
              <w:t>3</w:t>
            </w:r>
            <w:r>
              <w:rPr>
                <w:rFonts w:hint="default" w:ascii="Times New Roman" w:hAnsi="Times New Roman" w:cs="Times New Roman"/>
                <w:b w:val="0"/>
                <w:bCs w:val="0"/>
                <w:color w:val="auto"/>
              </w:rPr>
              <w:t>/d，</w:t>
            </w:r>
            <w:r>
              <w:rPr>
                <w:rFonts w:hint="default" w:ascii="Times New Roman" w:hAnsi="Times New Roman" w:cs="Times New Roman"/>
                <w:b w:val="0"/>
                <w:bCs w:val="0"/>
                <w:color w:val="auto"/>
                <w:lang w:val="en-US" w:eastAsia="zh-CN"/>
              </w:rPr>
              <w:t>657</w:t>
            </w:r>
            <w:r>
              <w:rPr>
                <w:rFonts w:hint="default" w:ascii="Times New Roman" w:hAnsi="Times New Roman" w:cs="Times New Roman"/>
                <w:b w:val="0"/>
                <w:bCs w:val="0"/>
                <w:color w:val="auto"/>
              </w:rPr>
              <w:t>m</w:t>
            </w:r>
            <w:r>
              <w:rPr>
                <w:rFonts w:hint="default" w:ascii="Times New Roman" w:hAnsi="Times New Roman" w:cs="Times New Roman"/>
                <w:b w:val="0"/>
                <w:bCs w:val="0"/>
                <w:color w:val="auto"/>
                <w:vertAlign w:val="superscript"/>
              </w:rPr>
              <w:t>3</w:t>
            </w:r>
            <w:r>
              <w:rPr>
                <w:rFonts w:hint="default" w:ascii="Times New Roman" w:hAnsi="Times New Roman" w:cs="Times New Roman"/>
                <w:b w:val="0"/>
                <w:bCs w:val="0"/>
                <w:color w:val="auto"/>
              </w:rPr>
              <w:t>/a。</w:t>
            </w:r>
          </w:p>
          <w:p w14:paraId="5F5B825B">
            <w:pPr>
              <w:widowControl/>
              <w:spacing w:line="360" w:lineRule="auto"/>
              <w:ind w:firstLine="480" w:firstLineChars="200"/>
              <w:jc w:val="left"/>
              <w:rPr>
                <w:color w:val="auto"/>
                <w:kern w:val="0"/>
                <w:sz w:val="24"/>
              </w:rPr>
            </w:pPr>
            <w:r>
              <w:rPr>
                <w:rFonts w:hint="eastAsia"/>
                <w:color w:val="auto"/>
                <w:kern w:val="0"/>
                <w:sz w:val="24"/>
                <w:lang w:val="en-US" w:eastAsia="zh-CN"/>
              </w:rPr>
              <w:t>④</w:t>
            </w:r>
            <w:r>
              <w:rPr>
                <w:rFonts w:hint="eastAsia"/>
                <w:color w:val="auto"/>
                <w:kern w:val="0"/>
                <w:sz w:val="24"/>
              </w:rPr>
              <w:t>中药煎煮用水</w:t>
            </w:r>
          </w:p>
          <w:p w14:paraId="22492CB0">
            <w:pPr>
              <w:widowControl/>
              <w:spacing w:line="360" w:lineRule="auto"/>
              <w:ind w:firstLine="480" w:firstLineChars="200"/>
              <w:jc w:val="left"/>
              <w:rPr>
                <w:color w:val="auto"/>
                <w:kern w:val="0"/>
                <w:sz w:val="24"/>
              </w:rPr>
            </w:pPr>
            <w:r>
              <w:rPr>
                <w:rFonts w:hint="eastAsia"/>
                <w:color w:val="auto"/>
                <w:kern w:val="0"/>
                <w:sz w:val="24"/>
              </w:rPr>
              <w:t>本项目中药科室为病人提供中药煎煮服务，根据建设单位提供资料，</w:t>
            </w:r>
            <w:r>
              <w:rPr>
                <w:rFonts w:hint="eastAsia"/>
                <w:color w:val="auto"/>
                <w:kern w:val="0"/>
                <w:sz w:val="24"/>
                <w:lang w:val="en-US" w:eastAsia="zh-CN"/>
              </w:rPr>
              <w:t>煎药机规格为20L，煎药壶规格为6L，</w:t>
            </w:r>
            <w:r>
              <w:rPr>
                <w:rFonts w:hint="eastAsia"/>
                <w:color w:val="auto"/>
                <w:kern w:val="0"/>
                <w:sz w:val="24"/>
              </w:rPr>
              <w:t>中药馆平均煎药1-2次/月，取2次/月，</w:t>
            </w:r>
            <w:r>
              <w:rPr>
                <w:rFonts w:hint="eastAsia"/>
                <w:color w:val="auto"/>
                <w:kern w:val="0"/>
                <w:sz w:val="24"/>
                <w:lang w:val="en-US" w:eastAsia="zh-CN"/>
              </w:rPr>
              <w:t>一次用</w:t>
            </w:r>
            <w:r>
              <w:rPr>
                <w:rFonts w:hint="eastAsia"/>
                <w:color w:val="auto"/>
                <w:kern w:val="0"/>
                <w:sz w:val="24"/>
              </w:rPr>
              <w:t>水量</w:t>
            </w:r>
            <w:r>
              <w:rPr>
                <w:rFonts w:hint="eastAsia"/>
                <w:color w:val="auto"/>
                <w:kern w:val="0"/>
                <w:sz w:val="24"/>
                <w:lang w:eastAsia="zh-CN"/>
              </w:rPr>
              <w:t>（</w:t>
            </w:r>
            <w:r>
              <w:rPr>
                <w:rFonts w:hint="eastAsia"/>
                <w:color w:val="auto"/>
                <w:kern w:val="0"/>
                <w:sz w:val="24"/>
                <w:lang w:val="en-US" w:eastAsia="zh-CN"/>
              </w:rPr>
              <w:t>清洗中药、煎药用水、洗涤煎药仪器</w:t>
            </w:r>
            <w:r>
              <w:rPr>
                <w:rFonts w:hint="eastAsia"/>
                <w:color w:val="auto"/>
                <w:kern w:val="0"/>
                <w:sz w:val="24"/>
                <w:lang w:eastAsia="zh-CN"/>
              </w:rPr>
              <w:t>）</w:t>
            </w:r>
            <w:r>
              <w:rPr>
                <w:rFonts w:hint="eastAsia"/>
                <w:color w:val="auto"/>
                <w:kern w:val="0"/>
                <w:sz w:val="24"/>
                <w:lang w:val="en-US" w:eastAsia="zh-CN"/>
              </w:rPr>
              <w:t>取60L，则</w:t>
            </w:r>
            <w:r>
              <w:rPr>
                <w:rFonts w:hint="eastAsia"/>
                <w:color w:val="auto"/>
                <w:kern w:val="0"/>
                <w:sz w:val="24"/>
              </w:rPr>
              <w:t>中药煎煮用水</w:t>
            </w:r>
            <w:r>
              <w:rPr>
                <w:rFonts w:hint="eastAsia"/>
                <w:color w:val="auto"/>
                <w:kern w:val="0"/>
                <w:sz w:val="24"/>
                <w:lang w:val="en-US" w:eastAsia="zh-CN"/>
              </w:rPr>
              <w:t>约</w:t>
            </w:r>
            <w:r>
              <w:rPr>
                <w:rFonts w:hint="eastAsia"/>
                <w:color w:val="auto"/>
                <w:kern w:val="0"/>
                <w:sz w:val="24"/>
              </w:rPr>
              <w:t>为</w:t>
            </w:r>
            <w:r>
              <w:rPr>
                <w:rFonts w:hint="eastAsia"/>
                <w:color w:val="auto"/>
                <w:kern w:val="0"/>
                <w:sz w:val="24"/>
                <w:lang w:val="en-US" w:eastAsia="zh-CN"/>
              </w:rPr>
              <w:t>0.0040</w:t>
            </w:r>
            <w:r>
              <w:rPr>
                <w:color w:val="auto"/>
                <w:kern w:val="0"/>
                <w:sz w:val="24"/>
              </w:rPr>
              <w:t>m</w:t>
            </w:r>
            <w:r>
              <w:rPr>
                <w:color w:val="auto"/>
                <w:kern w:val="0"/>
                <w:sz w:val="24"/>
                <w:vertAlign w:val="superscript"/>
              </w:rPr>
              <w:t>3</w:t>
            </w:r>
            <w:r>
              <w:rPr>
                <w:color w:val="auto"/>
                <w:kern w:val="0"/>
                <w:sz w:val="24"/>
              </w:rPr>
              <w:t xml:space="preserve"> /</w:t>
            </w:r>
            <w:r>
              <w:rPr>
                <w:rFonts w:hint="eastAsia"/>
                <w:color w:val="auto"/>
                <w:kern w:val="0"/>
                <w:sz w:val="24"/>
              </w:rPr>
              <w:t>d、</w:t>
            </w:r>
            <w:r>
              <w:rPr>
                <w:rFonts w:hint="eastAsia"/>
                <w:color w:val="auto"/>
                <w:kern w:val="0"/>
                <w:sz w:val="24"/>
                <w:lang w:val="en-US" w:eastAsia="zh-CN"/>
              </w:rPr>
              <w:t>1.44</w:t>
            </w:r>
            <w:r>
              <w:rPr>
                <w:color w:val="auto"/>
                <w:kern w:val="0"/>
                <w:sz w:val="24"/>
              </w:rPr>
              <w:t>m</w:t>
            </w:r>
            <w:r>
              <w:rPr>
                <w:color w:val="auto"/>
                <w:kern w:val="0"/>
                <w:sz w:val="24"/>
                <w:vertAlign w:val="superscript"/>
              </w:rPr>
              <w:t>3</w:t>
            </w:r>
            <w:r>
              <w:rPr>
                <w:color w:val="auto"/>
                <w:kern w:val="0"/>
                <w:sz w:val="24"/>
              </w:rPr>
              <w:t xml:space="preserve"> /a</w:t>
            </w:r>
            <w:r>
              <w:rPr>
                <w:rFonts w:hint="eastAsia"/>
                <w:color w:val="auto"/>
                <w:kern w:val="0"/>
                <w:sz w:val="24"/>
              </w:rPr>
              <w:t>。</w:t>
            </w:r>
          </w:p>
          <w:p w14:paraId="61601CD5">
            <w:pPr>
              <w:keepNext w:val="0"/>
              <w:keepLines w:val="0"/>
              <w:pageBreakBefore w:val="0"/>
              <w:kinsoku/>
              <w:wordWrap/>
              <w:overflowPunct/>
              <w:topLinePunct w:val="0"/>
              <w:autoSpaceDE/>
              <w:autoSpaceDN/>
              <w:bidi w:val="0"/>
              <w:adjustRightInd w:val="0"/>
              <w:spacing w:line="360" w:lineRule="auto"/>
              <w:ind w:firstLine="480" w:firstLineChars="200"/>
              <w:jc w:val="both"/>
              <w:textAlignment w:val="auto"/>
              <w:outlineLvl w:val="9"/>
              <w:rPr>
                <w:rFonts w:hint="eastAsia" w:ascii="Times New Roman" w:hAnsi="Times New Roman" w:eastAsia="宋体"/>
                <w:color w:val="auto"/>
                <w:sz w:val="24"/>
              </w:rPr>
            </w:pPr>
            <w:r>
              <w:rPr>
                <w:rFonts w:hint="eastAsia" w:ascii="Times New Roman" w:hAnsi="Times New Roman" w:eastAsia="宋体" w:cs="微软雅黑"/>
                <w:color w:val="auto"/>
                <w:sz w:val="24"/>
                <w:lang w:val="en-US" w:eastAsia="zh-CN"/>
              </w:rPr>
              <w:t>⑤</w:t>
            </w:r>
            <w:r>
              <w:rPr>
                <w:rFonts w:hint="eastAsia" w:ascii="Times New Roman" w:hAnsi="Times New Roman" w:eastAsia="宋体"/>
                <w:color w:val="auto"/>
                <w:sz w:val="24"/>
              </w:rPr>
              <w:t>行政人员用水</w:t>
            </w:r>
          </w:p>
          <w:p w14:paraId="0211E4CB">
            <w:pPr>
              <w:keepNext w:val="0"/>
              <w:keepLines w:val="0"/>
              <w:pageBreakBefore w:val="0"/>
              <w:kinsoku/>
              <w:wordWrap/>
              <w:overflowPunct/>
              <w:topLinePunct w:val="0"/>
              <w:autoSpaceDE/>
              <w:autoSpaceDN/>
              <w:bidi w:val="0"/>
              <w:adjustRightInd w:val="0"/>
              <w:spacing w:line="360" w:lineRule="auto"/>
              <w:ind w:firstLine="480" w:firstLineChars="200"/>
              <w:jc w:val="both"/>
              <w:textAlignment w:val="auto"/>
              <w:outlineLvl w:val="9"/>
              <w:rPr>
                <w:rFonts w:hint="eastAsia" w:ascii="Times New Roman" w:hAnsi="Times New Roman" w:eastAsia="宋体"/>
                <w:color w:val="auto"/>
                <w:sz w:val="24"/>
              </w:rPr>
            </w:pPr>
            <w:r>
              <w:rPr>
                <w:rFonts w:hint="eastAsia" w:ascii="Times New Roman" w:hAnsi="Times New Roman" w:eastAsia="宋体"/>
                <w:color w:val="auto"/>
                <w:sz w:val="24"/>
                <w:lang w:val="en-US" w:eastAsia="zh-CN"/>
              </w:rPr>
              <w:t>项目行政人员4人，</w:t>
            </w:r>
            <w:r>
              <w:rPr>
                <w:color w:val="auto"/>
                <w:kern w:val="0"/>
                <w:sz w:val="24"/>
              </w:rPr>
              <w:t>根据《</w:t>
            </w:r>
            <w:r>
              <w:rPr>
                <w:rFonts w:hint="eastAsia"/>
                <w:color w:val="auto"/>
                <w:kern w:val="0"/>
                <w:sz w:val="24"/>
                <w:lang w:val="en-US" w:eastAsia="zh-CN"/>
              </w:rPr>
              <w:t>建筑给水排水设计标准</w:t>
            </w:r>
            <w:r>
              <w:rPr>
                <w:color w:val="auto"/>
                <w:kern w:val="0"/>
                <w:sz w:val="24"/>
              </w:rPr>
              <w:t>》（</w:t>
            </w:r>
            <w:r>
              <w:rPr>
                <w:rFonts w:hint="eastAsia"/>
                <w:color w:val="auto"/>
                <w:kern w:val="0"/>
                <w:sz w:val="24"/>
                <w:lang w:val="en-US" w:eastAsia="zh-CN"/>
              </w:rPr>
              <w:t>GB 50015-2019</w:t>
            </w:r>
            <w:r>
              <w:rPr>
                <w:color w:val="auto"/>
                <w:kern w:val="0"/>
                <w:sz w:val="24"/>
              </w:rPr>
              <w:t>），</w:t>
            </w:r>
            <w:r>
              <w:rPr>
                <w:rFonts w:hint="eastAsia"/>
                <w:color w:val="auto"/>
                <w:kern w:val="0"/>
                <w:sz w:val="24"/>
                <w:lang w:val="en-US" w:eastAsia="zh-CN"/>
              </w:rPr>
              <w:t>员工最高日用水定额为每人40L~60L，本环评</w:t>
            </w:r>
            <w:r>
              <w:rPr>
                <w:color w:val="auto"/>
                <w:kern w:val="0"/>
                <w:sz w:val="24"/>
              </w:rPr>
              <w:t>取</w:t>
            </w:r>
            <w:r>
              <w:rPr>
                <w:rFonts w:hint="eastAsia"/>
                <w:color w:val="auto"/>
                <w:kern w:val="0"/>
                <w:sz w:val="24"/>
                <w:lang w:val="en-US" w:eastAsia="zh-CN"/>
              </w:rPr>
              <w:t xml:space="preserve">50 </w:t>
            </w:r>
            <w:r>
              <w:rPr>
                <w:color w:val="auto"/>
                <w:kern w:val="0"/>
                <w:sz w:val="24"/>
              </w:rPr>
              <w:t>L/人d</w:t>
            </w:r>
            <w:r>
              <w:rPr>
                <w:rFonts w:hint="eastAsia" w:ascii="Times New Roman" w:hAnsi="Times New Roman" w:eastAsia="宋体"/>
                <w:color w:val="auto"/>
                <w:sz w:val="24"/>
                <w:lang w:val="en-US" w:eastAsia="zh-CN"/>
              </w:rPr>
              <w:t>，</w:t>
            </w:r>
            <w:r>
              <w:rPr>
                <w:rFonts w:hint="eastAsia" w:ascii="Times New Roman" w:hAnsi="Times New Roman" w:eastAsia="宋体"/>
                <w:color w:val="auto"/>
                <w:sz w:val="24"/>
              </w:rPr>
              <w:t>则</w:t>
            </w:r>
            <w:r>
              <w:rPr>
                <w:rFonts w:hint="eastAsia" w:ascii="Times New Roman" w:hAnsi="Times New Roman" w:eastAsia="宋体"/>
                <w:color w:val="auto"/>
                <w:sz w:val="24"/>
                <w:lang w:val="en-US" w:eastAsia="zh-CN"/>
              </w:rPr>
              <w:t>行政人员</w:t>
            </w:r>
            <w:r>
              <w:rPr>
                <w:rFonts w:hint="eastAsia" w:ascii="Times New Roman" w:hAnsi="Times New Roman" w:eastAsia="宋体"/>
                <w:color w:val="auto"/>
                <w:sz w:val="24"/>
              </w:rPr>
              <w:t>用水量为</w:t>
            </w:r>
            <w:r>
              <w:rPr>
                <w:rFonts w:hint="eastAsia" w:ascii="Times New Roman" w:hAnsi="Times New Roman" w:eastAsia="宋体"/>
                <w:color w:val="auto"/>
                <w:sz w:val="24"/>
                <w:lang w:val="en-US" w:eastAsia="zh-CN"/>
              </w:rPr>
              <w:t>0.2</w:t>
            </w:r>
            <w:r>
              <w:rPr>
                <w:rFonts w:hint="eastAsia" w:ascii="Times New Roman" w:hAnsi="Times New Roman" w:eastAsia="宋体"/>
                <w:color w:val="auto"/>
                <w:sz w:val="24"/>
              </w:rPr>
              <w:t>m³/d，</w:t>
            </w:r>
            <w:r>
              <w:rPr>
                <w:rFonts w:hint="eastAsia" w:ascii="Times New Roman" w:hAnsi="Times New Roman" w:eastAsia="宋体"/>
                <w:color w:val="auto"/>
                <w:sz w:val="24"/>
                <w:lang w:val="en-US" w:eastAsia="zh-CN"/>
              </w:rPr>
              <w:t xml:space="preserve">73 </w:t>
            </w:r>
            <w:r>
              <w:rPr>
                <w:rFonts w:hint="eastAsia" w:ascii="Times New Roman" w:hAnsi="Times New Roman" w:eastAsia="宋体"/>
                <w:color w:val="auto"/>
                <w:sz w:val="24"/>
              </w:rPr>
              <w:t>m³/a。</w:t>
            </w:r>
          </w:p>
          <w:p w14:paraId="743F8A3F">
            <w:pPr>
              <w:keepNext w:val="0"/>
              <w:keepLines w:val="0"/>
              <w:pageBreakBefore w:val="0"/>
              <w:kinsoku/>
              <w:wordWrap/>
              <w:overflowPunct/>
              <w:topLinePunct w:val="0"/>
              <w:autoSpaceDE/>
              <w:autoSpaceDN/>
              <w:bidi w:val="0"/>
              <w:adjustRightInd w:val="0"/>
              <w:spacing w:line="360" w:lineRule="auto"/>
              <w:ind w:firstLine="480" w:firstLineChars="200"/>
              <w:jc w:val="both"/>
              <w:textAlignment w:val="auto"/>
              <w:outlineLvl w:val="9"/>
              <w:rPr>
                <w:rFonts w:hint="eastAsia"/>
                <w:color w:val="auto"/>
                <w:sz w:val="24"/>
              </w:rPr>
            </w:pPr>
            <w:r>
              <w:rPr>
                <w:rFonts w:hint="eastAsia" w:ascii="Times New Roman" w:hAnsi="Times New Roman" w:eastAsia="宋体" w:cs="Times New Roman"/>
                <w:color w:val="auto"/>
                <w:sz w:val="24"/>
              </w:rPr>
              <w:t>综上，全院营运期病区废水的排放量为</w:t>
            </w:r>
            <w:r>
              <w:rPr>
                <w:rFonts w:hint="eastAsia" w:ascii="Times New Roman" w:hAnsi="Times New Roman" w:eastAsia="宋体" w:cs="Times New Roman"/>
                <w:color w:val="auto"/>
                <w:sz w:val="24"/>
                <w:lang w:val="en-US" w:eastAsia="zh-CN"/>
              </w:rPr>
              <w:t>约</w:t>
            </w:r>
            <w:r>
              <w:rPr>
                <w:rFonts w:hint="eastAsia" w:cs="Times New Roman"/>
                <w:color w:val="auto"/>
                <w:sz w:val="24"/>
                <w:lang w:val="en-US" w:eastAsia="zh-CN"/>
              </w:rPr>
              <w:t>4.14</w:t>
            </w:r>
            <w:r>
              <w:rPr>
                <w:rFonts w:hint="eastAsia"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d</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15</w:t>
            </w:r>
            <w:r>
              <w:rPr>
                <w:rFonts w:hint="eastAsia" w:cs="Times New Roman"/>
                <w:color w:val="auto"/>
                <w:sz w:val="24"/>
                <w:lang w:val="en-US" w:eastAsia="zh-CN"/>
              </w:rPr>
              <w:t>11</w:t>
            </w:r>
            <w:r>
              <w:rPr>
                <w:rFonts w:hint="eastAsia"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rPr>
              <w:t>/a。非病区废水的排放量为</w:t>
            </w:r>
            <w:r>
              <w:rPr>
                <w:rFonts w:hint="eastAsia" w:ascii="Times New Roman" w:hAnsi="Times New Roman" w:eastAsia="宋体" w:cs="Times New Roman"/>
                <w:color w:val="auto"/>
                <w:sz w:val="24"/>
                <w:lang w:val="en-US" w:eastAsia="zh-CN"/>
              </w:rPr>
              <w:t>5.</w:t>
            </w:r>
            <w:r>
              <w:rPr>
                <w:rFonts w:hint="eastAsia" w:cs="Times New Roman"/>
                <w:color w:val="auto"/>
                <w:sz w:val="24"/>
                <w:lang w:val="en-US" w:eastAsia="zh-CN"/>
              </w:rPr>
              <w:t>4036</w:t>
            </w:r>
            <w:r>
              <w:rPr>
                <w:rFonts w:hint="eastAsia"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d</w:t>
            </w:r>
            <w:r>
              <w:rPr>
                <w:rFonts w:hint="eastAsia" w:ascii="Times New Roman" w:hAnsi="Times New Roman" w:eastAsia="宋体" w:cs="Times New Roman"/>
                <w:color w:val="auto"/>
                <w:sz w:val="24"/>
                <w:lang w:eastAsia="zh-CN"/>
              </w:rPr>
              <w:t>，</w:t>
            </w:r>
            <w:r>
              <w:rPr>
                <w:rFonts w:hint="eastAsia" w:cs="Times New Roman"/>
                <w:color w:val="auto"/>
                <w:sz w:val="24"/>
                <w:lang w:val="en-US" w:eastAsia="zh-CN"/>
              </w:rPr>
              <w:t>1972</w:t>
            </w:r>
            <w:r>
              <w:rPr>
                <w:rFonts w:hint="eastAsia"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rPr>
              <w:t>/a</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综合废水排放量为约</w:t>
            </w:r>
            <w:r>
              <w:rPr>
                <w:rFonts w:hint="eastAsia" w:cs="Times New Roman"/>
                <w:color w:val="auto"/>
                <w:sz w:val="24"/>
                <w:lang w:val="en-US" w:eastAsia="zh-CN"/>
              </w:rPr>
              <w:t>9.5436</w:t>
            </w:r>
            <w:r>
              <w:rPr>
                <w:rFonts w:hint="eastAsia"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d，</w:t>
            </w:r>
            <w:r>
              <w:rPr>
                <w:rFonts w:hint="eastAsia" w:cs="Times New Roman"/>
                <w:color w:val="auto"/>
                <w:sz w:val="24"/>
                <w:lang w:val="en-US" w:eastAsia="zh-CN"/>
              </w:rPr>
              <w:t>3483</w:t>
            </w:r>
            <w:r>
              <w:rPr>
                <w:rFonts w:hint="eastAsia" w:ascii="Times New Roman" w:hAnsi="Times New Roman" w:eastAsia="宋体" w:cs="Times New Roman"/>
                <w:color w:val="auto"/>
                <w:sz w:val="24"/>
              </w:rPr>
              <w:t>m</w:t>
            </w:r>
            <w:r>
              <w:rPr>
                <w:rFonts w:hint="eastAsia"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a。</w:t>
            </w:r>
            <w:r>
              <w:rPr>
                <w:rFonts w:hint="eastAsia" w:ascii="Times New Roman" w:hAnsi="Times New Roman" w:eastAsia="宋体" w:cs="Times New Roman"/>
                <w:color w:val="auto"/>
                <w:sz w:val="24"/>
              </w:rPr>
              <w:t>各废水经</w:t>
            </w:r>
            <w:r>
              <w:rPr>
                <w:rFonts w:hint="eastAsia" w:cs="Times New Roman"/>
                <w:color w:val="auto"/>
                <w:sz w:val="24"/>
                <w:lang w:val="en-US" w:eastAsia="zh-CN"/>
              </w:rPr>
              <w:t>隔油池、化粪池、中和池等</w:t>
            </w:r>
            <w:r>
              <w:rPr>
                <w:rFonts w:hint="eastAsia" w:ascii="Times New Roman" w:hAnsi="Times New Roman" w:eastAsia="宋体" w:cs="Times New Roman"/>
                <w:color w:val="auto"/>
                <w:sz w:val="24"/>
              </w:rPr>
              <w:t>相应</w:t>
            </w:r>
            <w:r>
              <w:rPr>
                <w:rFonts w:hint="eastAsia"/>
                <w:color w:val="auto"/>
                <w:sz w:val="24"/>
              </w:rPr>
              <w:t>设施预处理后统一汇入</w:t>
            </w:r>
            <w:r>
              <w:rPr>
                <w:color w:val="auto"/>
                <w:sz w:val="24"/>
              </w:rPr>
              <w:t>院内自建污水处理站进行处理，污水处理</w:t>
            </w:r>
            <w:r>
              <w:rPr>
                <w:rFonts w:hint="eastAsia"/>
                <w:color w:val="auto"/>
                <w:sz w:val="24"/>
              </w:rPr>
              <w:t>站</w:t>
            </w:r>
            <w:r>
              <w:rPr>
                <w:color w:val="auto"/>
                <w:sz w:val="24"/>
              </w:rPr>
              <w:t>采用</w:t>
            </w:r>
            <w:r>
              <w:rPr>
                <w:rFonts w:hint="eastAsia"/>
                <w:color w:val="auto"/>
                <w:sz w:val="24"/>
              </w:rPr>
              <w:t>“生化+MBR膜+消毒”</w:t>
            </w:r>
            <w:r>
              <w:rPr>
                <w:color w:val="auto"/>
                <w:sz w:val="24"/>
              </w:rPr>
              <w:t>处理工艺，</w:t>
            </w:r>
            <w:r>
              <w:rPr>
                <w:rFonts w:hint="eastAsia"/>
                <w:color w:val="auto"/>
                <w:sz w:val="24"/>
              </w:rPr>
              <w:t>处理达</w:t>
            </w:r>
            <w:r>
              <w:rPr>
                <w:color w:val="auto"/>
                <w:sz w:val="24"/>
              </w:rPr>
              <w:t>《医疗机构水污染物排放标准（GB18466-2005）》表2中</w:t>
            </w:r>
            <w:r>
              <w:rPr>
                <w:rFonts w:hint="eastAsia"/>
                <w:color w:val="auto"/>
                <w:sz w:val="24"/>
              </w:rPr>
              <w:t>预处理</w:t>
            </w:r>
            <w:r>
              <w:rPr>
                <w:color w:val="auto"/>
                <w:sz w:val="24"/>
              </w:rPr>
              <w:t>标准</w:t>
            </w:r>
            <w:r>
              <w:rPr>
                <w:rFonts w:hint="eastAsia"/>
                <w:color w:val="auto"/>
                <w:sz w:val="24"/>
              </w:rPr>
              <w:t>后接入市政管网。</w:t>
            </w:r>
          </w:p>
          <w:p w14:paraId="3345E90B">
            <w:pPr>
              <w:keepNext w:val="0"/>
              <w:keepLines w:val="0"/>
              <w:pageBreakBefore w:val="0"/>
              <w:widowControl w:val="0"/>
              <w:kinsoku/>
              <w:wordWrap/>
              <w:overflowPunct/>
              <w:bidi w:val="0"/>
              <w:spacing w:line="360" w:lineRule="auto"/>
              <w:ind w:firstLine="480"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根据《医院污水处理工程技术规范》(HJ2029-2013)，</w:t>
            </w:r>
            <w:r>
              <w:rPr>
                <w:rFonts w:hint="eastAsia"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rPr>
              <w:t>医疗废水水质可参考</w:t>
            </w:r>
            <w:r>
              <w:rPr>
                <w:rFonts w:hint="default" w:ascii="Times New Roman" w:hAnsi="Times New Roman" w:eastAsia="宋体" w:cs="Times New Roman"/>
                <w:color w:val="auto"/>
                <w:sz w:val="24"/>
                <w:szCs w:val="24"/>
                <w:lang w:eastAsia="zh-CN"/>
              </w:rPr>
              <w:t>下</w:t>
            </w:r>
            <w:r>
              <w:rPr>
                <w:rFonts w:hint="default" w:ascii="Times New Roman" w:hAnsi="Times New Roman" w:eastAsia="宋体" w:cs="Times New Roman"/>
                <w:color w:val="auto"/>
                <w:sz w:val="24"/>
                <w:szCs w:val="24"/>
              </w:rPr>
              <w:t>表中的</w:t>
            </w:r>
            <w:r>
              <w:rPr>
                <w:rFonts w:hint="eastAsia" w:cs="Times New Roman"/>
                <w:color w:val="auto"/>
                <w:sz w:val="24"/>
                <w:szCs w:val="24"/>
                <w:lang w:val="en-US" w:eastAsia="zh-CN"/>
              </w:rPr>
              <w:t>取</w:t>
            </w:r>
            <w:r>
              <w:rPr>
                <w:rFonts w:hint="default" w:ascii="Times New Roman" w:hAnsi="Times New Roman" w:eastAsia="宋体" w:cs="Times New Roman"/>
                <w:color w:val="auto"/>
                <w:sz w:val="24"/>
                <w:szCs w:val="24"/>
              </w:rPr>
              <w:t>值。</w:t>
            </w:r>
          </w:p>
          <w:p w14:paraId="72310F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表4-</w:t>
            </w: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rPr>
              <w:t xml:space="preserve"> 医疗废水水质</w:t>
            </w:r>
            <w:r>
              <w:rPr>
                <w:rFonts w:hint="default" w:ascii="Times New Roman" w:hAnsi="Times New Roman" w:eastAsia="宋体" w:cs="Times New Roman"/>
                <w:b/>
                <w:bCs/>
                <w:color w:val="auto"/>
                <w:sz w:val="21"/>
                <w:szCs w:val="21"/>
                <w:lang w:val="en-US" w:eastAsia="zh-CN"/>
              </w:rPr>
              <w:t xml:space="preserve">  单位：</w:t>
            </w:r>
            <w:r>
              <w:rPr>
                <w:rFonts w:hint="default" w:ascii="Times New Roman" w:hAnsi="Times New Roman" w:eastAsia="宋体" w:cs="Times New Roman"/>
                <w:b/>
                <w:bCs/>
                <w:color w:val="auto"/>
                <w:sz w:val="21"/>
                <w:szCs w:val="21"/>
              </w:rPr>
              <w:t>mg/L</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46"/>
              <w:gridCol w:w="1164"/>
              <w:gridCol w:w="1164"/>
              <w:gridCol w:w="1164"/>
              <w:gridCol w:w="1309"/>
              <w:gridCol w:w="1977"/>
            </w:tblGrid>
            <w:tr w14:paraId="6CFE65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00" w:hRule="exact"/>
                <w:jc w:val="center"/>
              </w:trPr>
              <w:tc>
                <w:tcPr>
                  <w:tcW w:w="1024" w:type="pct"/>
                  <w:tcBorders>
                    <w:tl2br w:val="nil"/>
                    <w:tr2bl w:val="nil"/>
                  </w:tcBorders>
                  <w:noWrap w:val="0"/>
                  <w:vAlign w:val="center"/>
                </w:tcPr>
                <w:p w14:paraId="5633E8D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指标</w:t>
                  </w:r>
                </w:p>
              </w:tc>
              <w:tc>
                <w:tcPr>
                  <w:tcW w:w="683" w:type="pct"/>
                  <w:tcBorders>
                    <w:tl2br w:val="nil"/>
                    <w:tr2bl w:val="nil"/>
                  </w:tcBorders>
                  <w:noWrap w:val="0"/>
                  <w:vAlign w:val="center"/>
                </w:tcPr>
                <w:p w14:paraId="253822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COD</w:t>
                  </w:r>
                </w:p>
              </w:tc>
              <w:tc>
                <w:tcPr>
                  <w:tcW w:w="683" w:type="pct"/>
                  <w:tcBorders>
                    <w:tl2br w:val="nil"/>
                    <w:tr2bl w:val="nil"/>
                  </w:tcBorders>
                  <w:noWrap w:val="0"/>
                  <w:vAlign w:val="center"/>
                </w:tcPr>
                <w:p w14:paraId="485B59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BOD</w:t>
                  </w:r>
                  <w:r>
                    <w:rPr>
                      <w:rFonts w:hint="default" w:ascii="Times New Roman" w:hAnsi="Times New Roman" w:eastAsia="宋体" w:cs="Times New Roman"/>
                      <w:b/>
                      <w:bCs/>
                      <w:color w:val="auto"/>
                      <w:sz w:val="21"/>
                      <w:szCs w:val="21"/>
                      <w:vertAlign w:val="subscript"/>
                    </w:rPr>
                    <w:t>5</w:t>
                  </w:r>
                </w:p>
              </w:tc>
              <w:tc>
                <w:tcPr>
                  <w:tcW w:w="683" w:type="pct"/>
                  <w:tcBorders>
                    <w:tl2br w:val="nil"/>
                    <w:tr2bl w:val="nil"/>
                  </w:tcBorders>
                  <w:noWrap w:val="0"/>
                  <w:vAlign w:val="center"/>
                </w:tcPr>
                <w:p w14:paraId="64EE1E4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SS</w:t>
                  </w:r>
                </w:p>
              </w:tc>
              <w:tc>
                <w:tcPr>
                  <w:tcW w:w="768" w:type="pct"/>
                  <w:tcBorders>
                    <w:tl2br w:val="nil"/>
                    <w:tr2bl w:val="nil"/>
                  </w:tcBorders>
                  <w:noWrap w:val="0"/>
                  <w:vAlign w:val="center"/>
                </w:tcPr>
                <w:p w14:paraId="02D8E2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NH</w:t>
                  </w:r>
                  <w:r>
                    <w:rPr>
                      <w:rFonts w:hint="default" w:ascii="Times New Roman" w:hAnsi="Times New Roman" w:eastAsia="宋体" w:cs="Times New Roman"/>
                      <w:b/>
                      <w:bCs/>
                      <w:color w:val="auto"/>
                      <w:sz w:val="21"/>
                      <w:szCs w:val="21"/>
                      <w:vertAlign w:val="subscript"/>
                    </w:rPr>
                    <w:t>3</w:t>
                  </w:r>
                  <w:r>
                    <w:rPr>
                      <w:rFonts w:hint="default" w:ascii="Times New Roman" w:hAnsi="Times New Roman" w:eastAsia="宋体" w:cs="Times New Roman"/>
                      <w:b/>
                      <w:bCs/>
                      <w:color w:val="auto"/>
                      <w:sz w:val="21"/>
                      <w:szCs w:val="21"/>
                    </w:rPr>
                    <w:t>-N</w:t>
                  </w:r>
                </w:p>
              </w:tc>
              <w:tc>
                <w:tcPr>
                  <w:tcW w:w="1160" w:type="pct"/>
                  <w:tcBorders>
                    <w:tl2br w:val="nil"/>
                    <w:tr2bl w:val="nil"/>
                  </w:tcBorders>
                  <w:noWrap w:val="0"/>
                  <w:vAlign w:val="center"/>
                </w:tcPr>
                <w:p w14:paraId="656F6E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粪大肠杆菌(个/L)</w:t>
                  </w:r>
                </w:p>
              </w:tc>
            </w:tr>
            <w:tr w14:paraId="166891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024" w:type="pct"/>
                  <w:tcBorders>
                    <w:tl2br w:val="nil"/>
                    <w:tr2bl w:val="nil"/>
                  </w:tcBorders>
                  <w:noWrap w:val="0"/>
                  <w:vAlign w:val="center"/>
                </w:tcPr>
                <w:p w14:paraId="698DE15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污水浓度范围</w:t>
                  </w:r>
                </w:p>
              </w:tc>
              <w:tc>
                <w:tcPr>
                  <w:tcW w:w="683" w:type="pct"/>
                  <w:tcBorders>
                    <w:tl2br w:val="nil"/>
                    <w:tr2bl w:val="nil"/>
                  </w:tcBorders>
                  <w:noWrap w:val="0"/>
                  <w:vAlign w:val="center"/>
                </w:tcPr>
                <w:p w14:paraId="3D4729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150～300</w:t>
                  </w:r>
                </w:p>
              </w:tc>
              <w:tc>
                <w:tcPr>
                  <w:tcW w:w="683" w:type="pct"/>
                  <w:tcBorders>
                    <w:tl2br w:val="nil"/>
                    <w:tr2bl w:val="nil"/>
                  </w:tcBorders>
                  <w:noWrap w:val="0"/>
                  <w:vAlign w:val="center"/>
                </w:tcPr>
                <w:p w14:paraId="720732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80～150</w:t>
                  </w:r>
                </w:p>
              </w:tc>
              <w:tc>
                <w:tcPr>
                  <w:tcW w:w="683" w:type="pct"/>
                  <w:tcBorders>
                    <w:tl2br w:val="nil"/>
                    <w:tr2bl w:val="nil"/>
                  </w:tcBorders>
                  <w:noWrap w:val="0"/>
                  <w:vAlign w:val="center"/>
                </w:tcPr>
                <w:p w14:paraId="6057B0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40～120</w:t>
                  </w:r>
                </w:p>
              </w:tc>
              <w:tc>
                <w:tcPr>
                  <w:tcW w:w="768" w:type="pct"/>
                  <w:tcBorders>
                    <w:tl2br w:val="nil"/>
                    <w:tr2bl w:val="nil"/>
                  </w:tcBorders>
                  <w:noWrap w:val="0"/>
                  <w:vAlign w:val="center"/>
                </w:tcPr>
                <w:p w14:paraId="7FFDA4E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10～50</w:t>
                  </w:r>
                </w:p>
              </w:tc>
              <w:tc>
                <w:tcPr>
                  <w:tcW w:w="1160" w:type="pct"/>
                  <w:tcBorders>
                    <w:tl2br w:val="nil"/>
                    <w:tr2bl w:val="nil"/>
                  </w:tcBorders>
                  <w:noWrap w:val="0"/>
                  <w:vAlign w:val="center"/>
                </w:tcPr>
                <w:p w14:paraId="59C3A3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1.0×10</w:t>
                  </w:r>
                  <w:r>
                    <w:rPr>
                      <w:rFonts w:hint="default" w:ascii="Times New Roman" w:hAnsi="Times New Roman" w:eastAsia="宋体" w:cs="Times New Roman"/>
                      <w:color w:val="auto"/>
                      <w:sz w:val="21"/>
                      <w:szCs w:val="21"/>
                      <w:vertAlign w:val="superscript"/>
                    </w:rPr>
                    <w:t>6</w:t>
                  </w:r>
                  <w:r>
                    <w:rPr>
                      <w:rFonts w:hint="default" w:ascii="Times New Roman" w:hAnsi="Times New Roman" w:eastAsia="宋体" w:cs="Times New Roman"/>
                      <w:color w:val="auto"/>
                      <w:sz w:val="21"/>
                      <w:szCs w:val="21"/>
                    </w:rPr>
                    <w:t xml:space="preserve"> ~3.0×10</w:t>
                  </w:r>
                  <w:r>
                    <w:rPr>
                      <w:rFonts w:hint="default" w:ascii="Times New Roman" w:hAnsi="Times New Roman" w:eastAsia="宋体" w:cs="Times New Roman"/>
                      <w:color w:val="auto"/>
                      <w:sz w:val="21"/>
                      <w:szCs w:val="21"/>
                      <w:vertAlign w:val="superscript"/>
                    </w:rPr>
                    <w:t>8</w:t>
                  </w:r>
                </w:p>
              </w:tc>
            </w:tr>
            <w:tr w14:paraId="3A078A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024" w:type="pct"/>
                  <w:tcBorders>
                    <w:tl2br w:val="nil"/>
                    <w:tr2bl w:val="nil"/>
                  </w:tcBorders>
                  <w:noWrap w:val="0"/>
                  <w:vAlign w:val="center"/>
                </w:tcPr>
                <w:p w14:paraId="5CB8A7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取值</w:t>
                  </w:r>
                </w:p>
              </w:tc>
              <w:tc>
                <w:tcPr>
                  <w:tcW w:w="683" w:type="pct"/>
                  <w:tcBorders>
                    <w:tl2br w:val="nil"/>
                    <w:tr2bl w:val="nil"/>
                  </w:tcBorders>
                  <w:noWrap w:val="0"/>
                  <w:vAlign w:val="center"/>
                </w:tcPr>
                <w:p w14:paraId="3614BEB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683" w:type="pct"/>
                  <w:tcBorders>
                    <w:tl2br w:val="nil"/>
                    <w:tr2bl w:val="nil"/>
                  </w:tcBorders>
                  <w:noWrap w:val="0"/>
                  <w:vAlign w:val="center"/>
                </w:tcPr>
                <w:p w14:paraId="7379B61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130</w:t>
                  </w:r>
                </w:p>
              </w:tc>
              <w:tc>
                <w:tcPr>
                  <w:tcW w:w="683" w:type="pct"/>
                  <w:tcBorders>
                    <w:tl2br w:val="nil"/>
                    <w:tr2bl w:val="nil"/>
                  </w:tcBorders>
                  <w:noWrap w:val="0"/>
                  <w:vAlign w:val="center"/>
                </w:tcPr>
                <w:p w14:paraId="6E9F6B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c>
                <w:tcPr>
                  <w:tcW w:w="768" w:type="pct"/>
                  <w:tcBorders>
                    <w:tl2br w:val="nil"/>
                    <w:tr2bl w:val="nil"/>
                  </w:tcBorders>
                  <w:noWrap w:val="0"/>
                  <w:vAlign w:val="center"/>
                </w:tcPr>
                <w:p w14:paraId="6C77BEB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1160" w:type="pct"/>
                  <w:tcBorders>
                    <w:tl2br w:val="nil"/>
                    <w:tr2bl w:val="nil"/>
                  </w:tcBorders>
                  <w:noWrap w:val="0"/>
                  <w:vAlign w:val="center"/>
                </w:tcPr>
                <w:p w14:paraId="0FEAB6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×10</w:t>
                  </w:r>
                  <w:r>
                    <w:rPr>
                      <w:rFonts w:hint="eastAsia" w:ascii="Times New Roman" w:hAnsi="Times New Roman" w:eastAsia="宋体" w:cs="Times New Roman"/>
                      <w:color w:val="auto"/>
                      <w:sz w:val="21"/>
                      <w:szCs w:val="21"/>
                      <w:vertAlign w:val="superscript"/>
                      <w:lang w:val="en-US" w:eastAsia="zh-CN"/>
                    </w:rPr>
                    <w:t>6</w:t>
                  </w:r>
                </w:p>
              </w:tc>
            </w:tr>
          </w:tbl>
          <w:p w14:paraId="0265B32E">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472" w:firstLineChars="200"/>
              <w:jc w:val="both"/>
              <w:textAlignment w:val="auto"/>
              <w:outlineLvl w:val="9"/>
              <w:rPr>
                <w:rFonts w:hint="default" w:ascii="Times New Roman" w:hAnsi="Times New Roman"/>
                <w:color w:val="auto"/>
                <w:spacing w:val="-2"/>
                <w:sz w:val="24"/>
                <w:vertAlign w:val="baseline"/>
                <w:lang w:val="en-US" w:eastAsia="zh-CN"/>
              </w:rPr>
            </w:pPr>
            <w:r>
              <w:rPr>
                <w:rFonts w:hint="eastAsia" w:ascii="Times New Roman" w:hAnsi="Times New Roman"/>
                <w:color w:val="auto"/>
                <w:spacing w:val="-2"/>
                <w:sz w:val="24"/>
                <w:vertAlign w:val="baseline"/>
                <w:lang w:val="en-US" w:eastAsia="zh-CN"/>
              </w:rPr>
              <w:t>项目非病区废水水质参考江西省一般生活污水水质，各污染物浓度详见4-6</w:t>
            </w:r>
          </w:p>
          <w:p w14:paraId="2FE44E2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6</w:t>
            </w:r>
            <w:r>
              <w:rPr>
                <w:rFonts w:hint="eastAsia" w:ascii="Times New Roman" w:hAnsi="Times New Roman" w:eastAsia="宋体" w:cs="Times New Roman"/>
                <w:b/>
                <w:bCs/>
                <w:color w:val="auto"/>
                <w:sz w:val="21"/>
                <w:szCs w:val="21"/>
                <w:lang w:val="en-US" w:eastAsia="zh-CN"/>
              </w:rPr>
              <w:t>项目非病区废水水质</w:t>
            </w:r>
            <w:r>
              <w:rPr>
                <w:rFonts w:hint="eastAsia"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单位：</w:t>
            </w:r>
            <w:r>
              <w:rPr>
                <w:rFonts w:hint="default" w:ascii="Times New Roman" w:hAnsi="Times New Roman" w:eastAsia="宋体" w:cs="Times New Roman"/>
                <w:b/>
                <w:bCs/>
                <w:color w:val="auto"/>
                <w:sz w:val="21"/>
                <w:szCs w:val="21"/>
              </w:rPr>
              <w:t>mg/L</w:t>
            </w:r>
          </w:p>
          <w:tbl>
            <w:tblPr>
              <w:tblStyle w:val="1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30"/>
              <w:gridCol w:w="1321"/>
              <w:gridCol w:w="1213"/>
              <w:gridCol w:w="990"/>
              <w:gridCol w:w="1305"/>
              <w:gridCol w:w="913"/>
              <w:gridCol w:w="952"/>
            </w:tblGrid>
            <w:tr w14:paraId="00D5BA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pct"/>
                  <w:tcBorders>
                    <w:tl2br w:val="nil"/>
                    <w:tr2bl w:val="nil"/>
                  </w:tcBorders>
                  <w:vAlign w:val="center"/>
                </w:tcPr>
                <w:p w14:paraId="40F54644">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0" w:firstLineChars="0"/>
                    <w:jc w:val="center"/>
                    <w:textAlignment w:val="auto"/>
                    <w:outlineLvl w:val="9"/>
                    <w:rPr>
                      <w:rFonts w:hint="default" w:ascii="Times New Roman" w:hAnsi="Times New Roman" w:eastAsia="宋体"/>
                      <w:color w:val="auto"/>
                      <w:spacing w:val="-2"/>
                      <w:sz w:val="21"/>
                      <w:vertAlign w:val="baseline"/>
                      <w:lang w:val="en-US" w:eastAsia="zh-CN"/>
                    </w:rPr>
                  </w:pPr>
                  <w:r>
                    <w:rPr>
                      <w:rFonts w:hint="eastAsia" w:ascii="Times New Roman" w:hAnsi="Times New Roman" w:eastAsia="宋体"/>
                      <w:color w:val="auto"/>
                      <w:spacing w:val="-2"/>
                      <w:sz w:val="21"/>
                      <w:vertAlign w:val="baseline"/>
                      <w:lang w:val="en-US" w:eastAsia="zh-CN"/>
                    </w:rPr>
                    <w:t>指标</w:t>
                  </w:r>
                </w:p>
              </w:tc>
              <w:tc>
                <w:tcPr>
                  <w:tcW w:w="774" w:type="pct"/>
                  <w:tcBorders>
                    <w:tl2br w:val="nil"/>
                    <w:tr2bl w:val="nil"/>
                  </w:tcBorders>
                  <w:vAlign w:val="center"/>
                </w:tcPr>
                <w:p w14:paraId="414EF2FC">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0" w:firstLineChars="0"/>
                    <w:jc w:val="center"/>
                    <w:textAlignment w:val="auto"/>
                    <w:outlineLvl w:val="9"/>
                    <w:rPr>
                      <w:rFonts w:hint="default" w:ascii="Times New Roman" w:hAnsi="Times New Roman" w:eastAsia="宋体"/>
                      <w:color w:val="auto"/>
                      <w:spacing w:val="-2"/>
                      <w:sz w:val="21"/>
                      <w:vertAlign w:val="baseline"/>
                      <w:lang w:val="en-US" w:eastAsia="zh-CN"/>
                    </w:rPr>
                  </w:pPr>
                  <w:r>
                    <w:rPr>
                      <w:rFonts w:hint="eastAsia" w:ascii="Times New Roman" w:hAnsi="Times New Roman" w:eastAsia="宋体"/>
                      <w:color w:val="auto"/>
                      <w:spacing w:val="-2"/>
                      <w:sz w:val="21"/>
                      <w:vertAlign w:val="baseline"/>
                      <w:lang w:val="en-US" w:eastAsia="zh-CN"/>
                    </w:rPr>
                    <w:t>CODcr</w:t>
                  </w:r>
                </w:p>
              </w:tc>
              <w:tc>
                <w:tcPr>
                  <w:tcW w:w="711" w:type="pct"/>
                  <w:tcBorders>
                    <w:tl2br w:val="nil"/>
                    <w:tr2bl w:val="nil"/>
                  </w:tcBorders>
                  <w:vAlign w:val="center"/>
                </w:tcPr>
                <w:p w14:paraId="67671684">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0" w:firstLineChars="0"/>
                    <w:jc w:val="center"/>
                    <w:textAlignment w:val="auto"/>
                    <w:outlineLvl w:val="9"/>
                    <w:rPr>
                      <w:rFonts w:hint="default" w:ascii="Times New Roman" w:hAnsi="Times New Roman" w:eastAsia="宋体"/>
                      <w:color w:val="auto"/>
                      <w:spacing w:val="-2"/>
                      <w:sz w:val="21"/>
                      <w:vertAlign w:val="baseline"/>
                      <w:lang w:val="en-US" w:eastAsia="zh-CN"/>
                    </w:rPr>
                  </w:pPr>
                  <w:r>
                    <w:rPr>
                      <w:rFonts w:hint="eastAsia" w:ascii="Times New Roman" w:hAnsi="Times New Roman" w:eastAsia="宋体"/>
                      <w:color w:val="auto"/>
                      <w:spacing w:val="-2"/>
                      <w:sz w:val="21"/>
                      <w:vertAlign w:val="baseline"/>
                      <w:lang w:val="en-US" w:eastAsia="zh-CN"/>
                    </w:rPr>
                    <w:t>BOD</w:t>
                  </w:r>
                  <w:r>
                    <w:rPr>
                      <w:rFonts w:hint="eastAsia" w:ascii="Times New Roman" w:hAnsi="Times New Roman" w:eastAsia="宋体"/>
                      <w:color w:val="auto"/>
                      <w:spacing w:val="-2"/>
                      <w:sz w:val="21"/>
                      <w:vertAlign w:val="subscript"/>
                      <w:lang w:val="en-US" w:eastAsia="zh-CN"/>
                    </w:rPr>
                    <w:t>5</w:t>
                  </w:r>
                </w:p>
              </w:tc>
              <w:tc>
                <w:tcPr>
                  <w:tcW w:w="580" w:type="pct"/>
                  <w:tcBorders>
                    <w:tl2br w:val="nil"/>
                    <w:tr2bl w:val="nil"/>
                  </w:tcBorders>
                  <w:vAlign w:val="center"/>
                </w:tcPr>
                <w:p w14:paraId="0AECA304">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0" w:firstLineChars="0"/>
                    <w:jc w:val="center"/>
                    <w:textAlignment w:val="auto"/>
                    <w:outlineLvl w:val="9"/>
                    <w:rPr>
                      <w:rFonts w:hint="default" w:ascii="Times New Roman" w:hAnsi="Times New Roman" w:eastAsia="宋体"/>
                      <w:color w:val="auto"/>
                      <w:spacing w:val="-2"/>
                      <w:sz w:val="21"/>
                      <w:vertAlign w:val="baseline"/>
                      <w:lang w:val="en-US" w:eastAsia="zh-CN"/>
                    </w:rPr>
                  </w:pPr>
                  <w:r>
                    <w:rPr>
                      <w:rFonts w:hint="eastAsia" w:ascii="Times New Roman" w:hAnsi="Times New Roman" w:eastAsia="宋体"/>
                      <w:color w:val="auto"/>
                      <w:spacing w:val="-2"/>
                      <w:sz w:val="21"/>
                      <w:vertAlign w:val="baseline"/>
                      <w:lang w:val="en-US" w:eastAsia="zh-CN"/>
                    </w:rPr>
                    <w:t>SS</w:t>
                  </w:r>
                </w:p>
              </w:tc>
              <w:tc>
                <w:tcPr>
                  <w:tcW w:w="765" w:type="pct"/>
                  <w:tcBorders>
                    <w:tl2br w:val="nil"/>
                    <w:tr2bl w:val="nil"/>
                  </w:tcBorders>
                  <w:vAlign w:val="center"/>
                </w:tcPr>
                <w:p w14:paraId="354391C7">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0" w:firstLineChars="0"/>
                    <w:jc w:val="center"/>
                    <w:textAlignment w:val="auto"/>
                    <w:outlineLvl w:val="9"/>
                    <w:rPr>
                      <w:rFonts w:hint="default" w:ascii="Times New Roman" w:hAnsi="Times New Roman" w:eastAsia="宋体"/>
                      <w:color w:val="auto"/>
                      <w:spacing w:val="-2"/>
                      <w:sz w:val="21"/>
                      <w:vertAlign w:val="baseline"/>
                      <w:lang w:val="en-US" w:eastAsia="zh-CN"/>
                    </w:rPr>
                  </w:pPr>
                  <w:r>
                    <w:rPr>
                      <w:rFonts w:hint="eastAsia" w:ascii="Times New Roman" w:hAnsi="Times New Roman" w:eastAsia="宋体"/>
                      <w:color w:val="auto"/>
                      <w:spacing w:val="-2"/>
                      <w:sz w:val="21"/>
                      <w:vertAlign w:val="baseline"/>
                      <w:lang w:val="en-US" w:eastAsia="zh-CN"/>
                    </w:rPr>
                    <w:t>NH</w:t>
                  </w:r>
                  <w:r>
                    <w:rPr>
                      <w:rFonts w:hint="eastAsia" w:ascii="Times New Roman" w:hAnsi="Times New Roman" w:eastAsia="宋体"/>
                      <w:color w:val="auto"/>
                      <w:spacing w:val="-2"/>
                      <w:sz w:val="21"/>
                      <w:vertAlign w:val="subscript"/>
                      <w:lang w:val="en-US" w:eastAsia="zh-CN"/>
                    </w:rPr>
                    <w:t>3</w:t>
                  </w:r>
                  <w:r>
                    <w:rPr>
                      <w:rFonts w:hint="eastAsia" w:ascii="Times New Roman" w:hAnsi="Times New Roman" w:eastAsia="宋体"/>
                      <w:color w:val="auto"/>
                      <w:spacing w:val="-2"/>
                      <w:sz w:val="21"/>
                      <w:vertAlign w:val="baseline"/>
                      <w:lang w:val="en-US" w:eastAsia="zh-CN"/>
                    </w:rPr>
                    <w:t>-N</w:t>
                  </w:r>
                </w:p>
              </w:tc>
              <w:tc>
                <w:tcPr>
                  <w:tcW w:w="535" w:type="pct"/>
                  <w:tcBorders>
                    <w:tl2br w:val="nil"/>
                    <w:tr2bl w:val="nil"/>
                  </w:tcBorders>
                  <w:vAlign w:val="center"/>
                </w:tcPr>
                <w:p w14:paraId="6A6FFB49">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0" w:firstLineChars="0"/>
                    <w:jc w:val="center"/>
                    <w:textAlignment w:val="auto"/>
                    <w:outlineLvl w:val="9"/>
                    <w:rPr>
                      <w:rFonts w:hint="default" w:ascii="Times New Roman" w:hAnsi="Times New Roman" w:eastAsia="宋体"/>
                      <w:color w:val="auto"/>
                      <w:spacing w:val="-2"/>
                      <w:sz w:val="21"/>
                      <w:vertAlign w:val="baseline"/>
                      <w:lang w:val="en-US" w:eastAsia="zh-CN"/>
                    </w:rPr>
                  </w:pPr>
                  <w:r>
                    <w:rPr>
                      <w:rFonts w:hint="eastAsia" w:ascii="Times New Roman" w:hAnsi="Times New Roman" w:eastAsia="宋体"/>
                      <w:color w:val="auto"/>
                      <w:spacing w:val="-2"/>
                      <w:sz w:val="21"/>
                      <w:vertAlign w:val="baseline"/>
                      <w:lang w:val="en-US" w:eastAsia="zh-CN"/>
                    </w:rPr>
                    <w:t>TP</w:t>
                  </w:r>
                </w:p>
              </w:tc>
              <w:tc>
                <w:tcPr>
                  <w:tcW w:w="558" w:type="pct"/>
                  <w:tcBorders>
                    <w:tl2br w:val="nil"/>
                    <w:tr2bl w:val="nil"/>
                  </w:tcBorders>
                  <w:vAlign w:val="center"/>
                </w:tcPr>
                <w:p w14:paraId="12DDDD07">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0" w:firstLineChars="0"/>
                    <w:jc w:val="center"/>
                    <w:textAlignment w:val="auto"/>
                    <w:outlineLvl w:val="9"/>
                    <w:rPr>
                      <w:rFonts w:hint="default" w:ascii="Times New Roman" w:hAnsi="Times New Roman" w:eastAsia="宋体"/>
                      <w:color w:val="auto"/>
                      <w:spacing w:val="-2"/>
                      <w:sz w:val="21"/>
                      <w:vertAlign w:val="baseline"/>
                      <w:lang w:val="en-US" w:eastAsia="zh-CN"/>
                    </w:rPr>
                  </w:pPr>
                  <w:r>
                    <w:rPr>
                      <w:rFonts w:hint="eastAsia" w:ascii="Times New Roman" w:hAnsi="Times New Roman" w:eastAsia="宋体"/>
                      <w:color w:val="auto"/>
                      <w:spacing w:val="-2"/>
                      <w:sz w:val="21"/>
                      <w:vertAlign w:val="baseline"/>
                      <w:lang w:val="en-US" w:eastAsia="zh-CN"/>
                    </w:rPr>
                    <w:t>TN</w:t>
                  </w:r>
                </w:p>
              </w:tc>
            </w:tr>
            <w:tr w14:paraId="18116E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pct"/>
                  <w:tcBorders>
                    <w:tl2br w:val="nil"/>
                    <w:tr2bl w:val="nil"/>
                  </w:tcBorders>
                  <w:vAlign w:val="center"/>
                </w:tcPr>
                <w:p w14:paraId="67CADE82">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0" w:firstLineChars="0"/>
                    <w:jc w:val="center"/>
                    <w:textAlignment w:val="auto"/>
                    <w:outlineLvl w:val="9"/>
                    <w:rPr>
                      <w:rFonts w:hint="default" w:ascii="Times New Roman" w:hAnsi="Times New Roman" w:eastAsia="宋体"/>
                      <w:color w:val="auto"/>
                      <w:spacing w:val="-2"/>
                      <w:sz w:val="21"/>
                      <w:vertAlign w:val="baseline"/>
                      <w:lang w:val="en-US" w:eastAsia="zh-CN"/>
                    </w:rPr>
                  </w:pPr>
                  <w:r>
                    <w:rPr>
                      <w:rFonts w:hint="eastAsia" w:ascii="Times New Roman" w:hAnsi="Times New Roman" w:eastAsia="宋体"/>
                      <w:color w:val="auto"/>
                      <w:spacing w:val="-2"/>
                      <w:sz w:val="21"/>
                      <w:vertAlign w:val="baseline"/>
                      <w:lang w:val="en-US" w:eastAsia="zh-CN"/>
                    </w:rPr>
                    <w:t>浓度（mg/L）</w:t>
                  </w:r>
                </w:p>
              </w:tc>
              <w:tc>
                <w:tcPr>
                  <w:tcW w:w="774" w:type="pct"/>
                  <w:tcBorders>
                    <w:tl2br w:val="nil"/>
                    <w:tr2bl w:val="nil"/>
                  </w:tcBorders>
                  <w:vAlign w:val="center"/>
                </w:tcPr>
                <w:p w14:paraId="2457D88A">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0" w:firstLineChars="0"/>
                    <w:jc w:val="center"/>
                    <w:textAlignment w:val="auto"/>
                    <w:outlineLvl w:val="9"/>
                    <w:rPr>
                      <w:rFonts w:hint="default" w:ascii="Times New Roman" w:hAnsi="Times New Roman" w:eastAsia="宋体"/>
                      <w:color w:val="auto"/>
                      <w:spacing w:val="-2"/>
                      <w:sz w:val="21"/>
                      <w:vertAlign w:val="baseline"/>
                      <w:lang w:val="en-US" w:eastAsia="zh-CN"/>
                    </w:rPr>
                  </w:pPr>
                  <w:r>
                    <w:rPr>
                      <w:rFonts w:hint="eastAsia" w:ascii="Times New Roman" w:hAnsi="Times New Roman" w:eastAsia="宋体"/>
                      <w:color w:val="auto"/>
                      <w:spacing w:val="-2"/>
                      <w:sz w:val="21"/>
                      <w:vertAlign w:val="baseline"/>
                      <w:lang w:val="en-US" w:eastAsia="zh-CN"/>
                    </w:rPr>
                    <w:t>220</w:t>
                  </w:r>
                </w:p>
              </w:tc>
              <w:tc>
                <w:tcPr>
                  <w:tcW w:w="711" w:type="pct"/>
                  <w:tcBorders>
                    <w:tl2br w:val="nil"/>
                    <w:tr2bl w:val="nil"/>
                  </w:tcBorders>
                  <w:vAlign w:val="center"/>
                </w:tcPr>
                <w:p w14:paraId="26FAB9DA">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0" w:firstLineChars="0"/>
                    <w:jc w:val="center"/>
                    <w:textAlignment w:val="auto"/>
                    <w:outlineLvl w:val="9"/>
                    <w:rPr>
                      <w:rFonts w:hint="default" w:ascii="Times New Roman" w:hAnsi="Times New Roman" w:eastAsia="宋体"/>
                      <w:color w:val="auto"/>
                      <w:spacing w:val="-2"/>
                      <w:sz w:val="21"/>
                      <w:vertAlign w:val="baseline"/>
                      <w:lang w:val="en-US" w:eastAsia="zh-CN"/>
                    </w:rPr>
                  </w:pPr>
                  <w:r>
                    <w:rPr>
                      <w:rFonts w:hint="eastAsia" w:ascii="Times New Roman" w:hAnsi="Times New Roman" w:eastAsia="宋体"/>
                      <w:color w:val="auto"/>
                      <w:spacing w:val="-2"/>
                      <w:sz w:val="21"/>
                      <w:vertAlign w:val="baseline"/>
                      <w:lang w:val="en-US" w:eastAsia="zh-CN"/>
                    </w:rPr>
                    <w:t>120</w:t>
                  </w:r>
                </w:p>
              </w:tc>
              <w:tc>
                <w:tcPr>
                  <w:tcW w:w="580" w:type="pct"/>
                  <w:tcBorders>
                    <w:tl2br w:val="nil"/>
                    <w:tr2bl w:val="nil"/>
                  </w:tcBorders>
                  <w:vAlign w:val="center"/>
                </w:tcPr>
                <w:p w14:paraId="35249AA6">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0" w:firstLineChars="0"/>
                    <w:jc w:val="center"/>
                    <w:textAlignment w:val="auto"/>
                    <w:outlineLvl w:val="9"/>
                    <w:rPr>
                      <w:rFonts w:hint="default" w:ascii="Times New Roman" w:hAnsi="Times New Roman" w:eastAsia="宋体"/>
                      <w:color w:val="auto"/>
                      <w:spacing w:val="-2"/>
                      <w:sz w:val="21"/>
                      <w:vertAlign w:val="baseline"/>
                      <w:lang w:val="en-US" w:eastAsia="zh-CN"/>
                    </w:rPr>
                  </w:pPr>
                  <w:r>
                    <w:rPr>
                      <w:rFonts w:hint="eastAsia" w:ascii="Times New Roman" w:hAnsi="Times New Roman" w:eastAsia="宋体"/>
                      <w:color w:val="auto"/>
                      <w:spacing w:val="-2"/>
                      <w:sz w:val="21"/>
                      <w:vertAlign w:val="baseline"/>
                      <w:lang w:val="en-US" w:eastAsia="zh-CN"/>
                    </w:rPr>
                    <w:t>150</w:t>
                  </w:r>
                </w:p>
              </w:tc>
              <w:tc>
                <w:tcPr>
                  <w:tcW w:w="765" w:type="pct"/>
                  <w:tcBorders>
                    <w:tl2br w:val="nil"/>
                    <w:tr2bl w:val="nil"/>
                  </w:tcBorders>
                  <w:vAlign w:val="center"/>
                </w:tcPr>
                <w:p w14:paraId="2A0E3F62">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0" w:firstLineChars="0"/>
                    <w:jc w:val="center"/>
                    <w:textAlignment w:val="auto"/>
                    <w:outlineLvl w:val="9"/>
                    <w:rPr>
                      <w:rFonts w:hint="default" w:ascii="Times New Roman" w:hAnsi="Times New Roman" w:eastAsia="宋体"/>
                      <w:color w:val="auto"/>
                      <w:spacing w:val="-2"/>
                      <w:sz w:val="21"/>
                      <w:vertAlign w:val="baseline"/>
                      <w:lang w:val="en-US" w:eastAsia="zh-CN"/>
                    </w:rPr>
                  </w:pPr>
                  <w:r>
                    <w:rPr>
                      <w:rFonts w:hint="eastAsia" w:ascii="Times New Roman" w:hAnsi="Times New Roman" w:eastAsia="宋体"/>
                      <w:color w:val="auto"/>
                      <w:spacing w:val="-2"/>
                      <w:sz w:val="21"/>
                      <w:vertAlign w:val="baseline"/>
                      <w:lang w:val="en-US" w:eastAsia="zh-CN"/>
                    </w:rPr>
                    <w:t>25</w:t>
                  </w:r>
                </w:p>
              </w:tc>
              <w:tc>
                <w:tcPr>
                  <w:tcW w:w="535" w:type="pct"/>
                  <w:tcBorders>
                    <w:tl2br w:val="nil"/>
                    <w:tr2bl w:val="nil"/>
                  </w:tcBorders>
                  <w:vAlign w:val="center"/>
                </w:tcPr>
                <w:p w14:paraId="3F2B9D73">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0" w:firstLineChars="0"/>
                    <w:jc w:val="center"/>
                    <w:textAlignment w:val="auto"/>
                    <w:outlineLvl w:val="9"/>
                    <w:rPr>
                      <w:rFonts w:hint="default" w:ascii="Times New Roman" w:hAnsi="Times New Roman" w:eastAsia="宋体"/>
                      <w:color w:val="auto"/>
                      <w:spacing w:val="-2"/>
                      <w:sz w:val="21"/>
                      <w:vertAlign w:val="baseline"/>
                      <w:lang w:val="en-US" w:eastAsia="zh-CN"/>
                    </w:rPr>
                  </w:pPr>
                  <w:r>
                    <w:rPr>
                      <w:rFonts w:hint="eastAsia" w:ascii="Times New Roman" w:hAnsi="Times New Roman" w:eastAsia="宋体"/>
                      <w:color w:val="auto"/>
                      <w:spacing w:val="-2"/>
                      <w:sz w:val="21"/>
                      <w:vertAlign w:val="baseline"/>
                      <w:lang w:val="en-US" w:eastAsia="zh-CN"/>
                    </w:rPr>
                    <w:t>3</w:t>
                  </w:r>
                </w:p>
              </w:tc>
              <w:tc>
                <w:tcPr>
                  <w:tcW w:w="558" w:type="pct"/>
                  <w:tcBorders>
                    <w:tl2br w:val="nil"/>
                    <w:tr2bl w:val="nil"/>
                  </w:tcBorders>
                  <w:vAlign w:val="center"/>
                </w:tcPr>
                <w:p w14:paraId="222CFD38">
                  <w:pPr>
                    <w:pStyle w:val="3"/>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0" w:firstLineChars="0"/>
                    <w:jc w:val="center"/>
                    <w:textAlignment w:val="auto"/>
                    <w:outlineLvl w:val="9"/>
                    <w:rPr>
                      <w:rFonts w:hint="default" w:ascii="Times New Roman" w:hAnsi="Times New Roman" w:eastAsia="宋体"/>
                      <w:color w:val="auto"/>
                      <w:spacing w:val="-2"/>
                      <w:sz w:val="21"/>
                      <w:vertAlign w:val="baseline"/>
                      <w:lang w:val="en-US" w:eastAsia="zh-CN"/>
                    </w:rPr>
                  </w:pPr>
                  <w:r>
                    <w:rPr>
                      <w:rFonts w:hint="eastAsia" w:ascii="Times New Roman" w:hAnsi="Times New Roman" w:eastAsia="宋体"/>
                      <w:color w:val="auto"/>
                      <w:spacing w:val="-2"/>
                      <w:sz w:val="21"/>
                      <w:vertAlign w:val="baseline"/>
                      <w:lang w:val="en-US" w:eastAsia="zh-CN"/>
                    </w:rPr>
                    <w:t>30</w:t>
                  </w:r>
                </w:p>
              </w:tc>
            </w:tr>
          </w:tbl>
          <w:p w14:paraId="10D36ADF">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both"/>
              <w:textAlignment w:val="auto"/>
              <w:rPr>
                <w:rFonts w:hint="default" w:ascii="Times New Roman" w:hAnsi="Times New Roman" w:eastAsia="宋体" w:cs="Times New Roman"/>
                <w:b w:val="0"/>
                <w:color w:val="7030A0"/>
                <w:sz w:val="24"/>
                <w:szCs w:val="24"/>
                <w:lang w:val="en-US" w:eastAsia="zh-CN"/>
              </w:rPr>
            </w:pPr>
            <w:r>
              <w:rPr>
                <w:rFonts w:hint="eastAsia" w:ascii="Times New Roman" w:hAnsi="Times New Roman" w:eastAsia="宋体" w:cs="Times New Roman"/>
                <w:b w:val="0"/>
                <w:color w:val="7030A0"/>
                <w:sz w:val="24"/>
                <w:szCs w:val="24"/>
                <w:lang w:val="en-US" w:eastAsia="zh-CN"/>
              </w:rPr>
              <w:t>LAS产生浓度参考《深圳科兴动保生物科技有限公司实验室新建项目》</w:t>
            </w:r>
            <w:r>
              <w:rPr>
                <w:rFonts w:hint="eastAsia" w:cs="Times New Roman"/>
                <w:b w:val="0"/>
                <w:color w:val="7030A0"/>
                <w:sz w:val="24"/>
                <w:szCs w:val="24"/>
                <w:lang w:val="en-US" w:eastAsia="zh-CN"/>
              </w:rPr>
              <w:t>，</w:t>
            </w:r>
            <w:r>
              <w:rPr>
                <w:rFonts w:hint="eastAsia" w:ascii="Times New Roman" w:hAnsi="Times New Roman" w:eastAsia="宋体" w:cs="Times New Roman"/>
                <w:b w:val="0"/>
                <w:color w:val="7030A0"/>
                <w:sz w:val="24"/>
                <w:szCs w:val="24"/>
                <w:lang w:val="en-US" w:eastAsia="zh-CN"/>
              </w:rPr>
              <w:t>项目洗衣过程也使用洗涤剂清洗后再漂洗，具有一定的可类比性</w:t>
            </w:r>
            <w:r>
              <w:rPr>
                <w:rFonts w:hint="eastAsia" w:cs="Times New Roman"/>
                <w:b w:val="0"/>
                <w:color w:val="7030A0"/>
                <w:sz w:val="24"/>
                <w:szCs w:val="24"/>
                <w:lang w:val="en-US" w:eastAsia="zh-CN"/>
              </w:rPr>
              <w:t>，</w:t>
            </w:r>
            <w:r>
              <w:rPr>
                <w:rFonts w:hint="eastAsia" w:ascii="Times New Roman" w:hAnsi="Times New Roman" w:eastAsia="宋体" w:cs="Times New Roman"/>
                <w:b w:val="0"/>
                <w:color w:val="7030A0"/>
                <w:sz w:val="24"/>
                <w:szCs w:val="24"/>
                <w:lang w:val="en-US" w:eastAsia="zh-CN"/>
              </w:rPr>
              <w:t>LAS产生浓度保守取较大值2.51mg/L。</w:t>
            </w:r>
            <w:r>
              <w:rPr>
                <w:rFonts w:hint="eastAsia" w:ascii="Times New Roman" w:hAnsi="Times New Roman" w:eastAsia="宋体" w:cs="Times New Roman"/>
                <w:b w:val="0"/>
                <w:color w:val="auto"/>
                <w:sz w:val="24"/>
                <w:szCs w:val="24"/>
                <w:lang w:val="en-US" w:eastAsia="zh-CN"/>
              </w:rPr>
              <w:t>本项目污水处理</w:t>
            </w:r>
            <w:r>
              <w:rPr>
                <w:rFonts w:hint="eastAsia" w:cs="Times New Roman"/>
                <w:b w:val="0"/>
                <w:color w:val="auto"/>
                <w:sz w:val="24"/>
                <w:szCs w:val="24"/>
                <w:lang w:val="en-US" w:eastAsia="zh-CN"/>
              </w:rPr>
              <w:t>设备为一体化地埋设备，处理</w:t>
            </w:r>
            <w:r>
              <w:rPr>
                <w:rFonts w:hint="eastAsia" w:ascii="Times New Roman" w:hAnsi="Times New Roman" w:eastAsia="宋体" w:cs="Times New Roman"/>
                <w:b w:val="0"/>
                <w:color w:val="auto"/>
                <w:sz w:val="24"/>
                <w:szCs w:val="24"/>
                <w:lang w:val="en-US" w:eastAsia="zh-CN"/>
              </w:rPr>
              <w:t>工艺</w:t>
            </w:r>
            <w:r>
              <w:rPr>
                <w:rFonts w:hint="eastAsia" w:cs="Times New Roman"/>
                <w:b w:val="0"/>
                <w:color w:val="auto"/>
                <w:sz w:val="24"/>
                <w:szCs w:val="24"/>
                <w:lang w:val="en-US" w:eastAsia="zh-CN"/>
              </w:rPr>
              <w:t>为</w:t>
            </w:r>
            <w:r>
              <w:rPr>
                <w:rFonts w:hint="default" w:ascii="Times New Roman" w:hAnsi="Times New Roman" w:eastAsia="宋体" w:cs="Times New Roman"/>
                <w:b w:val="0"/>
                <w:color w:val="auto"/>
                <w:sz w:val="24"/>
                <w:szCs w:val="24"/>
                <w:lang w:val="en-US" w:eastAsia="zh-CN"/>
              </w:rPr>
              <w:t>“</w:t>
            </w:r>
            <w:r>
              <w:rPr>
                <w:rFonts w:hint="eastAsia" w:cs="Times New Roman"/>
                <w:b w:val="0"/>
                <w:color w:val="auto"/>
                <w:sz w:val="24"/>
                <w:szCs w:val="24"/>
                <w:lang w:val="en-US" w:eastAsia="zh-CN"/>
              </w:rPr>
              <w:t>生化</w:t>
            </w:r>
            <w:r>
              <w:rPr>
                <w:rFonts w:hint="eastAsia" w:ascii="Times New Roman" w:hAnsi="Times New Roman" w:eastAsia="宋体" w:cs="Times New Roman"/>
                <w:b w:val="0"/>
                <w:color w:val="auto"/>
                <w:sz w:val="24"/>
                <w:szCs w:val="24"/>
                <w:lang w:val="en-US" w:eastAsia="zh-CN"/>
              </w:rPr>
              <w:t>+MBR膜+消毒</w:t>
            </w:r>
            <w:r>
              <w:rPr>
                <w:rFonts w:hint="default" w:ascii="Times New Roman" w:hAnsi="Times New Roman" w:eastAsia="宋体" w:cs="Times New Roman"/>
                <w:b w:val="0"/>
                <w:color w:val="auto"/>
                <w:sz w:val="24"/>
                <w:szCs w:val="24"/>
                <w:lang w:val="en-US" w:eastAsia="zh-CN"/>
              </w:rPr>
              <w:t>”工艺</w:t>
            </w:r>
            <w:r>
              <w:rPr>
                <w:rFonts w:hint="eastAsia" w:ascii="Times New Roman" w:hAnsi="Times New Roman" w:eastAsia="宋体" w:cs="Times New Roman"/>
                <w:b w:val="0"/>
                <w:color w:val="auto"/>
                <w:sz w:val="24"/>
                <w:szCs w:val="24"/>
                <w:lang w:val="en-US" w:eastAsia="zh-CN"/>
              </w:rPr>
              <w:t>，</w:t>
            </w:r>
            <w:r>
              <w:rPr>
                <w:rFonts w:hint="eastAsia" w:cs="Times New Roman"/>
                <w:b w:val="0"/>
                <w:color w:val="auto"/>
                <w:sz w:val="24"/>
                <w:szCs w:val="24"/>
                <w:lang w:val="en-US" w:eastAsia="zh-CN"/>
              </w:rPr>
              <w:t>本项目废水污染物</w:t>
            </w:r>
            <w:r>
              <w:rPr>
                <w:rFonts w:hint="eastAsia" w:ascii="Times New Roman" w:hAnsi="Times New Roman" w:eastAsia="宋体" w:cs="Times New Roman"/>
                <w:b w:val="0"/>
                <w:color w:val="auto"/>
                <w:sz w:val="24"/>
                <w:szCs w:val="24"/>
                <w:lang w:val="en-US" w:eastAsia="zh-CN"/>
              </w:rPr>
              <w:t>去除率参考《遂溪县城月镇中心卫生院升级建设项目竣工验收监测报告》，该项目自建污水处理设施采用</w:t>
            </w:r>
            <w:r>
              <w:rPr>
                <w:rFonts w:hint="eastAsia" w:cs="Times New Roman"/>
                <w:b w:val="0"/>
                <w:color w:val="auto"/>
                <w:sz w:val="24"/>
                <w:szCs w:val="24"/>
                <w:lang w:val="en-US" w:eastAsia="zh-CN"/>
              </w:rPr>
              <w:t>一体化设备处理废水，处理工艺为</w:t>
            </w:r>
            <w:r>
              <w:rPr>
                <w:rFonts w:hint="eastAsia" w:ascii="Times New Roman" w:hAnsi="Times New Roman" w:eastAsia="宋体" w:cs="Times New Roman"/>
                <w:b w:val="0"/>
                <w:color w:val="auto"/>
                <w:sz w:val="24"/>
                <w:szCs w:val="24"/>
                <w:lang w:val="en-US" w:eastAsia="zh-CN"/>
              </w:rPr>
              <w:t>“</w:t>
            </w:r>
            <w:r>
              <w:rPr>
                <w:rFonts w:hint="eastAsia" w:cs="Times New Roman"/>
                <w:b w:val="0"/>
                <w:color w:val="auto"/>
                <w:sz w:val="24"/>
                <w:szCs w:val="24"/>
                <w:lang w:val="en-US" w:eastAsia="zh-CN"/>
              </w:rPr>
              <w:t>生化+MBR膜+消毒”</w:t>
            </w:r>
            <w:r>
              <w:rPr>
                <w:rFonts w:hint="eastAsia" w:ascii="Times New Roman" w:hAnsi="Times New Roman" w:eastAsia="宋体" w:cs="Times New Roman"/>
                <w:b w:val="0"/>
                <w:color w:val="auto"/>
                <w:sz w:val="24"/>
                <w:szCs w:val="24"/>
                <w:lang w:val="en-US" w:eastAsia="zh-CN"/>
              </w:rPr>
              <w:t>：COD平均去除率为</w:t>
            </w:r>
            <w:r>
              <w:rPr>
                <w:rFonts w:hint="eastAsia" w:cs="Times New Roman"/>
                <w:b w:val="0"/>
                <w:color w:val="auto"/>
                <w:sz w:val="24"/>
                <w:szCs w:val="24"/>
                <w:lang w:val="en-US" w:eastAsia="zh-CN"/>
              </w:rPr>
              <w:t>90.5</w:t>
            </w:r>
            <w:r>
              <w:rPr>
                <w:rFonts w:hint="eastAsia" w:ascii="Times New Roman" w:hAnsi="Times New Roman" w:eastAsia="宋体" w:cs="Times New Roman"/>
                <w:b w:val="0"/>
                <w:color w:val="auto"/>
                <w:sz w:val="24"/>
                <w:szCs w:val="24"/>
                <w:lang w:val="en-US" w:eastAsia="zh-CN"/>
              </w:rPr>
              <w:t>%</w:t>
            </w:r>
            <w:r>
              <w:rPr>
                <w:rFonts w:hint="eastAsia" w:cs="Times New Roman"/>
                <w:b w:val="0"/>
                <w:color w:val="auto"/>
                <w:sz w:val="24"/>
                <w:szCs w:val="24"/>
                <w:lang w:val="en-US" w:eastAsia="zh-CN"/>
              </w:rPr>
              <w:t>；</w:t>
            </w:r>
            <w:r>
              <w:rPr>
                <w:rFonts w:hint="eastAsia" w:ascii="Times New Roman" w:hAnsi="Times New Roman" w:eastAsia="宋体" w:cs="Times New Roman"/>
                <w:b w:val="0"/>
                <w:color w:val="auto"/>
                <w:sz w:val="24"/>
                <w:szCs w:val="24"/>
                <w:lang w:val="en-US" w:eastAsia="zh-CN"/>
              </w:rPr>
              <w:t>BOD</w:t>
            </w:r>
            <w:r>
              <w:rPr>
                <w:rFonts w:hint="eastAsia" w:ascii="Times New Roman" w:hAnsi="Times New Roman" w:eastAsia="宋体" w:cs="Times New Roman"/>
                <w:b w:val="0"/>
                <w:color w:val="auto"/>
                <w:sz w:val="24"/>
                <w:szCs w:val="24"/>
                <w:vertAlign w:val="subscript"/>
                <w:lang w:val="en-US" w:eastAsia="zh-CN"/>
              </w:rPr>
              <w:t>5</w:t>
            </w:r>
            <w:r>
              <w:rPr>
                <w:rFonts w:hint="eastAsia" w:ascii="Times New Roman" w:hAnsi="Times New Roman" w:eastAsia="宋体" w:cs="Times New Roman"/>
                <w:b w:val="0"/>
                <w:color w:val="auto"/>
                <w:sz w:val="24"/>
                <w:szCs w:val="24"/>
                <w:lang w:val="en-US" w:eastAsia="zh-CN"/>
              </w:rPr>
              <w:t>平均去除率为</w:t>
            </w:r>
            <w:r>
              <w:rPr>
                <w:rFonts w:hint="eastAsia" w:cs="Times New Roman"/>
                <w:b w:val="0"/>
                <w:color w:val="auto"/>
                <w:sz w:val="24"/>
                <w:szCs w:val="24"/>
                <w:lang w:val="en-US" w:eastAsia="zh-CN"/>
              </w:rPr>
              <w:t>90.5</w:t>
            </w:r>
            <w:r>
              <w:rPr>
                <w:rFonts w:hint="eastAsia" w:ascii="Times New Roman" w:hAnsi="Times New Roman" w:eastAsia="宋体" w:cs="Times New Roman"/>
                <w:b w:val="0"/>
                <w:color w:val="auto"/>
                <w:sz w:val="24"/>
                <w:szCs w:val="24"/>
                <w:lang w:val="en-US" w:eastAsia="zh-CN"/>
              </w:rPr>
              <w:t>%</w:t>
            </w:r>
            <w:r>
              <w:rPr>
                <w:rFonts w:hint="eastAsia" w:cs="Times New Roman"/>
                <w:b w:val="0"/>
                <w:color w:val="auto"/>
                <w:sz w:val="24"/>
                <w:szCs w:val="24"/>
                <w:lang w:val="en-US" w:eastAsia="zh-CN"/>
              </w:rPr>
              <w:t>；</w:t>
            </w:r>
            <w:r>
              <w:rPr>
                <w:rFonts w:hint="eastAsia" w:ascii="Times New Roman" w:hAnsi="Times New Roman" w:eastAsia="宋体" w:cs="Times New Roman"/>
                <w:b w:val="0"/>
                <w:color w:val="auto"/>
                <w:sz w:val="24"/>
                <w:szCs w:val="24"/>
                <w:lang w:val="en-US" w:eastAsia="zh-CN"/>
              </w:rPr>
              <w:t>SS平均去除率为</w:t>
            </w:r>
            <w:r>
              <w:rPr>
                <w:rFonts w:hint="eastAsia" w:cs="Times New Roman"/>
                <w:b w:val="0"/>
                <w:color w:val="auto"/>
                <w:sz w:val="24"/>
                <w:szCs w:val="24"/>
                <w:lang w:val="en-US" w:eastAsia="zh-CN"/>
              </w:rPr>
              <w:t>84.5</w:t>
            </w:r>
            <w:r>
              <w:rPr>
                <w:rFonts w:hint="eastAsia" w:ascii="Times New Roman" w:hAnsi="Times New Roman" w:eastAsia="宋体" w:cs="Times New Roman"/>
                <w:b w:val="0"/>
                <w:color w:val="auto"/>
                <w:sz w:val="24"/>
                <w:szCs w:val="24"/>
                <w:lang w:val="en-US" w:eastAsia="zh-CN"/>
              </w:rPr>
              <w:t>%</w:t>
            </w:r>
            <w:r>
              <w:rPr>
                <w:rFonts w:hint="eastAsia" w:cs="Times New Roman"/>
                <w:b w:val="0"/>
                <w:color w:val="auto"/>
                <w:sz w:val="24"/>
                <w:szCs w:val="24"/>
                <w:lang w:val="en-US" w:eastAsia="zh-CN"/>
              </w:rPr>
              <w:t>；</w:t>
            </w:r>
            <w:r>
              <w:rPr>
                <w:rFonts w:hint="eastAsia" w:ascii="Times New Roman" w:hAnsi="Times New Roman" w:eastAsia="宋体" w:cs="Times New Roman"/>
                <w:b w:val="0"/>
                <w:color w:val="auto"/>
                <w:sz w:val="24"/>
                <w:szCs w:val="24"/>
                <w:lang w:val="en-US" w:eastAsia="zh-CN"/>
              </w:rPr>
              <w:t>氨氮平均去除率为</w:t>
            </w:r>
            <w:r>
              <w:rPr>
                <w:rFonts w:hint="eastAsia" w:cs="Times New Roman"/>
                <w:b w:val="0"/>
                <w:color w:val="auto"/>
                <w:sz w:val="24"/>
                <w:szCs w:val="24"/>
                <w:lang w:val="en-US" w:eastAsia="zh-CN"/>
              </w:rPr>
              <w:t>82</w:t>
            </w:r>
            <w:r>
              <w:rPr>
                <w:rFonts w:hint="eastAsia" w:ascii="Times New Roman" w:hAnsi="Times New Roman" w:eastAsia="宋体" w:cs="Times New Roman"/>
                <w:b w:val="0"/>
                <w:color w:val="auto"/>
                <w:sz w:val="24"/>
                <w:szCs w:val="24"/>
                <w:lang w:val="en-US" w:eastAsia="zh-CN"/>
              </w:rPr>
              <w:t>%</w:t>
            </w:r>
            <w:r>
              <w:rPr>
                <w:rFonts w:hint="eastAsia" w:cs="Times New Roman"/>
                <w:b w:val="0"/>
                <w:color w:val="auto"/>
                <w:sz w:val="24"/>
                <w:szCs w:val="24"/>
                <w:lang w:val="en-US" w:eastAsia="zh-CN"/>
              </w:rPr>
              <w:t>；</w:t>
            </w:r>
            <w:r>
              <w:rPr>
                <w:rFonts w:hint="eastAsia" w:ascii="Times New Roman" w:hAnsi="Times New Roman" w:eastAsia="宋体" w:cs="Times New Roman"/>
                <w:b w:val="0"/>
                <w:color w:val="auto"/>
                <w:sz w:val="24"/>
                <w:szCs w:val="24"/>
                <w:lang w:val="en-US" w:eastAsia="zh-CN"/>
              </w:rPr>
              <w:t>总氮</w:t>
            </w:r>
            <w:r>
              <w:rPr>
                <w:rFonts w:hint="eastAsia" w:cs="Times New Roman"/>
                <w:b w:val="0"/>
                <w:color w:val="auto"/>
                <w:sz w:val="24"/>
                <w:szCs w:val="24"/>
                <w:lang w:val="en-US" w:eastAsia="zh-CN"/>
              </w:rPr>
              <w:t>平均</w:t>
            </w:r>
            <w:r>
              <w:rPr>
                <w:rFonts w:hint="eastAsia" w:ascii="Times New Roman" w:hAnsi="Times New Roman" w:eastAsia="宋体" w:cs="Times New Roman"/>
                <w:b w:val="0"/>
                <w:color w:val="auto"/>
                <w:sz w:val="24"/>
                <w:szCs w:val="24"/>
                <w:lang w:val="en-US" w:eastAsia="zh-CN"/>
              </w:rPr>
              <w:t>去除率为</w:t>
            </w:r>
            <w:r>
              <w:rPr>
                <w:rFonts w:hint="eastAsia" w:eastAsia="宋体" w:cs="Times New Roman"/>
                <w:b w:val="0"/>
                <w:color w:val="auto"/>
                <w:sz w:val="24"/>
                <w:szCs w:val="24"/>
                <w:lang w:val="en-US" w:eastAsia="zh-CN"/>
              </w:rPr>
              <w:t>75.5</w:t>
            </w:r>
            <w:r>
              <w:rPr>
                <w:rFonts w:hint="eastAsia" w:ascii="Times New Roman" w:hAnsi="Times New Roman" w:eastAsia="宋体" w:cs="Times New Roman"/>
                <w:b w:val="0"/>
                <w:color w:val="auto"/>
                <w:sz w:val="24"/>
                <w:szCs w:val="24"/>
                <w:lang w:val="en-US" w:eastAsia="zh-CN"/>
              </w:rPr>
              <w:t>%</w:t>
            </w:r>
            <w:r>
              <w:rPr>
                <w:rFonts w:hint="eastAsia" w:cs="Times New Roman"/>
                <w:b w:val="0"/>
                <w:color w:val="auto"/>
                <w:sz w:val="24"/>
                <w:szCs w:val="24"/>
                <w:lang w:val="en-US" w:eastAsia="zh-CN"/>
              </w:rPr>
              <w:t>；</w:t>
            </w:r>
            <w:r>
              <w:rPr>
                <w:rFonts w:hint="eastAsia" w:ascii="Times New Roman" w:hAnsi="Times New Roman" w:eastAsia="宋体" w:cs="Times New Roman"/>
                <w:b w:val="0"/>
                <w:color w:val="auto"/>
                <w:sz w:val="24"/>
                <w:szCs w:val="24"/>
                <w:lang w:val="en-US" w:eastAsia="zh-CN"/>
              </w:rPr>
              <w:t>总磷</w:t>
            </w:r>
            <w:r>
              <w:rPr>
                <w:rFonts w:hint="eastAsia" w:cs="Times New Roman"/>
                <w:b w:val="0"/>
                <w:color w:val="auto"/>
                <w:sz w:val="24"/>
                <w:szCs w:val="24"/>
                <w:lang w:val="en-US" w:eastAsia="zh-CN"/>
              </w:rPr>
              <w:t>平均</w:t>
            </w:r>
            <w:r>
              <w:rPr>
                <w:rFonts w:hint="eastAsia" w:ascii="Times New Roman" w:hAnsi="Times New Roman" w:eastAsia="宋体" w:cs="Times New Roman"/>
                <w:b w:val="0"/>
                <w:color w:val="auto"/>
                <w:sz w:val="24"/>
                <w:szCs w:val="24"/>
                <w:lang w:val="en-US" w:eastAsia="zh-CN"/>
              </w:rPr>
              <w:t>去除率为80.</w:t>
            </w:r>
            <w:r>
              <w:rPr>
                <w:rFonts w:hint="eastAsia" w:eastAsia="宋体" w:cs="Times New Roman"/>
                <w:b w:val="0"/>
                <w:color w:val="auto"/>
                <w:sz w:val="24"/>
                <w:szCs w:val="24"/>
                <w:lang w:val="en-US" w:eastAsia="zh-CN"/>
              </w:rPr>
              <w:t>5</w:t>
            </w:r>
            <w:r>
              <w:rPr>
                <w:rFonts w:hint="eastAsia" w:ascii="Times New Roman" w:hAnsi="Times New Roman" w:eastAsia="宋体" w:cs="Times New Roman"/>
                <w:b w:val="0"/>
                <w:color w:val="auto"/>
                <w:sz w:val="24"/>
                <w:szCs w:val="24"/>
                <w:lang w:val="en-US" w:eastAsia="zh-CN"/>
              </w:rPr>
              <w:t>%</w:t>
            </w:r>
            <w:r>
              <w:rPr>
                <w:rFonts w:hint="eastAsia" w:cs="Times New Roman"/>
                <w:b w:val="0"/>
                <w:color w:val="auto"/>
                <w:sz w:val="24"/>
                <w:szCs w:val="24"/>
                <w:lang w:val="en-US" w:eastAsia="zh-CN"/>
              </w:rPr>
              <w:t>；</w:t>
            </w:r>
            <w:r>
              <w:rPr>
                <w:rFonts w:hint="eastAsia" w:ascii="Times New Roman" w:hAnsi="Times New Roman" w:eastAsia="宋体" w:cs="Times New Roman"/>
                <w:b w:val="0"/>
                <w:color w:val="auto"/>
                <w:sz w:val="24"/>
                <w:szCs w:val="24"/>
                <w:lang w:val="en-US" w:eastAsia="zh-CN"/>
              </w:rPr>
              <w:t>粪大肠菌群</w:t>
            </w:r>
            <w:r>
              <w:rPr>
                <w:rFonts w:hint="eastAsia" w:cs="Times New Roman"/>
                <w:b w:val="0"/>
                <w:color w:val="auto"/>
                <w:sz w:val="24"/>
                <w:szCs w:val="24"/>
                <w:lang w:val="en-US" w:eastAsia="zh-CN"/>
              </w:rPr>
              <w:t>平均</w:t>
            </w:r>
            <w:r>
              <w:rPr>
                <w:rFonts w:hint="eastAsia" w:ascii="Times New Roman" w:hAnsi="Times New Roman" w:eastAsia="宋体" w:cs="Times New Roman"/>
                <w:b w:val="0"/>
                <w:color w:val="auto"/>
                <w:sz w:val="24"/>
                <w:szCs w:val="24"/>
                <w:lang w:val="en-US" w:eastAsia="zh-CN"/>
              </w:rPr>
              <w:t>去除率</w:t>
            </w:r>
            <w:r>
              <w:rPr>
                <w:rFonts w:hint="eastAsia" w:eastAsia="宋体" w:cs="Times New Roman"/>
                <w:b w:val="0"/>
                <w:color w:val="auto"/>
                <w:sz w:val="24"/>
                <w:szCs w:val="24"/>
                <w:lang w:val="en-US" w:eastAsia="zh-CN"/>
              </w:rPr>
              <w:t>为100%，本环评保守取值99.9%。</w:t>
            </w:r>
            <w:r>
              <w:rPr>
                <w:rFonts w:hint="eastAsia" w:eastAsia="宋体" w:cs="Times New Roman"/>
                <w:b w:val="0"/>
                <w:color w:val="7030A0"/>
                <w:sz w:val="24"/>
                <w:szCs w:val="24"/>
                <w:lang w:val="en-US" w:eastAsia="zh-CN"/>
              </w:rPr>
              <w:t>生物法是含LAS废水的主要处理方法，可降解LAS的菌种包括邻单胞菌素的革兰氏阴性杆菌，黄单胞菌属的革兰氏阴性短杆菌等。对于LAS废水，在一般废水生物处理条件下，LAS的去除率可以达到80-95%</w:t>
            </w:r>
            <w:r>
              <w:rPr>
                <w:rFonts w:hint="eastAsia" w:cs="Times New Roman"/>
                <w:b w:val="0"/>
                <w:color w:val="7030A0"/>
                <w:sz w:val="24"/>
                <w:szCs w:val="24"/>
                <w:lang w:val="en-US" w:eastAsia="zh-CN"/>
              </w:rPr>
              <w:t>，本环评取80%。</w:t>
            </w:r>
          </w:p>
          <w:p w14:paraId="2419F8F8">
            <w:pPr>
              <w:adjustRightInd w:val="0"/>
              <w:snapToGrid w:val="0"/>
              <w:spacing w:line="360" w:lineRule="auto"/>
              <w:jc w:val="center"/>
              <w:rPr>
                <w:b/>
                <w:color w:val="auto"/>
                <w:szCs w:val="21"/>
                <w:lang w:val="zh-CN"/>
              </w:rPr>
            </w:pPr>
            <w:r>
              <w:rPr>
                <w:rFonts w:hint="eastAsia"/>
                <w:b/>
                <w:color w:val="auto"/>
                <w:szCs w:val="21"/>
                <w:lang w:val="zh-CN"/>
              </w:rPr>
              <w:t>表</w:t>
            </w:r>
            <w:r>
              <w:rPr>
                <w:rFonts w:hint="eastAsia"/>
                <w:b/>
                <w:color w:val="auto"/>
                <w:szCs w:val="21"/>
              </w:rPr>
              <w:t>4-</w:t>
            </w:r>
            <w:r>
              <w:rPr>
                <w:rFonts w:hint="eastAsia"/>
                <w:b/>
                <w:color w:val="auto"/>
                <w:szCs w:val="21"/>
                <w:lang w:val="en-US" w:eastAsia="zh-CN"/>
              </w:rPr>
              <w:t>7</w:t>
            </w:r>
            <w:r>
              <w:rPr>
                <w:rFonts w:hint="eastAsia"/>
                <w:b/>
                <w:color w:val="auto"/>
                <w:szCs w:val="21"/>
                <w:lang w:val="zh-CN"/>
              </w:rPr>
              <w:t xml:space="preserve">  项目废水产排情况一览表</w:t>
            </w:r>
          </w:p>
          <w:tbl>
            <w:tblPr>
              <w:tblStyle w:val="17"/>
              <w:tblW w:w="857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9"/>
              <w:gridCol w:w="547"/>
              <w:gridCol w:w="1170"/>
              <w:gridCol w:w="1244"/>
              <w:gridCol w:w="1091"/>
              <w:gridCol w:w="1057"/>
              <w:gridCol w:w="1055"/>
              <w:gridCol w:w="1188"/>
              <w:gridCol w:w="862"/>
            </w:tblGrid>
            <w:tr w14:paraId="63F2BA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06" w:type="dxa"/>
                  <w:gridSpan w:val="2"/>
                  <w:vAlign w:val="center"/>
                </w:tcPr>
                <w:p w14:paraId="266D7365">
                  <w:pPr>
                    <w:ind w:left="-105" w:leftChars="-50" w:right="-105" w:rightChars="-5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污染源</w:t>
                  </w:r>
                </w:p>
              </w:tc>
              <w:tc>
                <w:tcPr>
                  <w:tcW w:w="1170" w:type="dxa"/>
                  <w:vAlign w:val="center"/>
                </w:tcPr>
                <w:p w14:paraId="30AA4113">
                  <w:pPr>
                    <w:ind w:left="-105" w:leftChars="-50" w:right="-105" w:rightChars="-5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污染物名称</w:t>
                  </w:r>
                </w:p>
              </w:tc>
              <w:tc>
                <w:tcPr>
                  <w:tcW w:w="1244" w:type="dxa"/>
                  <w:vAlign w:val="center"/>
                </w:tcPr>
                <w:p w14:paraId="6580EB55">
                  <w:pPr>
                    <w:ind w:left="-105" w:leftChars="-50" w:right="-105" w:rightChars="-5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产生浓度</w:t>
                  </w:r>
                </w:p>
                <w:p w14:paraId="40791735">
                  <w:pPr>
                    <w:ind w:left="-105" w:leftChars="-50" w:right="-105" w:rightChars="-50"/>
                    <w:jc w:val="center"/>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mg/L</w:t>
                  </w:r>
                </w:p>
              </w:tc>
              <w:tc>
                <w:tcPr>
                  <w:tcW w:w="1091" w:type="dxa"/>
                  <w:vAlign w:val="center"/>
                </w:tcPr>
                <w:p w14:paraId="2A8F5857">
                  <w:pPr>
                    <w:ind w:left="-105" w:leftChars="-50" w:right="-105" w:rightChars="-5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产生量</w:t>
                  </w:r>
                </w:p>
                <w:p w14:paraId="13666731">
                  <w:pPr>
                    <w:ind w:left="-105" w:leftChars="-50" w:right="-105" w:rightChars="-5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t/a</w:t>
                  </w:r>
                </w:p>
              </w:tc>
              <w:tc>
                <w:tcPr>
                  <w:tcW w:w="1057" w:type="dxa"/>
                  <w:shd w:val="clear" w:color="auto" w:fill="auto"/>
                  <w:vAlign w:val="center"/>
                </w:tcPr>
                <w:p w14:paraId="72BDCC40">
                  <w:pPr>
                    <w:ind w:left="-105" w:leftChars="-50" w:right="-105" w:rightChars="-5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去除率</w:t>
                  </w:r>
                </w:p>
                <w:p w14:paraId="5E0773C1">
                  <w:pPr>
                    <w:ind w:left="-105" w:leftChars="-50" w:right="-105" w:rightChars="-5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1055" w:type="dxa"/>
                  <w:vAlign w:val="center"/>
                </w:tcPr>
                <w:p w14:paraId="476BF9DD">
                  <w:pPr>
                    <w:ind w:left="-105" w:leftChars="-50" w:right="-105" w:rightChars="-5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排放浓度</w:t>
                  </w:r>
                </w:p>
                <w:p w14:paraId="220E9F93">
                  <w:pPr>
                    <w:ind w:left="-105" w:leftChars="-50" w:right="-105" w:rightChars="-50"/>
                    <w:jc w:val="center"/>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mg/L</w:t>
                  </w:r>
                </w:p>
              </w:tc>
              <w:tc>
                <w:tcPr>
                  <w:tcW w:w="1188" w:type="dxa"/>
                  <w:vAlign w:val="center"/>
                </w:tcPr>
                <w:p w14:paraId="6640B861">
                  <w:pPr>
                    <w:ind w:left="-105" w:leftChars="-50" w:right="-105" w:rightChars="-5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排放量</w:t>
                  </w:r>
                </w:p>
                <w:p w14:paraId="4C774598">
                  <w:pPr>
                    <w:ind w:left="-105" w:leftChars="-50" w:right="-105" w:rightChars="-5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t/a</w:t>
                  </w:r>
                </w:p>
              </w:tc>
              <w:tc>
                <w:tcPr>
                  <w:tcW w:w="862" w:type="dxa"/>
                  <w:vAlign w:val="center"/>
                </w:tcPr>
                <w:p w14:paraId="2F4B75CC">
                  <w:pPr>
                    <w:ind w:left="-105" w:leftChars="-50" w:right="-105" w:rightChars="-5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排放标准</w:t>
                  </w:r>
                </w:p>
              </w:tc>
            </w:tr>
            <w:tr w14:paraId="26C3B1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2" w:hRule="atLeast"/>
                <w:jc w:val="center"/>
              </w:trPr>
              <w:tc>
                <w:tcPr>
                  <w:tcW w:w="359" w:type="dxa"/>
                  <w:vMerge w:val="restart"/>
                  <w:vAlign w:val="center"/>
                </w:tcPr>
                <w:p w14:paraId="04287B77">
                  <w:pPr>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547" w:type="dxa"/>
                  <w:vMerge w:val="restart"/>
                  <w:vAlign w:val="center"/>
                </w:tcPr>
                <w:p w14:paraId="4C82FB17">
                  <w:pPr>
                    <w:ind w:left="-105" w:leftChars="-50" w:right="-105" w:rightChars="-5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病区废水</w:t>
                  </w:r>
                </w:p>
              </w:tc>
              <w:tc>
                <w:tcPr>
                  <w:tcW w:w="1170" w:type="dxa"/>
                  <w:vAlign w:val="center"/>
                </w:tcPr>
                <w:p w14:paraId="00579D72">
                  <w:pPr>
                    <w:ind w:left="-50" w:right="-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废水量</w:t>
                  </w:r>
                </w:p>
              </w:tc>
              <w:tc>
                <w:tcPr>
                  <w:tcW w:w="1244" w:type="dxa"/>
                  <w:vAlign w:val="center"/>
                </w:tcPr>
                <w:p w14:paraId="207EC3B1">
                  <w:pPr>
                    <w:ind w:left="-50" w:right="-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91" w:type="dxa"/>
                  <w:vAlign w:val="center"/>
                </w:tcPr>
                <w:p w14:paraId="4C5D055F">
                  <w:pPr>
                    <w:ind w:left="-50" w:right="-50"/>
                    <w:jc w:val="center"/>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1511</w:t>
                  </w:r>
                </w:p>
              </w:tc>
              <w:tc>
                <w:tcPr>
                  <w:tcW w:w="1057" w:type="dxa"/>
                  <w:shd w:val="clear" w:color="auto" w:fill="auto"/>
                  <w:vAlign w:val="center"/>
                </w:tcPr>
                <w:p w14:paraId="3975BA40">
                  <w:pPr>
                    <w:tabs>
                      <w:tab w:val="center" w:pos="546"/>
                    </w:tabs>
                    <w:rPr>
                      <w:rFonts w:hint="default" w:ascii="Times New Roman" w:hAnsi="Times New Roman" w:cs="Times New Roman"/>
                      <w:color w:val="auto"/>
                      <w:sz w:val="21"/>
                      <w:szCs w:val="21"/>
                    </w:rPr>
                  </w:pPr>
                </w:p>
              </w:tc>
              <w:tc>
                <w:tcPr>
                  <w:tcW w:w="1055" w:type="dxa"/>
                  <w:vAlign w:val="center"/>
                </w:tcPr>
                <w:p w14:paraId="36E13E8A">
                  <w:pPr>
                    <w:tabs>
                      <w:tab w:val="center" w:pos="546"/>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88" w:type="dxa"/>
                  <w:vAlign w:val="center"/>
                </w:tcPr>
                <w:p w14:paraId="0B58D535">
                  <w:pPr>
                    <w:tabs>
                      <w:tab w:val="center" w:pos="546"/>
                    </w:tabs>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1511</w:t>
                  </w:r>
                </w:p>
              </w:tc>
              <w:tc>
                <w:tcPr>
                  <w:tcW w:w="862" w:type="dxa"/>
                  <w:vAlign w:val="center"/>
                </w:tcPr>
                <w:p w14:paraId="3D6328A3">
                  <w:pPr>
                    <w:tabs>
                      <w:tab w:val="center" w:pos="546"/>
                    </w:tabs>
                    <w:rPr>
                      <w:rFonts w:hint="default" w:ascii="Times New Roman" w:hAnsi="Times New Roman" w:cs="Times New Roman"/>
                      <w:color w:val="auto"/>
                      <w:sz w:val="21"/>
                      <w:szCs w:val="21"/>
                    </w:rPr>
                  </w:pPr>
                </w:p>
              </w:tc>
            </w:tr>
            <w:tr w14:paraId="32580A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359" w:type="dxa"/>
                  <w:vMerge w:val="continue"/>
                  <w:vAlign w:val="center"/>
                </w:tcPr>
                <w:p w14:paraId="665236C2">
                  <w:pPr>
                    <w:ind w:left="-105" w:leftChars="-50" w:right="-105" w:rightChars="-50"/>
                    <w:jc w:val="center"/>
                    <w:rPr>
                      <w:rFonts w:hint="default" w:ascii="Times New Roman" w:hAnsi="Times New Roman" w:cs="Times New Roman"/>
                      <w:color w:val="auto"/>
                      <w:sz w:val="21"/>
                      <w:szCs w:val="21"/>
                    </w:rPr>
                  </w:pPr>
                </w:p>
              </w:tc>
              <w:tc>
                <w:tcPr>
                  <w:tcW w:w="547" w:type="dxa"/>
                  <w:vMerge w:val="continue"/>
                  <w:vAlign w:val="center"/>
                </w:tcPr>
                <w:p w14:paraId="5F98A437">
                  <w:pPr>
                    <w:ind w:left="-105" w:leftChars="-50" w:right="-105" w:rightChars="-50"/>
                    <w:rPr>
                      <w:rFonts w:hint="default" w:ascii="Times New Roman" w:hAnsi="Times New Roman" w:cs="Times New Roman"/>
                      <w:color w:val="auto"/>
                      <w:sz w:val="21"/>
                      <w:szCs w:val="21"/>
                    </w:rPr>
                  </w:pPr>
                </w:p>
              </w:tc>
              <w:tc>
                <w:tcPr>
                  <w:tcW w:w="1170" w:type="dxa"/>
                  <w:vAlign w:val="center"/>
                </w:tcPr>
                <w:p w14:paraId="08275FD6">
                  <w:pPr>
                    <w:ind w:left="-50" w:right="-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w:t>
                  </w:r>
                </w:p>
              </w:tc>
              <w:tc>
                <w:tcPr>
                  <w:tcW w:w="1244" w:type="dxa"/>
                  <w:vAlign w:val="center"/>
                </w:tcPr>
                <w:p w14:paraId="430DB9CF">
                  <w:pPr>
                    <w:tabs>
                      <w:tab w:val="center" w:pos="546"/>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c>
                <w:tcPr>
                  <w:tcW w:w="1091" w:type="dxa"/>
                  <w:vAlign w:val="center"/>
                </w:tcPr>
                <w:p w14:paraId="4AFD5DA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57" w:type="dxa"/>
                  <w:shd w:val="clear" w:color="auto" w:fill="auto"/>
                  <w:vAlign w:val="center"/>
                </w:tcPr>
                <w:p w14:paraId="3E88DB1D">
                  <w:pPr>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55" w:type="dxa"/>
                  <w:vAlign w:val="center"/>
                </w:tcPr>
                <w:p w14:paraId="0B1002C8">
                  <w:pPr>
                    <w:jc w:val="center"/>
                    <w:textAlignment w:val="center"/>
                    <w:rPr>
                      <w:rFonts w:hint="default" w:ascii="Times New Roman" w:hAnsi="Times New Roman" w:cs="Times New Roman"/>
                      <w:color w:val="auto"/>
                      <w:sz w:val="21"/>
                      <w:szCs w:val="21"/>
                    </w:rPr>
                  </w:pPr>
                </w:p>
              </w:tc>
              <w:tc>
                <w:tcPr>
                  <w:tcW w:w="1188" w:type="dxa"/>
                  <w:vAlign w:val="center"/>
                </w:tcPr>
                <w:p w14:paraId="4DDBA18A">
                  <w:pPr>
                    <w:jc w:val="center"/>
                    <w:textAlignment w:val="center"/>
                    <w:rPr>
                      <w:rFonts w:hint="default" w:ascii="Times New Roman" w:hAnsi="Times New Roman" w:cs="Times New Roman"/>
                      <w:color w:val="auto"/>
                      <w:sz w:val="21"/>
                      <w:szCs w:val="21"/>
                    </w:rPr>
                  </w:pPr>
                </w:p>
              </w:tc>
              <w:tc>
                <w:tcPr>
                  <w:tcW w:w="862" w:type="dxa"/>
                  <w:vAlign w:val="center"/>
                </w:tcPr>
                <w:p w14:paraId="7036BD15">
                  <w:pPr>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r>
            <w:tr w14:paraId="74BCB5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359" w:type="dxa"/>
                  <w:vMerge w:val="continue"/>
                  <w:vAlign w:val="center"/>
                </w:tcPr>
                <w:p w14:paraId="66B99955">
                  <w:pPr>
                    <w:ind w:left="-105" w:leftChars="-50" w:right="-105" w:rightChars="-50"/>
                    <w:jc w:val="center"/>
                    <w:rPr>
                      <w:rFonts w:hint="default" w:ascii="Times New Roman" w:hAnsi="Times New Roman" w:cs="Times New Roman"/>
                      <w:color w:val="auto"/>
                      <w:sz w:val="21"/>
                      <w:szCs w:val="21"/>
                    </w:rPr>
                  </w:pPr>
                </w:p>
              </w:tc>
              <w:tc>
                <w:tcPr>
                  <w:tcW w:w="547" w:type="dxa"/>
                  <w:vMerge w:val="continue"/>
                  <w:vAlign w:val="center"/>
                </w:tcPr>
                <w:p w14:paraId="1976BB0B">
                  <w:pPr>
                    <w:ind w:left="-105" w:leftChars="-50" w:right="-105" w:rightChars="-50"/>
                    <w:rPr>
                      <w:rFonts w:hint="default" w:ascii="Times New Roman" w:hAnsi="Times New Roman" w:cs="Times New Roman"/>
                      <w:color w:val="auto"/>
                      <w:sz w:val="21"/>
                      <w:szCs w:val="21"/>
                    </w:rPr>
                  </w:pPr>
                </w:p>
              </w:tc>
              <w:tc>
                <w:tcPr>
                  <w:tcW w:w="1170" w:type="dxa"/>
                  <w:vAlign w:val="center"/>
                </w:tcPr>
                <w:p w14:paraId="39E355B5">
                  <w:pPr>
                    <w:ind w:left="-50" w:right="-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CODcr</w:t>
                  </w:r>
                </w:p>
              </w:tc>
              <w:tc>
                <w:tcPr>
                  <w:tcW w:w="1244" w:type="dxa"/>
                  <w:vAlign w:val="center"/>
                </w:tcPr>
                <w:p w14:paraId="2DDFC3C8">
                  <w:pPr>
                    <w:tabs>
                      <w:tab w:val="center" w:pos="546"/>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250</w:t>
                  </w:r>
                </w:p>
              </w:tc>
              <w:tc>
                <w:tcPr>
                  <w:tcW w:w="1091" w:type="dxa"/>
                  <w:shd w:val="clear" w:color="auto" w:fill="auto"/>
                  <w:vAlign w:val="center"/>
                </w:tcPr>
                <w:p w14:paraId="6BE0AE7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0.37</w:t>
                  </w:r>
                  <w:r>
                    <w:rPr>
                      <w:rFonts w:hint="eastAsia" w:cs="Times New Roman"/>
                      <w:i w:val="0"/>
                      <w:iCs w:val="0"/>
                      <w:color w:val="auto"/>
                      <w:kern w:val="0"/>
                      <w:sz w:val="21"/>
                      <w:szCs w:val="21"/>
                      <w:u w:val="none"/>
                      <w:lang w:val="en-US" w:eastAsia="zh-CN" w:bidi="ar"/>
                    </w:rPr>
                    <w:t>78</w:t>
                  </w:r>
                </w:p>
              </w:tc>
              <w:tc>
                <w:tcPr>
                  <w:tcW w:w="1057" w:type="dxa"/>
                  <w:shd w:val="clear" w:color="auto" w:fill="auto"/>
                  <w:vAlign w:val="center"/>
                </w:tcPr>
                <w:p w14:paraId="6DBC0767">
                  <w:pPr>
                    <w:jc w:val="center"/>
                    <w:textAlignment w:val="center"/>
                    <w:rPr>
                      <w:rFonts w:hint="default" w:ascii="Times New Roman" w:hAnsi="Times New Roman" w:eastAsia="宋体" w:cs="Times New Roman"/>
                      <w:iCs/>
                      <w:color w:val="auto"/>
                      <w:sz w:val="21"/>
                      <w:szCs w:val="21"/>
                      <w:lang w:val="en-US" w:eastAsia="zh-CN"/>
                    </w:rPr>
                  </w:pPr>
                  <w:r>
                    <w:rPr>
                      <w:rFonts w:hint="eastAsia" w:cs="Times New Roman"/>
                      <w:iCs/>
                      <w:color w:val="auto"/>
                      <w:sz w:val="21"/>
                      <w:szCs w:val="21"/>
                      <w:lang w:val="en-US" w:eastAsia="zh-CN"/>
                    </w:rPr>
                    <w:t>90.5</w:t>
                  </w:r>
                </w:p>
              </w:tc>
              <w:tc>
                <w:tcPr>
                  <w:tcW w:w="1055" w:type="dxa"/>
                  <w:vAlign w:val="center"/>
                </w:tcPr>
                <w:p w14:paraId="24A662CF">
                  <w:pPr>
                    <w:jc w:val="center"/>
                    <w:textAlignment w:val="center"/>
                    <w:rPr>
                      <w:rFonts w:hint="default" w:ascii="Times New Roman" w:hAnsi="Times New Roman" w:eastAsia="宋体" w:cs="Times New Roman"/>
                      <w:iCs/>
                      <w:color w:val="auto"/>
                      <w:sz w:val="21"/>
                      <w:szCs w:val="21"/>
                      <w:lang w:val="en-US" w:eastAsia="zh-CN"/>
                    </w:rPr>
                  </w:pPr>
                  <w:r>
                    <w:rPr>
                      <w:rFonts w:hint="eastAsia" w:cs="Times New Roman"/>
                      <w:iCs/>
                      <w:color w:val="auto"/>
                      <w:sz w:val="21"/>
                      <w:szCs w:val="21"/>
                      <w:lang w:val="en-US" w:eastAsia="zh-CN"/>
                    </w:rPr>
                    <w:t>23.75</w:t>
                  </w:r>
                </w:p>
              </w:tc>
              <w:tc>
                <w:tcPr>
                  <w:tcW w:w="1188" w:type="dxa"/>
                  <w:shd w:val="clear" w:color="auto" w:fill="auto"/>
                  <w:vAlign w:val="center"/>
                </w:tcPr>
                <w:p w14:paraId="2C0048C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0.0359</w:t>
                  </w:r>
                </w:p>
              </w:tc>
              <w:tc>
                <w:tcPr>
                  <w:tcW w:w="862" w:type="dxa"/>
                  <w:vAlign w:val="center"/>
                </w:tcPr>
                <w:p w14:paraId="429BB82D">
                  <w:pPr>
                    <w:jc w:val="center"/>
                    <w:textAlignment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220</w:t>
                  </w:r>
                </w:p>
              </w:tc>
            </w:tr>
            <w:tr w14:paraId="22E262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359" w:type="dxa"/>
                  <w:vMerge w:val="continue"/>
                  <w:vAlign w:val="center"/>
                </w:tcPr>
                <w:p w14:paraId="29BFE6B3">
                  <w:pPr>
                    <w:ind w:left="-105" w:leftChars="-50" w:right="-105" w:rightChars="-50"/>
                    <w:jc w:val="center"/>
                    <w:rPr>
                      <w:rFonts w:hint="default" w:ascii="Times New Roman" w:hAnsi="Times New Roman" w:cs="Times New Roman"/>
                      <w:color w:val="auto"/>
                      <w:sz w:val="21"/>
                      <w:szCs w:val="21"/>
                    </w:rPr>
                  </w:pPr>
                </w:p>
              </w:tc>
              <w:tc>
                <w:tcPr>
                  <w:tcW w:w="547" w:type="dxa"/>
                  <w:vMerge w:val="continue"/>
                  <w:vAlign w:val="center"/>
                </w:tcPr>
                <w:p w14:paraId="6DB9E02C">
                  <w:pPr>
                    <w:ind w:left="-105" w:leftChars="-50" w:right="-105" w:rightChars="-50"/>
                    <w:rPr>
                      <w:rFonts w:hint="default" w:ascii="Times New Roman" w:hAnsi="Times New Roman" w:cs="Times New Roman"/>
                      <w:color w:val="auto"/>
                      <w:sz w:val="21"/>
                      <w:szCs w:val="21"/>
                    </w:rPr>
                  </w:pPr>
                </w:p>
              </w:tc>
              <w:tc>
                <w:tcPr>
                  <w:tcW w:w="1170" w:type="dxa"/>
                  <w:vAlign w:val="center"/>
                </w:tcPr>
                <w:p w14:paraId="68754858">
                  <w:pPr>
                    <w:ind w:left="-50" w:right="-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1244" w:type="dxa"/>
                  <w:vAlign w:val="center"/>
                </w:tcPr>
                <w:p w14:paraId="0F001869">
                  <w:pPr>
                    <w:tabs>
                      <w:tab w:val="center" w:pos="546"/>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130</w:t>
                  </w:r>
                </w:p>
              </w:tc>
              <w:tc>
                <w:tcPr>
                  <w:tcW w:w="1091" w:type="dxa"/>
                  <w:shd w:val="clear" w:color="auto" w:fill="auto"/>
                  <w:vAlign w:val="center"/>
                </w:tcPr>
                <w:p w14:paraId="7F61EC9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0.19</w:t>
                  </w:r>
                  <w:r>
                    <w:rPr>
                      <w:rFonts w:hint="eastAsia" w:cs="Times New Roman"/>
                      <w:i w:val="0"/>
                      <w:iCs w:val="0"/>
                      <w:color w:val="auto"/>
                      <w:kern w:val="0"/>
                      <w:sz w:val="21"/>
                      <w:szCs w:val="21"/>
                      <w:u w:val="none"/>
                      <w:lang w:val="en-US" w:eastAsia="zh-CN" w:bidi="ar"/>
                    </w:rPr>
                    <w:t>64</w:t>
                  </w:r>
                </w:p>
              </w:tc>
              <w:tc>
                <w:tcPr>
                  <w:tcW w:w="1057" w:type="dxa"/>
                  <w:shd w:val="clear" w:color="auto" w:fill="auto"/>
                  <w:vAlign w:val="center"/>
                </w:tcPr>
                <w:p w14:paraId="0D37FBA2">
                  <w:pPr>
                    <w:jc w:val="center"/>
                    <w:textAlignment w:val="center"/>
                    <w:rPr>
                      <w:rFonts w:hint="default" w:ascii="Times New Roman" w:hAnsi="Times New Roman" w:eastAsia="宋体" w:cs="Times New Roman"/>
                      <w:iCs/>
                      <w:color w:val="auto"/>
                      <w:sz w:val="21"/>
                      <w:szCs w:val="21"/>
                      <w:lang w:val="en-US" w:eastAsia="zh-CN"/>
                    </w:rPr>
                  </w:pPr>
                  <w:r>
                    <w:rPr>
                      <w:rFonts w:hint="eastAsia" w:cs="Times New Roman"/>
                      <w:iCs/>
                      <w:color w:val="auto"/>
                      <w:sz w:val="21"/>
                      <w:szCs w:val="21"/>
                      <w:lang w:val="en-US" w:eastAsia="zh-CN"/>
                    </w:rPr>
                    <w:t>90.5</w:t>
                  </w:r>
                </w:p>
              </w:tc>
              <w:tc>
                <w:tcPr>
                  <w:tcW w:w="1055" w:type="dxa"/>
                  <w:vAlign w:val="center"/>
                </w:tcPr>
                <w:p w14:paraId="4DBBDB36">
                  <w:pPr>
                    <w:jc w:val="center"/>
                    <w:textAlignment w:val="center"/>
                    <w:rPr>
                      <w:rFonts w:hint="default" w:ascii="Times New Roman" w:hAnsi="Times New Roman" w:eastAsia="宋体" w:cs="Times New Roman"/>
                      <w:iCs/>
                      <w:color w:val="auto"/>
                      <w:sz w:val="21"/>
                      <w:szCs w:val="21"/>
                      <w:lang w:val="en-US" w:eastAsia="zh-CN"/>
                    </w:rPr>
                  </w:pPr>
                  <w:r>
                    <w:rPr>
                      <w:rFonts w:hint="eastAsia" w:cs="Times New Roman"/>
                      <w:iCs/>
                      <w:color w:val="auto"/>
                      <w:sz w:val="21"/>
                      <w:szCs w:val="21"/>
                      <w:lang w:val="en-US" w:eastAsia="zh-CN"/>
                    </w:rPr>
                    <w:t>12.35</w:t>
                  </w:r>
                </w:p>
              </w:tc>
              <w:tc>
                <w:tcPr>
                  <w:tcW w:w="1188" w:type="dxa"/>
                  <w:shd w:val="clear" w:color="auto" w:fill="auto"/>
                  <w:vAlign w:val="center"/>
                </w:tcPr>
                <w:p w14:paraId="00CEDF4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0.0187</w:t>
                  </w:r>
                </w:p>
              </w:tc>
              <w:tc>
                <w:tcPr>
                  <w:tcW w:w="862" w:type="dxa"/>
                  <w:vAlign w:val="center"/>
                </w:tcPr>
                <w:p w14:paraId="29FB978F">
                  <w:pPr>
                    <w:jc w:val="center"/>
                    <w:textAlignment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100</w:t>
                  </w:r>
                </w:p>
              </w:tc>
            </w:tr>
            <w:tr w14:paraId="32A854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359" w:type="dxa"/>
                  <w:vMerge w:val="continue"/>
                  <w:vAlign w:val="center"/>
                </w:tcPr>
                <w:p w14:paraId="4DAF2964">
                  <w:pPr>
                    <w:ind w:left="-105" w:leftChars="-50" w:right="-105" w:rightChars="-50"/>
                    <w:jc w:val="center"/>
                    <w:rPr>
                      <w:rFonts w:hint="default" w:ascii="Times New Roman" w:hAnsi="Times New Roman" w:cs="Times New Roman"/>
                      <w:color w:val="auto"/>
                      <w:sz w:val="21"/>
                      <w:szCs w:val="21"/>
                    </w:rPr>
                  </w:pPr>
                </w:p>
              </w:tc>
              <w:tc>
                <w:tcPr>
                  <w:tcW w:w="547" w:type="dxa"/>
                  <w:vMerge w:val="continue"/>
                  <w:vAlign w:val="center"/>
                </w:tcPr>
                <w:p w14:paraId="0D40620F">
                  <w:pPr>
                    <w:ind w:left="-105" w:leftChars="-50" w:right="-105" w:rightChars="-50"/>
                    <w:rPr>
                      <w:rFonts w:hint="default" w:ascii="Times New Roman" w:hAnsi="Times New Roman" w:cs="Times New Roman"/>
                      <w:color w:val="auto"/>
                      <w:sz w:val="21"/>
                      <w:szCs w:val="21"/>
                    </w:rPr>
                  </w:pPr>
                </w:p>
              </w:tc>
              <w:tc>
                <w:tcPr>
                  <w:tcW w:w="1170" w:type="dxa"/>
                  <w:vAlign w:val="center"/>
                </w:tcPr>
                <w:p w14:paraId="47C36946">
                  <w:pPr>
                    <w:ind w:left="-50" w:right="-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1244" w:type="dxa"/>
                  <w:vAlign w:val="center"/>
                </w:tcPr>
                <w:p w14:paraId="6810212B">
                  <w:pPr>
                    <w:tabs>
                      <w:tab w:val="center" w:pos="546"/>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100</w:t>
                  </w:r>
                </w:p>
              </w:tc>
              <w:tc>
                <w:tcPr>
                  <w:tcW w:w="1091" w:type="dxa"/>
                  <w:shd w:val="clear" w:color="auto" w:fill="auto"/>
                  <w:vAlign w:val="center"/>
                </w:tcPr>
                <w:p w14:paraId="3623654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0.15</w:t>
                  </w:r>
                  <w:r>
                    <w:rPr>
                      <w:rFonts w:hint="eastAsia" w:cs="Times New Roman"/>
                      <w:i w:val="0"/>
                      <w:iCs w:val="0"/>
                      <w:color w:val="auto"/>
                      <w:kern w:val="0"/>
                      <w:sz w:val="21"/>
                      <w:szCs w:val="21"/>
                      <w:u w:val="none"/>
                      <w:lang w:val="en-US" w:eastAsia="zh-CN" w:bidi="ar"/>
                    </w:rPr>
                    <w:t>11</w:t>
                  </w:r>
                </w:p>
              </w:tc>
              <w:tc>
                <w:tcPr>
                  <w:tcW w:w="1057" w:type="dxa"/>
                  <w:shd w:val="clear" w:color="auto" w:fill="auto"/>
                  <w:vAlign w:val="center"/>
                </w:tcPr>
                <w:p w14:paraId="3531140F">
                  <w:pPr>
                    <w:jc w:val="center"/>
                    <w:textAlignment w:val="center"/>
                    <w:rPr>
                      <w:rFonts w:hint="default" w:ascii="Times New Roman" w:hAnsi="Times New Roman" w:eastAsia="宋体" w:cs="Times New Roman"/>
                      <w:iCs/>
                      <w:color w:val="auto"/>
                      <w:sz w:val="21"/>
                      <w:szCs w:val="21"/>
                      <w:lang w:val="en-US" w:eastAsia="zh-CN"/>
                    </w:rPr>
                  </w:pPr>
                  <w:r>
                    <w:rPr>
                      <w:rFonts w:hint="eastAsia" w:cs="Times New Roman"/>
                      <w:iCs/>
                      <w:color w:val="auto"/>
                      <w:sz w:val="21"/>
                      <w:szCs w:val="21"/>
                      <w:lang w:val="en-US" w:eastAsia="zh-CN"/>
                    </w:rPr>
                    <w:t>84.5</w:t>
                  </w:r>
                </w:p>
              </w:tc>
              <w:tc>
                <w:tcPr>
                  <w:tcW w:w="1055" w:type="dxa"/>
                  <w:vAlign w:val="center"/>
                </w:tcPr>
                <w:p w14:paraId="3C1BA9CC">
                  <w:pPr>
                    <w:jc w:val="center"/>
                    <w:textAlignment w:val="center"/>
                    <w:rPr>
                      <w:rFonts w:hint="default" w:ascii="Times New Roman" w:hAnsi="Times New Roman" w:eastAsia="宋体" w:cs="Times New Roman"/>
                      <w:iCs/>
                      <w:color w:val="auto"/>
                      <w:sz w:val="21"/>
                      <w:szCs w:val="21"/>
                      <w:lang w:val="en-US" w:eastAsia="zh-CN"/>
                    </w:rPr>
                  </w:pPr>
                  <w:r>
                    <w:rPr>
                      <w:rFonts w:hint="eastAsia" w:cs="Times New Roman"/>
                      <w:iCs/>
                      <w:color w:val="auto"/>
                      <w:sz w:val="21"/>
                      <w:szCs w:val="21"/>
                      <w:lang w:val="en-US" w:eastAsia="zh-CN"/>
                    </w:rPr>
                    <w:t>15.5</w:t>
                  </w:r>
                </w:p>
              </w:tc>
              <w:tc>
                <w:tcPr>
                  <w:tcW w:w="1188" w:type="dxa"/>
                  <w:shd w:val="clear" w:color="auto" w:fill="auto"/>
                  <w:vAlign w:val="center"/>
                </w:tcPr>
                <w:p w14:paraId="0BCE341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0.2342</w:t>
                  </w:r>
                </w:p>
              </w:tc>
              <w:tc>
                <w:tcPr>
                  <w:tcW w:w="862" w:type="dxa"/>
                  <w:vAlign w:val="center"/>
                </w:tcPr>
                <w:p w14:paraId="52EFC03B">
                  <w:pPr>
                    <w:jc w:val="center"/>
                    <w:textAlignment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60</w:t>
                  </w:r>
                </w:p>
              </w:tc>
            </w:tr>
            <w:tr w14:paraId="1CF825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359" w:type="dxa"/>
                  <w:vMerge w:val="continue"/>
                  <w:vAlign w:val="center"/>
                </w:tcPr>
                <w:p w14:paraId="27F3EC5E">
                  <w:pPr>
                    <w:ind w:left="-105" w:leftChars="-50" w:right="-105" w:rightChars="-50"/>
                    <w:jc w:val="center"/>
                    <w:rPr>
                      <w:rFonts w:hint="default" w:ascii="Times New Roman" w:hAnsi="Times New Roman" w:cs="Times New Roman"/>
                      <w:color w:val="auto"/>
                      <w:sz w:val="21"/>
                      <w:szCs w:val="21"/>
                    </w:rPr>
                  </w:pPr>
                </w:p>
              </w:tc>
              <w:tc>
                <w:tcPr>
                  <w:tcW w:w="547" w:type="dxa"/>
                  <w:vMerge w:val="continue"/>
                  <w:vAlign w:val="center"/>
                </w:tcPr>
                <w:p w14:paraId="01CA194B">
                  <w:pPr>
                    <w:ind w:left="-105" w:leftChars="-50" w:right="-105" w:rightChars="-50"/>
                    <w:rPr>
                      <w:rFonts w:hint="default" w:ascii="Times New Roman" w:hAnsi="Times New Roman" w:cs="Times New Roman"/>
                      <w:color w:val="auto"/>
                      <w:sz w:val="21"/>
                      <w:szCs w:val="21"/>
                    </w:rPr>
                  </w:pPr>
                </w:p>
              </w:tc>
              <w:tc>
                <w:tcPr>
                  <w:tcW w:w="1170" w:type="dxa"/>
                  <w:vAlign w:val="center"/>
                </w:tcPr>
                <w:p w14:paraId="51CC67A5">
                  <w:pPr>
                    <w:ind w:left="-50" w:right="-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1244" w:type="dxa"/>
                  <w:vAlign w:val="center"/>
                </w:tcPr>
                <w:p w14:paraId="6AF11D18">
                  <w:pPr>
                    <w:tabs>
                      <w:tab w:val="center" w:pos="546"/>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c>
                <w:tcPr>
                  <w:tcW w:w="1091" w:type="dxa"/>
                  <w:shd w:val="clear" w:color="auto" w:fill="auto"/>
                  <w:vAlign w:val="center"/>
                </w:tcPr>
                <w:p w14:paraId="173A28C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0.045</w:t>
                  </w:r>
                  <w:r>
                    <w:rPr>
                      <w:rFonts w:hint="eastAsia" w:cs="Times New Roman"/>
                      <w:i w:val="0"/>
                      <w:iCs w:val="0"/>
                      <w:color w:val="auto"/>
                      <w:kern w:val="0"/>
                      <w:sz w:val="21"/>
                      <w:szCs w:val="21"/>
                      <w:u w:val="none"/>
                      <w:lang w:val="en-US" w:eastAsia="zh-CN" w:bidi="ar"/>
                    </w:rPr>
                    <w:t>3</w:t>
                  </w:r>
                </w:p>
              </w:tc>
              <w:tc>
                <w:tcPr>
                  <w:tcW w:w="1057" w:type="dxa"/>
                  <w:shd w:val="clear" w:color="auto" w:fill="auto"/>
                  <w:vAlign w:val="center"/>
                </w:tcPr>
                <w:p w14:paraId="55B3FE54">
                  <w:pPr>
                    <w:jc w:val="center"/>
                    <w:textAlignment w:val="center"/>
                    <w:rPr>
                      <w:rFonts w:hint="default" w:ascii="Times New Roman" w:hAnsi="Times New Roman" w:eastAsia="宋体" w:cs="Times New Roman"/>
                      <w:iCs/>
                      <w:color w:val="auto"/>
                      <w:sz w:val="21"/>
                      <w:szCs w:val="21"/>
                      <w:lang w:val="en-US" w:eastAsia="zh-CN"/>
                    </w:rPr>
                  </w:pPr>
                  <w:r>
                    <w:rPr>
                      <w:rFonts w:hint="eastAsia" w:cs="Times New Roman"/>
                      <w:iCs/>
                      <w:color w:val="auto"/>
                      <w:sz w:val="21"/>
                      <w:szCs w:val="21"/>
                      <w:lang w:val="en-US" w:eastAsia="zh-CN"/>
                    </w:rPr>
                    <w:t>82</w:t>
                  </w:r>
                </w:p>
              </w:tc>
              <w:tc>
                <w:tcPr>
                  <w:tcW w:w="1055" w:type="dxa"/>
                  <w:vAlign w:val="center"/>
                </w:tcPr>
                <w:p w14:paraId="28793EB8">
                  <w:pPr>
                    <w:jc w:val="center"/>
                    <w:textAlignment w:val="center"/>
                    <w:rPr>
                      <w:rFonts w:hint="default" w:ascii="Times New Roman" w:hAnsi="Times New Roman" w:eastAsia="宋体" w:cs="Times New Roman"/>
                      <w:iCs/>
                      <w:color w:val="auto"/>
                      <w:sz w:val="21"/>
                      <w:szCs w:val="21"/>
                      <w:lang w:val="en-US" w:eastAsia="zh-CN"/>
                    </w:rPr>
                  </w:pPr>
                  <w:r>
                    <w:rPr>
                      <w:rFonts w:hint="eastAsia" w:cs="Times New Roman"/>
                      <w:iCs/>
                      <w:color w:val="auto"/>
                      <w:sz w:val="21"/>
                      <w:szCs w:val="21"/>
                      <w:lang w:val="en-US" w:eastAsia="zh-CN"/>
                    </w:rPr>
                    <w:t>5.4</w:t>
                  </w:r>
                </w:p>
              </w:tc>
              <w:tc>
                <w:tcPr>
                  <w:tcW w:w="1188" w:type="dxa"/>
                  <w:shd w:val="clear" w:color="auto" w:fill="auto"/>
                  <w:vAlign w:val="center"/>
                </w:tcPr>
                <w:p w14:paraId="78AB851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0.0082</w:t>
                  </w:r>
                </w:p>
              </w:tc>
              <w:tc>
                <w:tcPr>
                  <w:tcW w:w="862" w:type="dxa"/>
                  <w:vAlign w:val="center"/>
                </w:tcPr>
                <w:p w14:paraId="771E043C">
                  <w:pPr>
                    <w:jc w:val="center"/>
                    <w:textAlignment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25</w:t>
                  </w:r>
                </w:p>
              </w:tc>
            </w:tr>
            <w:tr w14:paraId="1CEECD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359" w:type="dxa"/>
                  <w:vMerge w:val="continue"/>
                  <w:vAlign w:val="center"/>
                </w:tcPr>
                <w:p w14:paraId="74AD4489">
                  <w:pPr>
                    <w:ind w:left="-105" w:leftChars="-50" w:right="-105" w:rightChars="-50"/>
                    <w:jc w:val="center"/>
                    <w:rPr>
                      <w:rFonts w:hint="default" w:ascii="Times New Roman" w:hAnsi="Times New Roman" w:cs="Times New Roman"/>
                      <w:color w:val="auto"/>
                      <w:sz w:val="21"/>
                      <w:szCs w:val="21"/>
                    </w:rPr>
                  </w:pPr>
                </w:p>
              </w:tc>
              <w:tc>
                <w:tcPr>
                  <w:tcW w:w="547" w:type="dxa"/>
                  <w:vMerge w:val="continue"/>
                  <w:vAlign w:val="center"/>
                </w:tcPr>
                <w:p w14:paraId="2010EB0A">
                  <w:pPr>
                    <w:ind w:left="-105" w:leftChars="-50" w:right="-105" w:rightChars="-50"/>
                    <w:rPr>
                      <w:rFonts w:hint="default" w:ascii="Times New Roman" w:hAnsi="Times New Roman" w:cs="Times New Roman"/>
                      <w:color w:val="auto"/>
                      <w:sz w:val="21"/>
                      <w:szCs w:val="21"/>
                    </w:rPr>
                  </w:pPr>
                </w:p>
              </w:tc>
              <w:tc>
                <w:tcPr>
                  <w:tcW w:w="1170" w:type="dxa"/>
                  <w:vAlign w:val="center"/>
                </w:tcPr>
                <w:p w14:paraId="1FDC4CCE">
                  <w:pPr>
                    <w:ind w:left="-50" w:right="-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TP</w:t>
                  </w:r>
                </w:p>
              </w:tc>
              <w:tc>
                <w:tcPr>
                  <w:tcW w:w="1244" w:type="dxa"/>
                  <w:vAlign w:val="center"/>
                </w:tcPr>
                <w:p w14:paraId="5432F8D7">
                  <w:pPr>
                    <w:tabs>
                      <w:tab w:val="center" w:pos="546"/>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3 </w:t>
                  </w:r>
                </w:p>
              </w:tc>
              <w:tc>
                <w:tcPr>
                  <w:tcW w:w="1091" w:type="dxa"/>
                  <w:shd w:val="clear" w:color="auto" w:fill="auto"/>
                  <w:vAlign w:val="center"/>
                </w:tcPr>
                <w:p w14:paraId="0DC6B98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0.0045</w:t>
                  </w:r>
                </w:p>
              </w:tc>
              <w:tc>
                <w:tcPr>
                  <w:tcW w:w="1057" w:type="dxa"/>
                  <w:shd w:val="clear" w:color="auto" w:fill="auto"/>
                  <w:vAlign w:val="center"/>
                </w:tcPr>
                <w:p w14:paraId="6D637FA3">
                  <w:pPr>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80.5</w:t>
                  </w:r>
                </w:p>
              </w:tc>
              <w:tc>
                <w:tcPr>
                  <w:tcW w:w="1055" w:type="dxa"/>
                  <w:vAlign w:val="center"/>
                </w:tcPr>
                <w:p w14:paraId="5906F976">
                  <w:pPr>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0.585</w:t>
                  </w:r>
                </w:p>
              </w:tc>
              <w:tc>
                <w:tcPr>
                  <w:tcW w:w="1188" w:type="dxa"/>
                  <w:shd w:val="clear" w:color="auto" w:fill="auto"/>
                  <w:vAlign w:val="center"/>
                </w:tcPr>
                <w:p w14:paraId="3202DD5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0.000</w:t>
                  </w:r>
                  <w:r>
                    <w:rPr>
                      <w:rFonts w:hint="eastAsia" w:cs="Times New Roman"/>
                      <w:i w:val="0"/>
                      <w:iCs w:val="0"/>
                      <w:color w:val="auto"/>
                      <w:kern w:val="0"/>
                      <w:sz w:val="21"/>
                      <w:szCs w:val="21"/>
                      <w:u w:val="none"/>
                      <w:lang w:val="en-US" w:eastAsia="zh-CN" w:bidi="ar"/>
                    </w:rPr>
                    <w:t>9</w:t>
                  </w:r>
                </w:p>
              </w:tc>
              <w:tc>
                <w:tcPr>
                  <w:tcW w:w="862" w:type="dxa"/>
                  <w:vAlign w:val="center"/>
                </w:tcPr>
                <w:p w14:paraId="7F46BCA5">
                  <w:pPr>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r>
            <w:tr w14:paraId="19A967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359" w:type="dxa"/>
                  <w:vMerge w:val="continue"/>
                  <w:vAlign w:val="center"/>
                </w:tcPr>
                <w:p w14:paraId="3ED76A5E">
                  <w:pPr>
                    <w:ind w:left="-105" w:leftChars="-50" w:right="-105" w:rightChars="-50"/>
                    <w:jc w:val="center"/>
                    <w:rPr>
                      <w:rFonts w:hint="default" w:ascii="Times New Roman" w:hAnsi="Times New Roman" w:cs="Times New Roman"/>
                      <w:color w:val="auto"/>
                      <w:sz w:val="21"/>
                      <w:szCs w:val="21"/>
                    </w:rPr>
                  </w:pPr>
                </w:p>
              </w:tc>
              <w:tc>
                <w:tcPr>
                  <w:tcW w:w="547" w:type="dxa"/>
                  <w:vMerge w:val="continue"/>
                  <w:vAlign w:val="center"/>
                </w:tcPr>
                <w:p w14:paraId="3D2DE715">
                  <w:pPr>
                    <w:ind w:left="-105" w:leftChars="-50" w:right="-105" w:rightChars="-50"/>
                    <w:rPr>
                      <w:rFonts w:hint="default" w:ascii="Times New Roman" w:hAnsi="Times New Roman" w:cs="Times New Roman"/>
                      <w:color w:val="auto"/>
                      <w:sz w:val="21"/>
                      <w:szCs w:val="21"/>
                    </w:rPr>
                  </w:pPr>
                </w:p>
              </w:tc>
              <w:tc>
                <w:tcPr>
                  <w:tcW w:w="1170" w:type="dxa"/>
                  <w:vAlign w:val="center"/>
                </w:tcPr>
                <w:p w14:paraId="6E6EC098">
                  <w:pPr>
                    <w:ind w:left="-50" w:right="-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TN</w:t>
                  </w:r>
                </w:p>
              </w:tc>
              <w:tc>
                <w:tcPr>
                  <w:tcW w:w="1244" w:type="dxa"/>
                  <w:vAlign w:val="center"/>
                </w:tcPr>
                <w:p w14:paraId="21E809A3">
                  <w:pPr>
                    <w:tabs>
                      <w:tab w:val="center" w:pos="546"/>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c>
                <w:tcPr>
                  <w:tcW w:w="1091" w:type="dxa"/>
                  <w:shd w:val="clear" w:color="auto" w:fill="auto"/>
                  <w:vAlign w:val="center"/>
                </w:tcPr>
                <w:p w14:paraId="348DF7E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0.045</w:t>
                  </w:r>
                  <w:r>
                    <w:rPr>
                      <w:rFonts w:hint="eastAsia" w:cs="Times New Roman"/>
                      <w:i w:val="0"/>
                      <w:iCs w:val="0"/>
                      <w:color w:val="auto"/>
                      <w:kern w:val="0"/>
                      <w:sz w:val="21"/>
                      <w:szCs w:val="21"/>
                      <w:u w:val="none"/>
                      <w:lang w:val="en-US" w:eastAsia="zh-CN" w:bidi="ar"/>
                    </w:rPr>
                    <w:t>3</w:t>
                  </w:r>
                </w:p>
              </w:tc>
              <w:tc>
                <w:tcPr>
                  <w:tcW w:w="1057" w:type="dxa"/>
                  <w:shd w:val="clear" w:color="auto" w:fill="auto"/>
                  <w:vAlign w:val="center"/>
                </w:tcPr>
                <w:p w14:paraId="32A3CFEE">
                  <w:pPr>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75.5</w:t>
                  </w:r>
                </w:p>
              </w:tc>
              <w:tc>
                <w:tcPr>
                  <w:tcW w:w="1055" w:type="dxa"/>
                  <w:vAlign w:val="center"/>
                </w:tcPr>
                <w:p w14:paraId="2287C314">
                  <w:pPr>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7.35</w:t>
                  </w:r>
                </w:p>
              </w:tc>
              <w:tc>
                <w:tcPr>
                  <w:tcW w:w="1188" w:type="dxa"/>
                  <w:shd w:val="clear" w:color="auto" w:fill="auto"/>
                  <w:vAlign w:val="center"/>
                </w:tcPr>
                <w:p w14:paraId="2045934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0.0111</w:t>
                  </w:r>
                </w:p>
              </w:tc>
              <w:tc>
                <w:tcPr>
                  <w:tcW w:w="862" w:type="dxa"/>
                  <w:vAlign w:val="center"/>
                </w:tcPr>
                <w:p w14:paraId="66361339">
                  <w:pPr>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r>
            <w:tr w14:paraId="339F1C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359" w:type="dxa"/>
                  <w:vMerge w:val="continue"/>
                  <w:vAlign w:val="center"/>
                </w:tcPr>
                <w:p w14:paraId="030A71A2">
                  <w:pPr>
                    <w:ind w:left="-105" w:leftChars="-50" w:right="-105" w:rightChars="-50"/>
                    <w:jc w:val="center"/>
                    <w:rPr>
                      <w:rFonts w:hint="default" w:ascii="Times New Roman" w:hAnsi="Times New Roman" w:cs="Times New Roman"/>
                      <w:color w:val="auto"/>
                      <w:sz w:val="21"/>
                      <w:szCs w:val="21"/>
                    </w:rPr>
                  </w:pPr>
                </w:p>
              </w:tc>
              <w:tc>
                <w:tcPr>
                  <w:tcW w:w="547" w:type="dxa"/>
                  <w:vMerge w:val="continue"/>
                  <w:vAlign w:val="center"/>
                </w:tcPr>
                <w:p w14:paraId="0BB43BBF">
                  <w:pPr>
                    <w:ind w:left="-105" w:leftChars="-50" w:right="-105" w:rightChars="-50"/>
                    <w:rPr>
                      <w:rFonts w:hint="default" w:ascii="Times New Roman" w:hAnsi="Times New Roman" w:cs="Times New Roman"/>
                      <w:color w:val="auto"/>
                      <w:sz w:val="21"/>
                      <w:szCs w:val="21"/>
                    </w:rPr>
                  </w:pPr>
                </w:p>
              </w:tc>
              <w:tc>
                <w:tcPr>
                  <w:tcW w:w="1170" w:type="dxa"/>
                  <w:vAlign w:val="center"/>
                </w:tcPr>
                <w:p w14:paraId="443C9F51">
                  <w:pPr>
                    <w:ind w:left="-50" w:right="-50"/>
                    <w:jc w:val="center"/>
                    <w:rPr>
                      <w:rFonts w:hint="default" w:ascii="Times New Roman" w:hAnsi="Times New Roman" w:cs="Times New Roman"/>
                      <w:color w:val="auto"/>
                      <w:sz w:val="21"/>
                      <w:szCs w:val="21"/>
                    </w:rPr>
                  </w:pPr>
                  <w:r>
                    <w:rPr>
                      <w:rFonts w:hint="default" w:ascii="Times New Roman" w:hAnsi="Times New Roman" w:cs="Times New Roman"/>
                      <w:iCs/>
                      <w:color w:val="auto"/>
                      <w:sz w:val="21"/>
                      <w:szCs w:val="21"/>
                    </w:rPr>
                    <w:t>粪大肠菌群</w:t>
                  </w:r>
                </w:p>
              </w:tc>
              <w:tc>
                <w:tcPr>
                  <w:tcW w:w="1244" w:type="dxa"/>
                  <w:vAlign w:val="center"/>
                </w:tcPr>
                <w:p w14:paraId="29F7510C">
                  <w:pPr>
                    <w:tabs>
                      <w:tab w:val="center" w:pos="546"/>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r>
                    <w:rPr>
                      <w:rFonts w:hint="default" w:ascii="Times New Roman" w:hAnsi="Times New Roman" w:cs="Times New Roman"/>
                      <w:iCs/>
                      <w:color w:val="auto"/>
                      <w:sz w:val="21"/>
                      <w:szCs w:val="21"/>
                    </w:rPr>
                    <w:t>×10</w:t>
                  </w:r>
                  <w:r>
                    <w:rPr>
                      <w:rFonts w:hint="default" w:ascii="Times New Roman" w:hAnsi="Times New Roman" w:cs="Times New Roman"/>
                      <w:iCs/>
                      <w:color w:val="auto"/>
                      <w:sz w:val="21"/>
                      <w:szCs w:val="21"/>
                      <w:vertAlign w:val="superscript"/>
                      <w:lang w:val="en-US" w:eastAsia="zh-CN"/>
                    </w:rPr>
                    <w:t>6</w:t>
                  </w:r>
                  <w:r>
                    <w:rPr>
                      <w:rFonts w:hint="default" w:ascii="Times New Roman" w:hAnsi="Times New Roman" w:cs="Times New Roman"/>
                      <w:iCs/>
                      <w:color w:val="auto"/>
                      <w:sz w:val="21"/>
                      <w:szCs w:val="21"/>
                    </w:rPr>
                    <w:t>个/L</w:t>
                  </w:r>
                </w:p>
              </w:tc>
              <w:tc>
                <w:tcPr>
                  <w:tcW w:w="1091" w:type="dxa"/>
                  <w:vAlign w:val="center"/>
                </w:tcPr>
                <w:p w14:paraId="08CC0151">
                  <w:pPr>
                    <w:tabs>
                      <w:tab w:val="center" w:pos="546"/>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57" w:type="dxa"/>
                  <w:shd w:val="clear" w:color="auto" w:fill="auto"/>
                  <w:vAlign w:val="center"/>
                </w:tcPr>
                <w:p w14:paraId="23E59604">
                  <w:pPr>
                    <w:tabs>
                      <w:tab w:val="center" w:pos="546"/>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99.</w:t>
                  </w:r>
                  <w:r>
                    <w:rPr>
                      <w:rFonts w:hint="eastAsia" w:cs="Times New Roman"/>
                      <w:color w:val="auto"/>
                      <w:sz w:val="21"/>
                      <w:szCs w:val="21"/>
                      <w:lang w:val="en-US" w:eastAsia="zh-CN"/>
                    </w:rPr>
                    <w:t>9</w:t>
                  </w:r>
                </w:p>
              </w:tc>
              <w:tc>
                <w:tcPr>
                  <w:tcW w:w="1055" w:type="dxa"/>
                  <w:shd w:val="clear" w:color="auto" w:fill="auto"/>
                  <w:vAlign w:val="center"/>
                </w:tcPr>
                <w:p w14:paraId="14907F51">
                  <w:pPr>
                    <w:tabs>
                      <w:tab w:val="center" w:pos="546"/>
                    </w:tabs>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2000</w:t>
                  </w:r>
                  <w:r>
                    <w:rPr>
                      <w:rFonts w:hint="default" w:ascii="Times New Roman" w:hAnsi="Times New Roman" w:cs="Times New Roman"/>
                      <w:iCs/>
                      <w:color w:val="auto"/>
                      <w:sz w:val="21"/>
                      <w:szCs w:val="21"/>
                    </w:rPr>
                    <w:t>个/L</w:t>
                  </w:r>
                </w:p>
              </w:tc>
              <w:tc>
                <w:tcPr>
                  <w:tcW w:w="1188" w:type="dxa"/>
                  <w:shd w:val="clear" w:color="auto" w:fill="auto"/>
                  <w:vAlign w:val="center"/>
                </w:tcPr>
                <w:p w14:paraId="37EF7F0E">
                  <w:pPr>
                    <w:tabs>
                      <w:tab w:val="center" w:pos="546"/>
                    </w:tabs>
                    <w:jc w:val="center"/>
                    <w:rPr>
                      <w:rFonts w:hint="default" w:ascii="Times New Roman" w:hAnsi="Times New Roman" w:cs="Times New Roman"/>
                      <w:color w:val="auto"/>
                      <w:sz w:val="21"/>
                      <w:szCs w:val="21"/>
                    </w:rPr>
                  </w:pPr>
                </w:p>
              </w:tc>
              <w:tc>
                <w:tcPr>
                  <w:tcW w:w="862" w:type="dxa"/>
                  <w:shd w:val="clear" w:color="auto" w:fill="auto"/>
                  <w:vAlign w:val="center"/>
                </w:tcPr>
                <w:p w14:paraId="42B19134">
                  <w:pPr>
                    <w:tabs>
                      <w:tab w:val="center" w:pos="546"/>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5000个/L</w:t>
                  </w:r>
                </w:p>
              </w:tc>
            </w:tr>
            <w:tr w14:paraId="69BDE5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359" w:type="dxa"/>
                  <w:vMerge w:val="continue"/>
                  <w:vAlign w:val="center"/>
                </w:tcPr>
                <w:p w14:paraId="41BA9F9E">
                  <w:pPr>
                    <w:ind w:left="-105" w:leftChars="-50" w:right="-105" w:rightChars="-50"/>
                    <w:jc w:val="center"/>
                    <w:rPr>
                      <w:rFonts w:hint="default" w:ascii="Times New Roman" w:hAnsi="Times New Roman" w:cs="Times New Roman"/>
                      <w:color w:val="auto"/>
                      <w:sz w:val="21"/>
                      <w:szCs w:val="21"/>
                    </w:rPr>
                  </w:pPr>
                </w:p>
              </w:tc>
              <w:tc>
                <w:tcPr>
                  <w:tcW w:w="547" w:type="dxa"/>
                  <w:vMerge w:val="continue"/>
                  <w:vAlign w:val="center"/>
                </w:tcPr>
                <w:p w14:paraId="75EB9411">
                  <w:pPr>
                    <w:ind w:left="-105" w:leftChars="-50" w:right="-105" w:rightChars="-50"/>
                    <w:rPr>
                      <w:rFonts w:hint="default" w:ascii="Times New Roman" w:hAnsi="Times New Roman" w:cs="Times New Roman"/>
                      <w:color w:val="auto"/>
                      <w:sz w:val="21"/>
                      <w:szCs w:val="21"/>
                    </w:rPr>
                  </w:pPr>
                </w:p>
              </w:tc>
              <w:tc>
                <w:tcPr>
                  <w:tcW w:w="1170" w:type="dxa"/>
                  <w:vAlign w:val="center"/>
                </w:tcPr>
                <w:p w14:paraId="6FF3C8E8">
                  <w:pPr>
                    <w:ind w:left="-50" w:right="-50"/>
                    <w:jc w:val="center"/>
                    <w:rPr>
                      <w:rFonts w:hint="eastAsia" w:ascii="Times New Roman" w:hAnsi="Times New Roman" w:eastAsia="宋体" w:cs="Times New Roman"/>
                      <w:iCs/>
                      <w:color w:val="7030A0"/>
                      <w:sz w:val="21"/>
                      <w:szCs w:val="21"/>
                      <w:lang w:val="en-US" w:eastAsia="zh-CN"/>
                    </w:rPr>
                  </w:pPr>
                  <w:r>
                    <w:rPr>
                      <w:rFonts w:hint="eastAsia" w:cs="Times New Roman"/>
                      <w:iCs/>
                      <w:color w:val="7030A0"/>
                      <w:sz w:val="21"/>
                      <w:szCs w:val="21"/>
                      <w:lang w:val="en-US" w:eastAsia="zh-CN"/>
                    </w:rPr>
                    <w:t>LAS</w:t>
                  </w:r>
                </w:p>
              </w:tc>
              <w:tc>
                <w:tcPr>
                  <w:tcW w:w="1244" w:type="dxa"/>
                  <w:vAlign w:val="center"/>
                </w:tcPr>
                <w:p w14:paraId="712D53ED">
                  <w:pPr>
                    <w:tabs>
                      <w:tab w:val="center" w:pos="546"/>
                    </w:tabs>
                    <w:jc w:val="center"/>
                    <w:rPr>
                      <w:rFonts w:hint="default" w:ascii="Times New Roman" w:hAnsi="Times New Roman" w:cs="Times New Roman"/>
                      <w:color w:val="7030A0"/>
                      <w:sz w:val="21"/>
                      <w:szCs w:val="21"/>
                      <w:lang w:val="en-US" w:eastAsia="zh-CN"/>
                    </w:rPr>
                  </w:pPr>
                  <w:r>
                    <w:rPr>
                      <w:rFonts w:hint="eastAsia" w:cs="Times New Roman"/>
                      <w:color w:val="7030A0"/>
                      <w:sz w:val="21"/>
                      <w:szCs w:val="21"/>
                      <w:lang w:val="en-US" w:eastAsia="zh-CN"/>
                    </w:rPr>
                    <w:t>2.51</w:t>
                  </w:r>
                </w:p>
              </w:tc>
              <w:tc>
                <w:tcPr>
                  <w:tcW w:w="1091" w:type="dxa"/>
                  <w:vAlign w:val="center"/>
                </w:tcPr>
                <w:p w14:paraId="4F318561">
                  <w:pPr>
                    <w:tabs>
                      <w:tab w:val="center" w:pos="546"/>
                    </w:tabs>
                    <w:jc w:val="center"/>
                    <w:rPr>
                      <w:rFonts w:hint="default" w:ascii="Times New Roman" w:hAnsi="Times New Roman" w:eastAsia="宋体" w:cs="Times New Roman"/>
                      <w:color w:val="7030A0"/>
                      <w:sz w:val="21"/>
                      <w:szCs w:val="21"/>
                      <w:lang w:val="en-US" w:eastAsia="zh-CN"/>
                    </w:rPr>
                  </w:pPr>
                  <w:r>
                    <w:rPr>
                      <w:rFonts w:hint="eastAsia" w:cs="Times New Roman"/>
                      <w:color w:val="7030A0"/>
                      <w:sz w:val="21"/>
                      <w:szCs w:val="21"/>
                      <w:lang w:val="en-US" w:eastAsia="zh-CN"/>
                    </w:rPr>
                    <w:t>0.0027</w:t>
                  </w:r>
                </w:p>
              </w:tc>
              <w:tc>
                <w:tcPr>
                  <w:tcW w:w="1057" w:type="dxa"/>
                  <w:shd w:val="clear" w:color="auto" w:fill="auto"/>
                  <w:vAlign w:val="center"/>
                </w:tcPr>
                <w:p w14:paraId="4AAD6E3F">
                  <w:pPr>
                    <w:tabs>
                      <w:tab w:val="center" w:pos="546"/>
                    </w:tabs>
                    <w:jc w:val="center"/>
                    <w:rPr>
                      <w:rFonts w:hint="default" w:ascii="Times New Roman" w:hAnsi="Times New Roman" w:eastAsia="宋体" w:cs="Times New Roman"/>
                      <w:color w:val="7030A0"/>
                      <w:sz w:val="21"/>
                      <w:szCs w:val="21"/>
                      <w:lang w:val="en-US" w:eastAsia="zh-CN"/>
                    </w:rPr>
                  </w:pPr>
                  <w:r>
                    <w:rPr>
                      <w:rFonts w:hint="eastAsia" w:cs="Times New Roman"/>
                      <w:color w:val="7030A0"/>
                      <w:sz w:val="21"/>
                      <w:szCs w:val="21"/>
                      <w:lang w:val="en-US" w:eastAsia="zh-CN"/>
                    </w:rPr>
                    <w:t>80</w:t>
                  </w:r>
                </w:p>
              </w:tc>
              <w:tc>
                <w:tcPr>
                  <w:tcW w:w="1055" w:type="dxa"/>
                  <w:shd w:val="clear" w:color="auto" w:fill="auto"/>
                  <w:vAlign w:val="center"/>
                </w:tcPr>
                <w:p w14:paraId="01DCAF59">
                  <w:pPr>
                    <w:tabs>
                      <w:tab w:val="center" w:pos="546"/>
                    </w:tabs>
                    <w:jc w:val="center"/>
                    <w:rPr>
                      <w:rFonts w:hint="default" w:cs="Times New Roman"/>
                      <w:color w:val="7030A0"/>
                      <w:sz w:val="21"/>
                      <w:szCs w:val="21"/>
                      <w:lang w:val="en-US" w:eastAsia="zh-CN"/>
                    </w:rPr>
                  </w:pPr>
                  <w:r>
                    <w:rPr>
                      <w:rFonts w:hint="eastAsia" w:cs="Times New Roman"/>
                      <w:color w:val="7030A0"/>
                      <w:sz w:val="21"/>
                      <w:szCs w:val="21"/>
                      <w:lang w:val="en-US" w:eastAsia="zh-CN"/>
                    </w:rPr>
                    <w:t>0.502</w:t>
                  </w:r>
                </w:p>
              </w:tc>
              <w:tc>
                <w:tcPr>
                  <w:tcW w:w="1188" w:type="dxa"/>
                  <w:shd w:val="clear" w:color="auto" w:fill="auto"/>
                  <w:vAlign w:val="center"/>
                </w:tcPr>
                <w:p w14:paraId="1B677E44">
                  <w:pPr>
                    <w:tabs>
                      <w:tab w:val="center" w:pos="546"/>
                    </w:tabs>
                    <w:jc w:val="center"/>
                    <w:rPr>
                      <w:rFonts w:hint="default"/>
                      <w:lang w:val="en-US" w:eastAsia="zh-CN"/>
                    </w:rPr>
                  </w:pPr>
                  <w:r>
                    <w:rPr>
                      <w:rFonts w:hint="eastAsia" w:cs="Times New Roman"/>
                      <w:color w:val="7030A0"/>
                      <w:sz w:val="21"/>
                      <w:szCs w:val="21"/>
                      <w:lang w:val="en-US" w:eastAsia="zh-CN"/>
                    </w:rPr>
                    <w:t>0.0005</w:t>
                  </w:r>
                </w:p>
              </w:tc>
              <w:tc>
                <w:tcPr>
                  <w:tcW w:w="862" w:type="dxa"/>
                  <w:shd w:val="clear" w:color="auto" w:fill="auto"/>
                  <w:vAlign w:val="center"/>
                </w:tcPr>
                <w:p w14:paraId="3E46DF47">
                  <w:pPr>
                    <w:tabs>
                      <w:tab w:val="center" w:pos="546"/>
                    </w:tabs>
                    <w:jc w:val="center"/>
                    <w:rPr>
                      <w:rFonts w:hint="default" w:ascii="Times New Roman" w:hAnsi="Times New Roman" w:eastAsia="宋体" w:cs="Times New Roman"/>
                      <w:color w:val="7030A0"/>
                      <w:sz w:val="21"/>
                      <w:szCs w:val="21"/>
                      <w:lang w:val="en-US" w:eastAsia="zh-CN"/>
                    </w:rPr>
                  </w:pPr>
                  <w:r>
                    <w:rPr>
                      <w:rFonts w:hint="eastAsia" w:cs="Times New Roman"/>
                      <w:color w:val="7030A0"/>
                      <w:sz w:val="21"/>
                      <w:szCs w:val="21"/>
                      <w:lang w:val="en-US" w:eastAsia="zh-CN"/>
                    </w:rPr>
                    <w:t>10</w:t>
                  </w:r>
                </w:p>
              </w:tc>
            </w:tr>
            <w:tr w14:paraId="5066B9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9" w:type="dxa"/>
                  <w:vMerge w:val="continue"/>
                  <w:vAlign w:val="center"/>
                </w:tcPr>
                <w:p w14:paraId="2E01184F">
                  <w:pPr>
                    <w:ind w:left="-105" w:leftChars="-50" w:right="-105" w:rightChars="-50"/>
                    <w:jc w:val="center"/>
                    <w:rPr>
                      <w:rFonts w:hint="default" w:ascii="Times New Roman" w:hAnsi="Times New Roman" w:cs="Times New Roman"/>
                      <w:color w:val="auto"/>
                      <w:sz w:val="21"/>
                      <w:szCs w:val="21"/>
                    </w:rPr>
                  </w:pPr>
                </w:p>
              </w:tc>
              <w:tc>
                <w:tcPr>
                  <w:tcW w:w="547" w:type="dxa"/>
                  <w:vMerge w:val="restart"/>
                  <w:vAlign w:val="center"/>
                </w:tcPr>
                <w:p w14:paraId="3DFE234B">
                  <w:pPr>
                    <w:ind w:left="-105" w:leftChars="-50" w:right="-105" w:rightChars="-5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非病区废水</w:t>
                  </w:r>
                </w:p>
              </w:tc>
              <w:tc>
                <w:tcPr>
                  <w:tcW w:w="1170" w:type="dxa"/>
                  <w:vAlign w:val="center"/>
                </w:tcPr>
                <w:p w14:paraId="667F358C">
                  <w:pPr>
                    <w:ind w:left="-50" w:right="-50"/>
                    <w:jc w:val="center"/>
                    <w:rPr>
                      <w:rFonts w:hint="default" w:ascii="Times New Roman" w:hAnsi="Times New Roman" w:cs="Times New Roman"/>
                      <w:iCs/>
                      <w:color w:val="auto"/>
                      <w:sz w:val="21"/>
                      <w:szCs w:val="21"/>
                    </w:rPr>
                  </w:pPr>
                  <w:r>
                    <w:rPr>
                      <w:rFonts w:hint="default" w:ascii="Times New Roman" w:hAnsi="Times New Roman" w:cs="Times New Roman"/>
                      <w:color w:val="auto"/>
                      <w:sz w:val="21"/>
                      <w:szCs w:val="21"/>
                    </w:rPr>
                    <w:t>废水量</w:t>
                  </w:r>
                </w:p>
              </w:tc>
              <w:tc>
                <w:tcPr>
                  <w:tcW w:w="1244" w:type="dxa"/>
                  <w:vAlign w:val="center"/>
                </w:tcPr>
                <w:p w14:paraId="1CEA42AC">
                  <w:pPr>
                    <w:tabs>
                      <w:tab w:val="center" w:pos="546"/>
                    </w:tabs>
                    <w:jc w:val="center"/>
                    <w:rPr>
                      <w:rFonts w:hint="default" w:ascii="Times New Roman" w:hAnsi="Times New Roman" w:cs="Times New Roman"/>
                      <w:iCs/>
                      <w:color w:val="auto"/>
                      <w:sz w:val="21"/>
                      <w:szCs w:val="21"/>
                    </w:rPr>
                  </w:pPr>
                  <w:r>
                    <w:rPr>
                      <w:rFonts w:hint="default" w:ascii="Times New Roman" w:hAnsi="Times New Roman" w:cs="Times New Roman"/>
                      <w:color w:val="auto"/>
                      <w:sz w:val="21"/>
                      <w:szCs w:val="21"/>
                    </w:rPr>
                    <w:t>/</w:t>
                  </w:r>
                </w:p>
              </w:tc>
              <w:tc>
                <w:tcPr>
                  <w:tcW w:w="1091" w:type="dxa"/>
                  <w:vAlign w:val="center"/>
                </w:tcPr>
                <w:p w14:paraId="337AEB96">
                  <w:pPr>
                    <w:tabs>
                      <w:tab w:val="center" w:pos="546"/>
                    </w:tabs>
                    <w:jc w:val="center"/>
                    <w:rPr>
                      <w:rFonts w:hint="default" w:ascii="Times New Roman" w:hAnsi="Times New Roman" w:eastAsia="宋体" w:cs="Times New Roman"/>
                      <w:color w:val="auto"/>
                      <w:sz w:val="21"/>
                      <w:szCs w:val="21"/>
                      <w:lang w:val="en-US" w:eastAsia="zh-CN"/>
                    </w:rPr>
                  </w:pPr>
                  <w:r>
                    <w:rPr>
                      <w:rFonts w:hint="eastAsia" w:cs="Times New Roman"/>
                      <w:iCs/>
                      <w:color w:val="auto"/>
                      <w:sz w:val="21"/>
                      <w:szCs w:val="21"/>
                      <w:lang w:val="en-US" w:eastAsia="zh-CN"/>
                    </w:rPr>
                    <w:t>1972</w:t>
                  </w:r>
                </w:p>
              </w:tc>
              <w:tc>
                <w:tcPr>
                  <w:tcW w:w="1057" w:type="dxa"/>
                  <w:shd w:val="clear" w:color="auto" w:fill="auto"/>
                  <w:vAlign w:val="center"/>
                </w:tcPr>
                <w:p w14:paraId="25C8338A">
                  <w:pPr>
                    <w:tabs>
                      <w:tab w:val="center" w:pos="546"/>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55" w:type="dxa"/>
                  <w:vAlign w:val="center"/>
                </w:tcPr>
                <w:p w14:paraId="1DEE1C68">
                  <w:pPr>
                    <w:tabs>
                      <w:tab w:val="center" w:pos="546"/>
                    </w:tabs>
                    <w:jc w:val="center"/>
                    <w:rPr>
                      <w:rFonts w:hint="default" w:ascii="Times New Roman" w:hAnsi="Times New Roman" w:cs="Times New Roman"/>
                      <w:color w:val="auto"/>
                      <w:sz w:val="21"/>
                      <w:szCs w:val="21"/>
                    </w:rPr>
                  </w:pPr>
                </w:p>
              </w:tc>
              <w:tc>
                <w:tcPr>
                  <w:tcW w:w="1188" w:type="dxa"/>
                  <w:vAlign w:val="center"/>
                </w:tcPr>
                <w:p w14:paraId="4949056D">
                  <w:pPr>
                    <w:tabs>
                      <w:tab w:val="center" w:pos="546"/>
                    </w:tabs>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1972</w:t>
                  </w:r>
                </w:p>
              </w:tc>
              <w:tc>
                <w:tcPr>
                  <w:tcW w:w="862" w:type="dxa"/>
                  <w:vAlign w:val="center"/>
                </w:tcPr>
                <w:p w14:paraId="023CD0CF">
                  <w:pPr>
                    <w:tabs>
                      <w:tab w:val="center" w:pos="546"/>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5E97FB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9" w:type="dxa"/>
                  <w:vMerge w:val="continue"/>
                  <w:vAlign w:val="center"/>
                </w:tcPr>
                <w:p w14:paraId="398F4B71">
                  <w:pPr>
                    <w:ind w:left="-105" w:leftChars="-50" w:right="-105" w:rightChars="-50"/>
                    <w:jc w:val="center"/>
                    <w:rPr>
                      <w:rFonts w:hint="default" w:ascii="Times New Roman" w:hAnsi="Times New Roman" w:cs="Times New Roman"/>
                      <w:color w:val="auto"/>
                      <w:sz w:val="21"/>
                      <w:szCs w:val="21"/>
                    </w:rPr>
                  </w:pPr>
                </w:p>
              </w:tc>
              <w:tc>
                <w:tcPr>
                  <w:tcW w:w="547" w:type="dxa"/>
                  <w:vMerge w:val="continue"/>
                  <w:vAlign w:val="center"/>
                </w:tcPr>
                <w:p w14:paraId="530F8396">
                  <w:pPr>
                    <w:ind w:left="-105" w:leftChars="-50" w:right="-105" w:rightChars="-50"/>
                    <w:jc w:val="center"/>
                    <w:rPr>
                      <w:rFonts w:hint="default" w:ascii="Times New Roman" w:hAnsi="Times New Roman" w:cs="Times New Roman"/>
                      <w:color w:val="auto"/>
                      <w:sz w:val="21"/>
                      <w:szCs w:val="21"/>
                    </w:rPr>
                  </w:pPr>
                </w:p>
              </w:tc>
              <w:tc>
                <w:tcPr>
                  <w:tcW w:w="1170" w:type="dxa"/>
                  <w:vAlign w:val="center"/>
                </w:tcPr>
                <w:p w14:paraId="2C9B8533">
                  <w:pPr>
                    <w:ind w:left="-50" w:right="-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w:t>
                  </w:r>
                </w:p>
              </w:tc>
              <w:tc>
                <w:tcPr>
                  <w:tcW w:w="1244" w:type="dxa"/>
                  <w:vAlign w:val="center"/>
                </w:tcPr>
                <w:p w14:paraId="3BB52F56">
                  <w:pPr>
                    <w:tabs>
                      <w:tab w:val="center" w:pos="546"/>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c>
                <w:tcPr>
                  <w:tcW w:w="1091" w:type="dxa"/>
                  <w:vAlign w:val="center"/>
                </w:tcPr>
                <w:p w14:paraId="2E52D158">
                  <w:pPr>
                    <w:tabs>
                      <w:tab w:val="center" w:pos="546"/>
                    </w:tabs>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w:t>
                  </w:r>
                </w:p>
              </w:tc>
              <w:tc>
                <w:tcPr>
                  <w:tcW w:w="1057" w:type="dxa"/>
                  <w:shd w:val="clear" w:color="auto" w:fill="auto"/>
                  <w:vAlign w:val="center"/>
                </w:tcPr>
                <w:p w14:paraId="050FB4FC">
                  <w:pPr>
                    <w:tabs>
                      <w:tab w:val="center" w:pos="546"/>
                    </w:tabs>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w:t>
                  </w:r>
                </w:p>
              </w:tc>
              <w:tc>
                <w:tcPr>
                  <w:tcW w:w="1055" w:type="dxa"/>
                  <w:vAlign w:val="center"/>
                </w:tcPr>
                <w:p w14:paraId="7FD64BB8">
                  <w:pPr>
                    <w:tabs>
                      <w:tab w:val="center" w:pos="546"/>
                    </w:tabs>
                    <w:jc w:val="center"/>
                    <w:rPr>
                      <w:rFonts w:hint="default" w:ascii="Times New Roman" w:hAnsi="Times New Roman" w:cs="Times New Roman"/>
                      <w:b w:val="0"/>
                      <w:bCs w:val="0"/>
                      <w:color w:val="auto"/>
                      <w:sz w:val="21"/>
                      <w:szCs w:val="21"/>
                    </w:rPr>
                  </w:pPr>
                </w:p>
              </w:tc>
              <w:tc>
                <w:tcPr>
                  <w:tcW w:w="1188" w:type="dxa"/>
                  <w:vAlign w:val="center"/>
                </w:tcPr>
                <w:p w14:paraId="137A2687">
                  <w:pPr>
                    <w:tabs>
                      <w:tab w:val="center" w:pos="546"/>
                    </w:tabs>
                    <w:jc w:val="center"/>
                    <w:rPr>
                      <w:rFonts w:hint="default" w:ascii="Times New Roman" w:hAnsi="Times New Roman" w:cs="Times New Roman"/>
                      <w:b w:val="0"/>
                      <w:bCs w:val="0"/>
                      <w:color w:val="auto"/>
                      <w:sz w:val="21"/>
                      <w:szCs w:val="21"/>
                    </w:rPr>
                  </w:pPr>
                </w:p>
              </w:tc>
              <w:tc>
                <w:tcPr>
                  <w:tcW w:w="862" w:type="dxa"/>
                  <w:shd w:val="clear" w:color="auto" w:fill="auto"/>
                  <w:vAlign w:val="center"/>
                </w:tcPr>
                <w:p w14:paraId="039A1CB0">
                  <w:pPr>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r>
            <w:tr w14:paraId="3E1684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9" w:type="dxa"/>
                  <w:vMerge w:val="continue"/>
                  <w:vAlign w:val="center"/>
                </w:tcPr>
                <w:p w14:paraId="1041BE58">
                  <w:pPr>
                    <w:ind w:left="-105" w:leftChars="-50" w:right="-105" w:rightChars="-50"/>
                    <w:jc w:val="center"/>
                    <w:rPr>
                      <w:rFonts w:hint="default" w:ascii="Times New Roman" w:hAnsi="Times New Roman" w:cs="Times New Roman"/>
                      <w:color w:val="auto"/>
                      <w:sz w:val="21"/>
                      <w:szCs w:val="21"/>
                    </w:rPr>
                  </w:pPr>
                </w:p>
              </w:tc>
              <w:tc>
                <w:tcPr>
                  <w:tcW w:w="547" w:type="dxa"/>
                  <w:vMerge w:val="continue"/>
                  <w:vAlign w:val="center"/>
                </w:tcPr>
                <w:p w14:paraId="309E1541">
                  <w:pPr>
                    <w:ind w:left="-105" w:leftChars="-50" w:right="-105" w:rightChars="-50"/>
                    <w:jc w:val="center"/>
                    <w:rPr>
                      <w:rFonts w:hint="default" w:ascii="Times New Roman" w:hAnsi="Times New Roman" w:cs="Times New Roman"/>
                      <w:color w:val="auto"/>
                      <w:sz w:val="21"/>
                      <w:szCs w:val="21"/>
                    </w:rPr>
                  </w:pPr>
                </w:p>
              </w:tc>
              <w:tc>
                <w:tcPr>
                  <w:tcW w:w="1170" w:type="dxa"/>
                  <w:vAlign w:val="center"/>
                </w:tcPr>
                <w:p w14:paraId="419B3F6B">
                  <w:pPr>
                    <w:ind w:left="-50" w:right="-50"/>
                    <w:jc w:val="center"/>
                    <w:rPr>
                      <w:rFonts w:hint="default" w:ascii="Times New Roman" w:hAnsi="Times New Roman" w:cs="Times New Roman"/>
                      <w:iCs/>
                      <w:color w:val="auto"/>
                      <w:sz w:val="21"/>
                      <w:szCs w:val="21"/>
                    </w:rPr>
                  </w:pPr>
                  <w:r>
                    <w:rPr>
                      <w:rFonts w:hint="default" w:ascii="Times New Roman" w:hAnsi="Times New Roman" w:cs="Times New Roman"/>
                      <w:color w:val="auto"/>
                      <w:sz w:val="21"/>
                      <w:szCs w:val="21"/>
                    </w:rPr>
                    <w:t>CODcr</w:t>
                  </w:r>
                </w:p>
              </w:tc>
              <w:tc>
                <w:tcPr>
                  <w:tcW w:w="1244" w:type="dxa"/>
                  <w:vAlign w:val="center"/>
                </w:tcPr>
                <w:p w14:paraId="41DA19F2">
                  <w:pPr>
                    <w:tabs>
                      <w:tab w:val="center" w:pos="546"/>
                    </w:tabs>
                    <w:jc w:val="center"/>
                    <w:rPr>
                      <w:rFonts w:hint="default" w:ascii="Times New Roman" w:hAnsi="Times New Roman" w:eastAsia="宋体" w:cs="Times New Roman"/>
                      <w:iCs/>
                      <w:color w:val="auto"/>
                      <w:sz w:val="21"/>
                      <w:szCs w:val="21"/>
                      <w:lang w:val="en-US" w:eastAsia="zh-CN"/>
                    </w:rPr>
                  </w:pPr>
                  <w:r>
                    <w:rPr>
                      <w:rFonts w:hint="default" w:ascii="Times New Roman" w:hAnsi="Times New Roman" w:cs="Times New Roman"/>
                      <w:color w:val="auto"/>
                      <w:sz w:val="21"/>
                      <w:szCs w:val="21"/>
                      <w:lang w:val="en-US" w:eastAsia="zh-CN"/>
                    </w:rPr>
                    <w:t>220</w:t>
                  </w:r>
                </w:p>
              </w:tc>
              <w:tc>
                <w:tcPr>
                  <w:tcW w:w="1091" w:type="dxa"/>
                  <w:shd w:val="clear" w:color="auto" w:fill="auto"/>
                  <w:vAlign w:val="center"/>
                </w:tcPr>
                <w:p w14:paraId="08D3CC9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0.4338</w:t>
                  </w:r>
                </w:p>
              </w:tc>
              <w:tc>
                <w:tcPr>
                  <w:tcW w:w="1057" w:type="dxa"/>
                  <w:shd w:val="clear" w:color="auto" w:fill="auto"/>
                  <w:vAlign w:val="center"/>
                </w:tcPr>
                <w:p w14:paraId="12E618FE">
                  <w:pPr>
                    <w:jc w:val="center"/>
                    <w:textAlignment w:val="center"/>
                    <w:rPr>
                      <w:rFonts w:hint="default" w:ascii="Times New Roman" w:hAnsi="Times New Roman" w:cs="Times New Roman"/>
                      <w:color w:val="auto"/>
                      <w:sz w:val="21"/>
                      <w:szCs w:val="21"/>
                    </w:rPr>
                  </w:pPr>
                  <w:r>
                    <w:rPr>
                      <w:rFonts w:hint="eastAsia" w:cs="Times New Roman"/>
                      <w:iCs/>
                      <w:color w:val="auto"/>
                      <w:sz w:val="21"/>
                      <w:szCs w:val="21"/>
                      <w:lang w:val="en-US" w:eastAsia="zh-CN"/>
                    </w:rPr>
                    <w:t>90.5</w:t>
                  </w:r>
                </w:p>
              </w:tc>
              <w:tc>
                <w:tcPr>
                  <w:tcW w:w="1055" w:type="dxa"/>
                  <w:vAlign w:val="center"/>
                </w:tcPr>
                <w:p w14:paraId="7048C140">
                  <w:pPr>
                    <w:tabs>
                      <w:tab w:val="center" w:pos="546"/>
                    </w:tabs>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20.9</w:t>
                  </w:r>
                </w:p>
              </w:tc>
              <w:tc>
                <w:tcPr>
                  <w:tcW w:w="1188" w:type="dxa"/>
                  <w:shd w:val="clear" w:color="auto" w:fill="auto"/>
                  <w:vAlign w:val="center"/>
                </w:tcPr>
                <w:p w14:paraId="1A4F618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0.0412</w:t>
                  </w:r>
                </w:p>
              </w:tc>
              <w:tc>
                <w:tcPr>
                  <w:tcW w:w="862" w:type="dxa"/>
                  <w:shd w:val="clear" w:color="auto" w:fill="auto"/>
                  <w:vAlign w:val="center"/>
                </w:tcPr>
                <w:p w14:paraId="57EB92CC">
                  <w:pPr>
                    <w:jc w:val="center"/>
                    <w:textAlignment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220</w:t>
                  </w:r>
                </w:p>
              </w:tc>
            </w:tr>
            <w:tr w14:paraId="53F201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9" w:type="dxa"/>
                  <w:vMerge w:val="continue"/>
                  <w:vAlign w:val="center"/>
                </w:tcPr>
                <w:p w14:paraId="607661CC">
                  <w:pPr>
                    <w:ind w:left="-105" w:leftChars="-50" w:right="-105" w:rightChars="-50"/>
                    <w:jc w:val="center"/>
                    <w:rPr>
                      <w:rFonts w:hint="default" w:ascii="Times New Roman" w:hAnsi="Times New Roman" w:cs="Times New Roman"/>
                      <w:color w:val="auto"/>
                      <w:sz w:val="21"/>
                      <w:szCs w:val="21"/>
                    </w:rPr>
                  </w:pPr>
                </w:p>
              </w:tc>
              <w:tc>
                <w:tcPr>
                  <w:tcW w:w="547" w:type="dxa"/>
                  <w:vMerge w:val="continue"/>
                  <w:vAlign w:val="center"/>
                </w:tcPr>
                <w:p w14:paraId="0B109C7C">
                  <w:pPr>
                    <w:ind w:left="-105" w:leftChars="-50" w:right="-105" w:rightChars="-50"/>
                    <w:jc w:val="center"/>
                    <w:rPr>
                      <w:rFonts w:hint="default" w:ascii="Times New Roman" w:hAnsi="Times New Roman" w:cs="Times New Roman"/>
                      <w:color w:val="auto"/>
                      <w:sz w:val="21"/>
                      <w:szCs w:val="21"/>
                    </w:rPr>
                  </w:pPr>
                </w:p>
              </w:tc>
              <w:tc>
                <w:tcPr>
                  <w:tcW w:w="1170" w:type="dxa"/>
                  <w:vAlign w:val="center"/>
                </w:tcPr>
                <w:p w14:paraId="23E15C07">
                  <w:pPr>
                    <w:ind w:left="-50" w:right="-50"/>
                    <w:jc w:val="center"/>
                    <w:rPr>
                      <w:rFonts w:hint="default" w:ascii="Times New Roman" w:hAnsi="Times New Roman" w:cs="Times New Roman"/>
                      <w:iCs/>
                      <w:color w:val="auto"/>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1244" w:type="dxa"/>
                  <w:vAlign w:val="center"/>
                </w:tcPr>
                <w:p w14:paraId="5B8C77B7">
                  <w:pPr>
                    <w:tabs>
                      <w:tab w:val="center" w:pos="546"/>
                    </w:tabs>
                    <w:jc w:val="center"/>
                    <w:rPr>
                      <w:rFonts w:hint="default" w:ascii="Times New Roman" w:hAnsi="Times New Roman" w:eastAsia="宋体" w:cs="Times New Roman"/>
                      <w:iCs/>
                      <w:color w:val="auto"/>
                      <w:sz w:val="21"/>
                      <w:szCs w:val="21"/>
                      <w:lang w:val="en-US" w:eastAsia="zh-CN"/>
                    </w:rPr>
                  </w:pPr>
                  <w:r>
                    <w:rPr>
                      <w:rFonts w:hint="default" w:ascii="Times New Roman" w:hAnsi="Times New Roman" w:cs="Times New Roman"/>
                      <w:color w:val="auto"/>
                      <w:sz w:val="21"/>
                      <w:szCs w:val="21"/>
                      <w:lang w:val="en-US" w:eastAsia="zh-CN"/>
                    </w:rPr>
                    <w:t>120</w:t>
                  </w:r>
                </w:p>
              </w:tc>
              <w:tc>
                <w:tcPr>
                  <w:tcW w:w="1091" w:type="dxa"/>
                  <w:shd w:val="clear" w:color="auto" w:fill="auto"/>
                  <w:vAlign w:val="center"/>
                </w:tcPr>
                <w:p w14:paraId="38E2B09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0.2366</w:t>
                  </w:r>
                </w:p>
              </w:tc>
              <w:tc>
                <w:tcPr>
                  <w:tcW w:w="1057" w:type="dxa"/>
                  <w:shd w:val="clear" w:color="auto" w:fill="auto"/>
                  <w:vAlign w:val="center"/>
                </w:tcPr>
                <w:p w14:paraId="131140F6">
                  <w:pPr>
                    <w:jc w:val="center"/>
                    <w:textAlignment w:val="center"/>
                    <w:rPr>
                      <w:rFonts w:hint="default" w:ascii="Times New Roman" w:hAnsi="Times New Roman" w:cs="Times New Roman"/>
                      <w:color w:val="auto"/>
                      <w:sz w:val="21"/>
                      <w:szCs w:val="21"/>
                    </w:rPr>
                  </w:pPr>
                  <w:r>
                    <w:rPr>
                      <w:rFonts w:hint="eastAsia" w:cs="Times New Roman"/>
                      <w:iCs/>
                      <w:color w:val="auto"/>
                      <w:sz w:val="21"/>
                      <w:szCs w:val="21"/>
                      <w:lang w:val="en-US" w:eastAsia="zh-CN"/>
                    </w:rPr>
                    <w:t>90.5</w:t>
                  </w:r>
                </w:p>
              </w:tc>
              <w:tc>
                <w:tcPr>
                  <w:tcW w:w="1055" w:type="dxa"/>
                  <w:vAlign w:val="center"/>
                </w:tcPr>
                <w:p w14:paraId="5CE58305">
                  <w:pPr>
                    <w:tabs>
                      <w:tab w:val="center" w:pos="546"/>
                    </w:tabs>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11.4</w:t>
                  </w:r>
                </w:p>
              </w:tc>
              <w:tc>
                <w:tcPr>
                  <w:tcW w:w="1188" w:type="dxa"/>
                  <w:shd w:val="clear" w:color="auto" w:fill="auto"/>
                  <w:vAlign w:val="center"/>
                </w:tcPr>
                <w:p w14:paraId="01BF460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0.0225</w:t>
                  </w:r>
                </w:p>
              </w:tc>
              <w:tc>
                <w:tcPr>
                  <w:tcW w:w="862" w:type="dxa"/>
                  <w:shd w:val="clear" w:color="auto" w:fill="auto"/>
                  <w:vAlign w:val="center"/>
                </w:tcPr>
                <w:p w14:paraId="70055C29">
                  <w:pPr>
                    <w:jc w:val="center"/>
                    <w:textAlignment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100</w:t>
                  </w:r>
                </w:p>
              </w:tc>
            </w:tr>
            <w:tr w14:paraId="60B3A5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9" w:type="dxa"/>
                  <w:vMerge w:val="continue"/>
                  <w:vAlign w:val="center"/>
                </w:tcPr>
                <w:p w14:paraId="23542B5F">
                  <w:pPr>
                    <w:ind w:left="-105" w:leftChars="-50" w:right="-105" w:rightChars="-50"/>
                    <w:jc w:val="center"/>
                    <w:rPr>
                      <w:rFonts w:hint="default" w:ascii="Times New Roman" w:hAnsi="Times New Roman" w:cs="Times New Roman"/>
                      <w:color w:val="auto"/>
                      <w:sz w:val="21"/>
                      <w:szCs w:val="21"/>
                    </w:rPr>
                  </w:pPr>
                </w:p>
              </w:tc>
              <w:tc>
                <w:tcPr>
                  <w:tcW w:w="547" w:type="dxa"/>
                  <w:vMerge w:val="continue"/>
                  <w:vAlign w:val="center"/>
                </w:tcPr>
                <w:p w14:paraId="2B2C4661">
                  <w:pPr>
                    <w:ind w:left="-105" w:leftChars="-50" w:right="-105" w:rightChars="-50"/>
                    <w:jc w:val="center"/>
                    <w:rPr>
                      <w:rFonts w:hint="default" w:ascii="Times New Roman" w:hAnsi="Times New Roman" w:cs="Times New Roman"/>
                      <w:color w:val="auto"/>
                      <w:sz w:val="21"/>
                      <w:szCs w:val="21"/>
                    </w:rPr>
                  </w:pPr>
                </w:p>
              </w:tc>
              <w:tc>
                <w:tcPr>
                  <w:tcW w:w="1170" w:type="dxa"/>
                  <w:vAlign w:val="center"/>
                </w:tcPr>
                <w:p w14:paraId="3B816399">
                  <w:pPr>
                    <w:ind w:left="-50" w:right="-50"/>
                    <w:jc w:val="center"/>
                    <w:rPr>
                      <w:rFonts w:hint="default" w:ascii="Times New Roman" w:hAnsi="Times New Roman" w:cs="Times New Roman"/>
                      <w:iCs/>
                      <w:color w:val="auto"/>
                      <w:sz w:val="21"/>
                      <w:szCs w:val="21"/>
                    </w:rPr>
                  </w:pPr>
                  <w:r>
                    <w:rPr>
                      <w:rFonts w:hint="default" w:ascii="Times New Roman" w:hAnsi="Times New Roman" w:cs="Times New Roman"/>
                      <w:color w:val="auto"/>
                      <w:sz w:val="21"/>
                      <w:szCs w:val="21"/>
                    </w:rPr>
                    <w:t>SS</w:t>
                  </w:r>
                </w:p>
              </w:tc>
              <w:tc>
                <w:tcPr>
                  <w:tcW w:w="1244" w:type="dxa"/>
                  <w:vAlign w:val="center"/>
                </w:tcPr>
                <w:p w14:paraId="4E7FC09E">
                  <w:pPr>
                    <w:tabs>
                      <w:tab w:val="center" w:pos="546"/>
                    </w:tabs>
                    <w:jc w:val="center"/>
                    <w:rPr>
                      <w:rFonts w:hint="default" w:ascii="Times New Roman" w:hAnsi="Times New Roman" w:eastAsia="宋体" w:cs="Times New Roman"/>
                      <w:iCs/>
                      <w:color w:val="auto"/>
                      <w:sz w:val="21"/>
                      <w:szCs w:val="21"/>
                      <w:lang w:val="en-US" w:eastAsia="zh-CN"/>
                    </w:rPr>
                  </w:pPr>
                  <w:r>
                    <w:rPr>
                      <w:rFonts w:hint="default" w:ascii="Times New Roman" w:hAnsi="Times New Roman" w:cs="Times New Roman"/>
                      <w:color w:val="auto"/>
                      <w:sz w:val="21"/>
                      <w:szCs w:val="21"/>
                      <w:lang w:val="en-US" w:eastAsia="zh-CN"/>
                    </w:rPr>
                    <w:t>150</w:t>
                  </w:r>
                </w:p>
              </w:tc>
              <w:tc>
                <w:tcPr>
                  <w:tcW w:w="1091" w:type="dxa"/>
                  <w:shd w:val="clear" w:color="auto" w:fill="auto"/>
                  <w:vAlign w:val="center"/>
                </w:tcPr>
                <w:p w14:paraId="1E42347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0.2958</w:t>
                  </w:r>
                </w:p>
              </w:tc>
              <w:tc>
                <w:tcPr>
                  <w:tcW w:w="1057" w:type="dxa"/>
                  <w:shd w:val="clear" w:color="auto" w:fill="auto"/>
                  <w:vAlign w:val="center"/>
                </w:tcPr>
                <w:p w14:paraId="56C9C136">
                  <w:pPr>
                    <w:jc w:val="center"/>
                    <w:textAlignment w:val="center"/>
                    <w:rPr>
                      <w:rFonts w:hint="default" w:ascii="Times New Roman" w:hAnsi="Times New Roman" w:cs="Times New Roman"/>
                      <w:color w:val="auto"/>
                      <w:sz w:val="21"/>
                      <w:szCs w:val="21"/>
                    </w:rPr>
                  </w:pPr>
                  <w:r>
                    <w:rPr>
                      <w:rFonts w:hint="eastAsia" w:cs="Times New Roman"/>
                      <w:iCs/>
                      <w:color w:val="auto"/>
                      <w:sz w:val="21"/>
                      <w:szCs w:val="21"/>
                      <w:lang w:val="en-US" w:eastAsia="zh-CN"/>
                    </w:rPr>
                    <w:t>84.5</w:t>
                  </w:r>
                </w:p>
              </w:tc>
              <w:tc>
                <w:tcPr>
                  <w:tcW w:w="1055" w:type="dxa"/>
                  <w:vAlign w:val="center"/>
                </w:tcPr>
                <w:p w14:paraId="4A2EADE8">
                  <w:pPr>
                    <w:tabs>
                      <w:tab w:val="center" w:pos="546"/>
                    </w:tabs>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23.25</w:t>
                  </w:r>
                </w:p>
              </w:tc>
              <w:tc>
                <w:tcPr>
                  <w:tcW w:w="1188" w:type="dxa"/>
                  <w:shd w:val="clear" w:color="auto" w:fill="auto"/>
                  <w:vAlign w:val="center"/>
                </w:tcPr>
                <w:p w14:paraId="4513ADB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0.0458</w:t>
                  </w:r>
                </w:p>
              </w:tc>
              <w:tc>
                <w:tcPr>
                  <w:tcW w:w="862" w:type="dxa"/>
                  <w:shd w:val="clear" w:color="auto" w:fill="auto"/>
                  <w:vAlign w:val="center"/>
                </w:tcPr>
                <w:p w14:paraId="1D4BE9D3">
                  <w:pPr>
                    <w:jc w:val="center"/>
                    <w:textAlignment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60</w:t>
                  </w:r>
                </w:p>
              </w:tc>
            </w:tr>
            <w:tr w14:paraId="7FA95C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9" w:type="dxa"/>
                  <w:vMerge w:val="continue"/>
                  <w:vAlign w:val="center"/>
                </w:tcPr>
                <w:p w14:paraId="672D0D3D">
                  <w:pPr>
                    <w:ind w:left="-105" w:leftChars="-50" w:right="-105" w:rightChars="-50"/>
                    <w:jc w:val="center"/>
                    <w:rPr>
                      <w:rFonts w:hint="default" w:ascii="Times New Roman" w:hAnsi="Times New Roman" w:cs="Times New Roman"/>
                      <w:color w:val="auto"/>
                      <w:sz w:val="21"/>
                      <w:szCs w:val="21"/>
                    </w:rPr>
                  </w:pPr>
                </w:p>
              </w:tc>
              <w:tc>
                <w:tcPr>
                  <w:tcW w:w="547" w:type="dxa"/>
                  <w:vMerge w:val="continue"/>
                  <w:vAlign w:val="center"/>
                </w:tcPr>
                <w:p w14:paraId="468427C8">
                  <w:pPr>
                    <w:ind w:left="-105" w:leftChars="-50" w:right="-105" w:rightChars="-50"/>
                    <w:jc w:val="center"/>
                    <w:rPr>
                      <w:rFonts w:hint="default" w:ascii="Times New Roman" w:hAnsi="Times New Roman" w:cs="Times New Roman"/>
                      <w:color w:val="auto"/>
                      <w:sz w:val="21"/>
                      <w:szCs w:val="21"/>
                    </w:rPr>
                  </w:pPr>
                </w:p>
              </w:tc>
              <w:tc>
                <w:tcPr>
                  <w:tcW w:w="1170" w:type="dxa"/>
                  <w:vAlign w:val="center"/>
                </w:tcPr>
                <w:p w14:paraId="7CE2F590">
                  <w:pPr>
                    <w:ind w:left="-50" w:right="-50"/>
                    <w:jc w:val="center"/>
                    <w:rPr>
                      <w:rFonts w:hint="default" w:ascii="Times New Roman" w:hAnsi="Times New Roman" w:cs="Times New Roman"/>
                      <w:iCs/>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1244" w:type="dxa"/>
                  <w:vAlign w:val="center"/>
                </w:tcPr>
                <w:p w14:paraId="4ABA8B98">
                  <w:pPr>
                    <w:tabs>
                      <w:tab w:val="center" w:pos="546"/>
                    </w:tabs>
                    <w:jc w:val="center"/>
                    <w:rPr>
                      <w:rFonts w:hint="default" w:ascii="Times New Roman" w:hAnsi="Times New Roman" w:cs="Times New Roman"/>
                      <w:iCs/>
                      <w:color w:val="auto"/>
                      <w:sz w:val="21"/>
                      <w:szCs w:val="21"/>
                    </w:rPr>
                  </w:pPr>
                  <w:r>
                    <w:rPr>
                      <w:rFonts w:hint="default" w:ascii="Times New Roman" w:hAnsi="Times New Roman" w:cs="Times New Roman"/>
                      <w:color w:val="auto"/>
                      <w:sz w:val="21"/>
                      <w:szCs w:val="21"/>
                    </w:rPr>
                    <w:t xml:space="preserve">25 </w:t>
                  </w:r>
                </w:p>
              </w:tc>
              <w:tc>
                <w:tcPr>
                  <w:tcW w:w="1091" w:type="dxa"/>
                  <w:shd w:val="clear" w:color="auto" w:fill="auto"/>
                  <w:vAlign w:val="center"/>
                </w:tcPr>
                <w:p w14:paraId="7C162DC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0.0493</w:t>
                  </w:r>
                </w:p>
              </w:tc>
              <w:tc>
                <w:tcPr>
                  <w:tcW w:w="1057" w:type="dxa"/>
                  <w:shd w:val="clear" w:color="auto" w:fill="auto"/>
                  <w:vAlign w:val="center"/>
                </w:tcPr>
                <w:p w14:paraId="37000250">
                  <w:pPr>
                    <w:jc w:val="center"/>
                    <w:textAlignment w:val="center"/>
                    <w:rPr>
                      <w:rFonts w:hint="default" w:ascii="Times New Roman" w:hAnsi="Times New Roman" w:cs="Times New Roman"/>
                      <w:color w:val="auto"/>
                      <w:sz w:val="21"/>
                      <w:szCs w:val="21"/>
                    </w:rPr>
                  </w:pPr>
                  <w:r>
                    <w:rPr>
                      <w:rFonts w:hint="eastAsia" w:cs="Times New Roman"/>
                      <w:iCs/>
                      <w:color w:val="auto"/>
                      <w:sz w:val="21"/>
                      <w:szCs w:val="21"/>
                      <w:lang w:val="en-US" w:eastAsia="zh-CN"/>
                    </w:rPr>
                    <w:t>82</w:t>
                  </w:r>
                </w:p>
              </w:tc>
              <w:tc>
                <w:tcPr>
                  <w:tcW w:w="1055" w:type="dxa"/>
                  <w:vAlign w:val="center"/>
                </w:tcPr>
                <w:p w14:paraId="44268793">
                  <w:pPr>
                    <w:tabs>
                      <w:tab w:val="center" w:pos="546"/>
                    </w:tabs>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w:t>
                  </w:r>
                </w:p>
              </w:tc>
              <w:tc>
                <w:tcPr>
                  <w:tcW w:w="1188" w:type="dxa"/>
                  <w:shd w:val="clear" w:color="auto" w:fill="auto"/>
                  <w:vAlign w:val="center"/>
                </w:tcPr>
                <w:p w14:paraId="671F84A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0.0089</w:t>
                  </w:r>
                </w:p>
              </w:tc>
              <w:tc>
                <w:tcPr>
                  <w:tcW w:w="862" w:type="dxa"/>
                  <w:shd w:val="clear" w:color="auto" w:fill="auto"/>
                  <w:vAlign w:val="center"/>
                </w:tcPr>
                <w:p w14:paraId="00E2B215">
                  <w:pPr>
                    <w:jc w:val="center"/>
                    <w:textAlignment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25</w:t>
                  </w:r>
                </w:p>
              </w:tc>
            </w:tr>
            <w:tr w14:paraId="32B9C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9" w:type="dxa"/>
                  <w:vMerge w:val="continue"/>
                  <w:vAlign w:val="center"/>
                </w:tcPr>
                <w:p w14:paraId="7E0EF4B9">
                  <w:pPr>
                    <w:ind w:left="-105" w:leftChars="-50" w:right="-105" w:rightChars="-50"/>
                    <w:jc w:val="center"/>
                    <w:rPr>
                      <w:rFonts w:hint="default" w:ascii="Times New Roman" w:hAnsi="Times New Roman" w:cs="Times New Roman"/>
                      <w:color w:val="auto"/>
                      <w:sz w:val="21"/>
                      <w:szCs w:val="21"/>
                    </w:rPr>
                  </w:pPr>
                </w:p>
              </w:tc>
              <w:tc>
                <w:tcPr>
                  <w:tcW w:w="547" w:type="dxa"/>
                  <w:vMerge w:val="continue"/>
                  <w:vAlign w:val="center"/>
                </w:tcPr>
                <w:p w14:paraId="08AE842B">
                  <w:pPr>
                    <w:ind w:left="-105" w:leftChars="-50" w:right="-105" w:rightChars="-50"/>
                    <w:jc w:val="center"/>
                    <w:rPr>
                      <w:rFonts w:hint="default" w:ascii="Times New Roman" w:hAnsi="Times New Roman" w:cs="Times New Roman"/>
                      <w:color w:val="auto"/>
                      <w:sz w:val="21"/>
                      <w:szCs w:val="21"/>
                    </w:rPr>
                  </w:pPr>
                </w:p>
              </w:tc>
              <w:tc>
                <w:tcPr>
                  <w:tcW w:w="1170" w:type="dxa"/>
                  <w:vAlign w:val="center"/>
                </w:tcPr>
                <w:p w14:paraId="2C4C67A6">
                  <w:pPr>
                    <w:ind w:left="-50" w:right="-50"/>
                    <w:jc w:val="center"/>
                    <w:rPr>
                      <w:rFonts w:hint="default" w:ascii="Times New Roman" w:hAnsi="Times New Roman" w:cs="Times New Roman"/>
                      <w:iCs/>
                      <w:color w:val="auto"/>
                      <w:sz w:val="21"/>
                      <w:szCs w:val="21"/>
                    </w:rPr>
                  </w:pPr>
                  <w:r>
                    <w:rPr>
                      <w:rFonts w:hint="default" w:ascii="Times New Roman" w:hAnsi="Times New Roman" w:cs="Times New Roman"/>
                      <w:color w:val="auto"/>
                      <w:sz w:val="21"/>
                      <w:szCs w:val="21"/>
                    </w:rPr>
                    <w:t>TP</w:t>
                  </w:r>
                </w:p>
              </w:tc>
              <w:tc>
                <w:tcPr>
                  <w:tcW w:w="1244" w:type="dxa"/>
                  <w:vAlign w:val="center"/>
                </w:tcPr>
                <w:p w14:paraId="5419ED92">
                  <w:pPr>
                    <w:tabs>
                      <w:tab w:val="center" w:pos="546"/>
                    </w:tabs>
                    <w:jc w:val="center"/>
                    <w:rPr>
                      <w:rFonts w:hint="default" w:ascii="Times New Roman" w:hAnsi="Times New Roman" w:cs="Times New Roman"/>
                      <w:iCs/>
                      <w:color w:val="auto"/>
                      <w:sz w:val="21"/>
                      <w:szCs w:val="21"/>
                    </w:rPr>
                  </w:pPr>
                  <w:r>
                    <w:rPr>
                      <w:rFonts w:hint="default" w:ascii="Times New Roman" w:hAnsi="Times New Roman" w:cs="Times New Roman"/>
                      <w:color w:val="auto"/>
                      <w:sz w:val="21"/>
                      <w:szCs w:val="21"/>
                    </w:rPr>
                    <w:t>3</w:t>
                  </w:r>
                </w:p>
              </w:tc>
              <w:tc>
                <w:tcPr>
                  <w:tcW w:w="1091" w:type="dxa"/>
                  <w:shd w:val="clear" w:color="auto" w:fill="auto"/>
                  <w:vAlign w:val="center"/>
                </w:tcPr>
                <w:p w14:paraId="5BD5911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w:t>
                  </w:r>
                  <w:r>
                    <w:rPr>
                      <w:rFonts w:hint="eastAsia" w:cs="Times New Roman"/>
                      <w:i w:val="0"/>
                      <w:iCs w:val="0"/>
                      <w:color w:val="auto"/>
                      <w:kern w:val="0"/>
                      <w:sz w:val="21"/>
                      <w:szCs w:val="21"/>
                      <w:u w:val="none"/>
                      <w:lang w:val="en-US" w:eastAsia="zh-CN" w:bidi="ar"/>
                    </w:rPr>
                    <w:t>9</w:t>
                  </w:r>
                </w:p>
              </w:tc>
              <w:tc>
                <w:tcPr>
                  <w:tcW w:w="1057" w:type="dxa"/>
                  <w:shd w:val="clear" w:color="auto" w:fill="auto"/>
                  <w:vAlign w:val="center"/>
                </w:tcPr>
                <w:p w14:paraId="4D51BCAF">
                  <w:pPr>
                    <w:jc w:val="center"/>
                    <w:textAlignment w:val="center"/>
                    <w:rPr>
                      <w:rFonts w:hint="default" w:ascii="Times New Roman" w:hAnsi="Times New Roman" w:cs="Times New Roman"/>
                      <w:color w:val="auto"/>
                      <w:sz w:val="21"/>
                      <w:szCs w:val="21"/>
                    </w:rPr>
                  </w:pPr>
                  <w:r>
                    <w:rPr>
                      <w:rFonts w:hint="eastAsia" w:cs="Times New Roman"/>
                      <w:color w:val="auto"/>
                      <w:sz w:val="21"/>
                      <w:szCs w:val="21"/>
                      <w:lang w:val="en-US" w:eastAsia="zh-CN"/>
                    </w:rPr>
                    <w:t>80.5</w:t>
                  </w:r>
                </w:p>
              </w:tc>
              <w:tc>
                <w:tcPr>
                  <w:tcW w:w="1055" w:type="dxa"/>
                  <w:vAlign w:val="center"/>
                </w:tcPr>
                <w:p w14:paraId="4294D968">
                  <w:pPr>
                    <w:tabs>
                      <w:tab w:val="center" w:pos="546"/>
                    </w:tabs>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0.585</w:t>
                  </w:r>
                </w:p>
              </w:tc>
              <w:tc>
                <w:tcPr>
                  <w:tcW w:w="1188" w:type="dxa"/>
                  <w:shd w:val="clear" w:color="auto" w:fill="auto"/>
                  <w:vAlign w:val="center"/>
                </w:tcPr>
                <w:p w14:paraId="1972AC2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0.001</w:t>
                  </w:r>
                  <w:r>
                    <w:rPr>
                      <w:rFonts w:hint="eastAsia" w:cs="Times New Roman"/>
                      <w:i w:val="0"/>
                      <w:iCs w:val="0"/>
                      <w:color w:val="auto"/>
                      <w:kern w:val="0"/>
                      <w:sz w:val="21"/>
                      <w:szCs w:val="21"/>
                      <w:u w:val="none"/>
                      <w:lang w:val="en-US" w:eastAsia="zh-CN" w:bidi="ar"/>
                    </w:rPr>
                    <w:t>2</w:t>
                  </w:r>
                </w:p>
              </w:tc>
              <w:tc>
                <w:tcPr>
                  <w:tcW w:w="862" w:type="dxa"/>
                  <w:shd w:val="clear" w:color="auto" w:fill="auto"/>
                  <w:vAlign w:val="center"/>
                </w:tcPr>
                <w:p w14:paraId="6BD4344F">
                  <w:pPr>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r>
            <w:tr w14:paraId="222353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9" w:type="dxa"/>
                  <w:vMerge w:val="continue"/>
                  <w:vAlign w:val="center"/>
                </w:tcPr>
                <w:p w14:paraId="0D3E81F7">
                  <w:pPr>
                    <w:ind w:left="-105" w:leftChars="-50" w:right="-105" w:rightChars="-50"/>
                    <w:jc w:val="center"/>
                    <w:rPr>
                      <w:rFonts w:hint="default" w:ascii="Times New Roman" w:hAnsi="Times New Roman" w:cs="Times New Roman"/>
                      <w:color w:val="auto"/>
                      <w:sz w:val="21"/>
                      <w:szCs w:val="21"/>
                    </w:rPr>
                  </w:pPr>
                </w:p>
              </w:tc>
              <w:tc>
                <w:tcPr>
                  <w:tcW w:w="547" w:type="dxa"/>
                  <w:vMerge w:val="continue"/>
                  <w:vAlign w:val="center"/>
                </w:tcPr>
                <w:p w14:paraId="24CC9CB4">
                  <w:pPr>
                    <w:ind w:left="-105" w:leftChars="-50" w:right="-105" w:rightChars="-50"/>
                    <w:jc w:val="center"/>
                    <w:rPr>
                      <w:rFonts w:hint="default" w:ascii="Times New Roman" w:hAnsi="Times New Roman" w:cs="Times New Roman"/>
                      <w:color w:val="auto"/>
                      <w:sz w:val="21"/>
                      <w:szCs w:val="21"/>
                    </w:rPr>
                  </w:pPr>
                </w:p>
              </w:tc>
              <w:tc>
                <w:tcPr>
                  <w:tcW w:w="1170" w:type="dxa"/>
                  <w:vAlign w:val="center"/>
                </w:tcPr>
                <w:p w14:paraId="502905D6">
                  <w:pPr>
                    <w:ind w:left="-50" w:right="-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TN</w:t>
                  </w:r>
                </w:p>
              </w:tc>
              <w:tc>
                <w:tcPr>
                  <w:tcW w:w="1244" w:type="dxa"/>
                  <w:vAlign w:val="center"/>
                </w:tcPr>
                <w:p w14:paraId="527249F2">
                  <w:pPr>
                    <w:tabs>
                      <w:tab w:val="center" w:pos="546"/>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c>
                <w:tcPr>
                  <w:tcW w:w="1091" w:type="dxa"/>
                  <w:shd w:val="clear" w:color="auto" w:fill="auto"/>
                  <w:vAlign w:val="center"/>
                </w:tcPr>
                <w:p w14:paraId="528F043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0.05</w:t>
                  </w:r>
                  <w:r>
                    <w:rPr>
                      <w:rFonts w:hint="eastAsia" w:cs="Times New Roman"/>
                      <w:i w:val="0"/>
                      <w:iCs w:val="0"/>
                      <w:color w:val="auto"/>
                      <w:kern w:val="0"/>
                      <w:sz w:val="21"/>
                      <w:szCs w:val="21"/>
                      <w:u w:val="none"/>
                      <w:lang w:val="en-US" w:eastAsia="zh-CN" w:bidi="ar"/>
                    </w:rPr>
                    <w:t>92</w:t>
                  </w:r>
                </w:p>
              </w:tc>
              <w:tc>
                <w:tcPr>
                  <w:tcW w:w="1057" w:type="dxa"/>
                  <w:shd w:val="clear" w:color="auto" w:fill="auto"/>
                  <w:vAlign w:val="center"/>
                </w:tcPr>
                <w:p w14:paraId="5C018EE8">
                  <w:pPr>
                    <w:jc w:val="center"/>
                    <w:textAlignment w:val="center"/>
                    <w:rPr>
                      <w:rFonts w:hint="default" w:ascii="Times New Roman" w:hAnsi="Times New Roman" w:cs="Times New Roman"/>
                      <w:color w:val="auto"/>
                      <w:sz w:val="21"/>
                      <w:szCs w:val="21"/>
                    </w:rPr>
                  </w:pPr>
                  <w:r>
                    <w:rPr>
                      <w:rFonts w:hint="eastAsia" w:cs="Times New Roman"/>
                      <w:color w:val="auto"/>
                      <w:sz w:val="21"/>
                      <w:szCs w:val="21"/>
                      <w:lang w:val="en-US" w:eastAsia="zh-CN"/>
                    </w:rPr>
                    <w:t>75.5</w:t>
                  </w:r>
                </w:p>
              </w:tc>
              <w:tc>
                <w:tcPr>
                  <w:tcW w:w="1055" w:type="dxa"/>
                  <w:vAlign w:val="center"/>
                </w:tcPr>
                <w:p w14:paraId="14363EB5">
                  <w:pPr>
                    <w:tabs>
                      <w:tab w:val="center" w:pos="546"/>
                    </w:tabs>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7.35</w:t>
                  </w:r>
                </w:p>
              </w:tc>
              <w:tc>
                <w:tcPr>
                  <w:tcW w:w="1188" w:type="dxa"/>
                  <w:shd w:val="clear" w:color="auto" w:fill="auto"/>
                  <w:vAlign w:val="center"/>
                </w:tcPr>
                <w:p w14:paraId="18D8FC2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0.0145</w:t>
                  </w:r>
                </w:p>
              </w:tc>
              <w:tc>
                <w:tcPr>
                  <w:tcW w:w="862" w:type="dxa"/>
                  <w:shd w:val="clear" w:color="auto" w:fill="auto"/>
                  <w:vAlign w:val="center"/>
                </w:tcPr>
                <w:p w14:paraId="3144C44E">
                  <w:pPr>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r>
            <w:tr w14:paraId="3824BB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9" w:type="dxa"/>
                  <w:vMerge w:val="continue"/>
                  <w:vAlign w:val="center"/>
                </w:tcPr>
                <w:p w14:paraId="7A59717C">
                  <w:pPr>
                    <w:ind w:left="-105" w:leftChars="-50" w:right="-105" w:rightChars="-50"/>
                    <w:jc w:val="center"/>
                    <w:rPr>
                      <w:rFonts w:hint="default" w:ascii="Times New Roman" w:hAnsi="Times New Roman" w:cs="Times New Roman"/>
                      <w:color w:val="auto"/>
                      <w:sz w:val="21"/>
                      <w:szCs w:val="21"/>
                    </w:rPr>
                  </w:pPr>
                </w:p>
              </w:tc>
              <w:tc>
                <w:tcPr>
                  <w:tcW w:w="547" w:type="dxa"/>
                  <w:vMerge w:val="continue"/>
                  <w:vAlign w:val="center"/>
                </w:tcPr>
                <w:p w14:paraId="01ED3848">
                  <w:pPr>
                    <w:ind w:left="-105" w:leftChars="-50" w:right="-105" w:rightChars="-50"/>
                    <w:jc w:val="center"/>
                    <w:rPr>
                      <w:rFonts w:hint="default" w:ascii="Times New Roman" w:hAnsi="Times New Roman" w:cs="Times New Roman"/>
                      <w:color w:val="auto"/>
                      <w:sz w:val="21"/>
                      <w:szCs w:val="21"/>
                    </w:rPr>
                  </w:pPr>
                </w:p>
              </w:tc>
              <w:tc>
                <w:tcPr>
                  <w:tcW w:w="1170" w:type="dxa"/>
                  <w:vAlign w:val="center"/>
                </w:tcPr>
                <w:p w14:paraId="1CC85F46">
                  <w:pPr>
                    <w:ind w:left="-50" w:right="-50"/>
                    <w:jc w:val="center"/>
                    <w:rPr>
                      <w:rFonts w:hint="default" w:ascii="Times New Roman" w:hAnsi="Times New Roman" w:cs="Times New Roman"/>
                      <w:color w:val="auto"/>
                      <w:sz w:val="21"/>
                      <w:szCs w:val="21"/>
                    </w:rPr>
                  </w:pPr>
                  <w:r>
                    <w:rPr>
                      <w:rFonts w:hint="default" w:ascii="Times New Roman" w:hAnsi="Times New Roman" w:cs="Times New Roman"/>
                      <w:iCs/>
                      <w:color w:val="auto"/>
                      <w:sz w:val="21"/>
                      <w:szCs w:val="21"/>
                    </w:rPr>
                    <w:t>粪大肠菌群</w:t>
                  </w:r>
                </w:p>
              </w:tc>
              <w:tc>
                <w:tcPr>
                  <w:tcW w:w="1244" w:type="dxa"/>
                  <w:vAlign w:val="center"/>
                </w:tcPr>
                <w:p w14:paraId="2C67C2E9">
                  <w:pPr>
                    <w:tabs>
                      <w:tab w:val="center" w:pos="546"/>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r>
                    <w:rPr>
                      <w:rFonts w:hint="default" w:ascii="Times New Roman" w:hAnsi="Times New Roman" w:cs="Times New Roman"/>
                      <w:iCs/>
                      <w:color w:val="auto"/>
                      <w:sz w:val="21"/>
                      <w:szCs w:val="21"/>
                    </w:rPr>
                    <w:t>×10</w:t>
                  </w:r>
                  <w:r>
                    <w:rPr>
                      <w:rFonts w:hint="default" w:ascii="Times New Roman" w:hAnsi="Times New Roman" w:cs="Times New Roman"/>
                      <w:iCs/>
                      <w:color w:val="auto"/>
                      <w:sz w:val="21"/>
                      <w:szCs w:val="21"/>
                      <w:vertAlign w:val="superscript"/>
                      <w:lang w:val="en-US" w:eastAsia="zh-CN"/>
                    </w:rPr>
                    <w:t>6</w:t>
                  </w:r>
                  <w:r>
                    <w:rPr>
                      <w:rFonts w:hint="default" w:ascii="Times New Roman" w:hAnsi="Times New Roman" w:cs="Times New Roman"/>
                      <w:iCs/>
                      <w:color w:val="auto"/>
                      <w:sz w:val="21"/>
                      <w:szCs w:val="21"/>
                    </w:rPr>
                    <w:t>个/L</w:t>
                  </w:r>
                </w:p>
              </w:tc>
              <w:tc>
                <w:tcPr>
                  <w:tcW w:w="1091" w:type="dxa"/>
                  <w:vAlign w:val="center"/>
                </w:tcPr>
                <w:p w14:paraId="575F5AB5">
                  <w:pPr>
                    <w:tabs>
                      <w:tab w:val="center" w:pos="546"/>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57" w:type="dxa"/>
                  <w:shd w:val="clear" w:color="auto" w:fill="auto"/>
                  <w:vAlign w:val="center"/>
                </w:tcPr>
                <w:p w14:paraId="522C5B9C">
                  <w:pPr>
                    <w:tabs>
                      <w:tab w:val="center" w:pos="546"/>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99.</w:t>
                  </w:r>
                  <w:r>
                    <w:rPr>
                      <w:rFonts w:hint="eastAsia" w:cs="Times New Roman"/>
                      <w:color w:val="auto"/>
                      <w:sz w:val="21"/>
                      <w:szCs w:val="21"/>
                      <w:lang w:val="en-US" w:eastAsia="zh-CN"/>
                    </w:rPr>
                    <w:t>9</w:t>
                  </w:r>
                </w:p>
              </w:tc>
              <w:tc>
                <w:tcPr>
                  <w:tcW w:w="1055" w:type="dxa"/>
                  <w:vAlign w:val="center"/>
                </w:tcPr>
                <w:p w14:paraId="6465C6AA">
                  <w:pPr>
                    <w:tabs>
                      <w:tab w:val="center" w:pos="546"/>
                    </w:tabs>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2000</w:t>
                  </w:r>
                  <w:r>
                    <w:rPr>
                      <w:rFonts w:hint="default" w:ascii="Times New Roman" w:hAnsi="Times New Roman" w:cs="Times New Roman"/>
                      <w:iCs/>
                      <w:color w:val="auto"/>
                      <w:sz w:val="21"/>
                      <w:szCs w:val="21"/>
                    </w:rPr>
                    <w:t>个/L</w:t>
                  </w:r>
                </w:p>
              </w:tc>
              <w:tc>
                <w:tcPr>
                  <w:tcW w:w="1188" w:type="dxa"/>
                  <w:vAlign w:val="center"/>
                </w:tcPr>
                <w:p w14:paraId="2C760EBA">
                  <w:pPr>
                    <w:tabs>
                      <w:tab w:val="center" w:pos="546"/>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862" w:type="dxa"/>
                  <w:vAlign w:val="center"/>
                </w:tcPr>
                <w:p w14:paraId="63434CC4">
                  <w:pPr>
                    <w:tabs>
                      <w:tab w:val="center" w:pos="546"/>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5000个/L</w:t>
                  </w:r>
                </w:p>
              </w:tc>
            </w:tr>
            <w:tr w14:paraId="710E5F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906" w:type="dxa"/>
                  <w:gridSpan w:val="2"/>
                  <w:vMerge w:val="restart"/>
                  <w:vAlign w:val="center"/>
                </w:tcPr>
                <w:p w14:paraId="4433354B">
                  <w:pPr>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混合废水</w:t>
                  </w:r>
                </w:p>
              </w:tc>
              <w:tc>
                <w:tcPr>
                  <w:tcW w:w="1170" w:type="dxa"/>
                  <w:shd w:val="clear" w:color="auto" w:fill="auto"/>
                  <w:vAlign w:val="center"/>
                </w:tcPr>
                <w:p w14:paraId="0F396672">
                  <w:pPr>
                    <w:ind w:left="-50" w:right="-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废水量</w:t>
                  </w:r>
                </w:p>
              </w:tc>
              <w:tc>
                <w:tcPr>
                  <w:tcW w:w="1244" w:type="dxa"/>
                  <w:vAlign w:val="center"/>
                </w:tcPr>
                <w:p w14:paraId="63A34F30">
                  <w:pPr>
                    <w:tabs>
                      <w:tab w:val="center" w:pos="546"/>
                    </w:tabs>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3483</w:t>
                  </w:r>
                </w:p>
              </w:tc>
              <w:tc>
                <w:tcPr>
                  <w:tcW w:w="1091" w:type="dxa"/>
                  <w:vAlign w:val="center"/>
                </w:tcPr>
                <w:p w14:paraId="11763C65">
                  <w:pPr>
                    <w:tabs>
                      <w:tab w:val="center" w:pos="546"/>
                    </w:tabs>
                    <w:jc w:val="center"/>
                    <w:rPr>
                      <w:rFonts w:hint="default" w:ascii="Times New Roman" w:hAnsi="Times New Roman" w:cs="Times New Roman"/>
                      <w:iCs/>
                      <w:color w:val="auto"/>
                      <w:sz w:val="21"/>
                      <w:szCs w:val="21"/>
                    </w:rPr>
                  </w:pPr>
                  <w:r>
                    <w:rPr>
                      <w:rFonts w:hint="default" w:ascii="Times New Roman" w:hAnsi="Times New Roman" w:cs="Times New Roman"/>
                      <w:color w:val="auto"/>
                      <w:sz w:val="21"/>
                      <w:szCs w:val="21"/>
                    </w:rPr>
                    <w:t>/</w:t>
                  </w:r>
                </w:p>
              </w:tc>
              <w:tc>
                <w:tcPr>
                  <w:tcW w:w="1057" w:type="dxa"/>
                  <w:shd w:val="clear" w:color="auto" w:fill="auto"/>
                  <w:vAlign w:val="center"/>
                </w:tcPr>
                <w:p w14:paraId="46C1E01D">
                  <w:pPr>
                    <w:tabs>
                      <w:tab w:val="center" w:pos="546"/>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55" w:type="dxa"/>
                  <w:vAlign w:val="center"/>
                </w:tcPr>
                <w:p w14:paraId="61358BB6">
                  <w:pPr>
                    <w:tabs>
                      <w:tab w:val="center" w:pos="546"/>
                    </w:tabs>
                    <w:jc w:val="center"/>
                    <w:rPr>
                      <w:rFonts w:hint="default" w:ascii="Times New Roman" w:hAnsi="Times New Roman" w:cs="Times New Roman"/>
                      <w:color w:val="auto"/>
                      <w:sz w:val="21"/>
                      <w:szCs w:val="21"/>
                    </w:rPr>
                  </w:pPr>
                </w:p>
              </w:tc>
              <w:tc>
                <w:tcPr>
                  <w:tcW w:w="1188" w:type="dxa"/>
                  <w:vAlign w:val="center"/>
                </w:tcPr>
                <w:p w14:paraId="3FACAC9A">
                  <w:pPr>
                    <w:tabs>
                      <w:tab w:val="center" w:pos="546"/>
                    </w:tabs>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3483</w:t>
                  </w:r>
                </w:p>
              </w:tc>
              <w:tc>
                <w:tcPr>
                  <w:tcW w:w="862" w:type="dxa"/>
                  <w:vAlign w:val="center"/>
                </w:tcPr>
                <w:p w14:paraId="4A2BBAFE">
                  <w:pPr>
                    <w:tabs>
                      <w:tab w:val="center" w:pos="546"/>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0428C2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06" w:type="dxa"/>
                  <w:gridSpan w:val="2"/>
                  <w:vMerge w:val="continue"/>
                  <w:vAlign w:val="center"/>
                </w:tcPr>
                <w:p w14:paraId="3627C65D">
                  <w:pPr>
                    <w:ind w:left="-105" w:leftChars="-50" w:right="-105" w:rightChars="-50"/>
                    <w:jc w:val="center"/>
                    <w:rPr>
                      <w:rFonts w:hint="default" w:ascii="Times New Roman" w:hAnsi="Times New Roman" w:cs="Times New Roman"/>
                      <w:color w:val="auto"/>
                      <w:sz w:val="21"/>
                      <w:szCs w:val="21"/>
                    </w:rPr>
                  </w:pPr>
                </w:p>
              </w:tc>
              <w:tc>
                <w:tcPr>
                  <w:tcW w:w="1170" w:type="dxa"/>
                  <w:shd w:val="clear" w:color="auto" w:fill="auto"/>
                  <w:vAlign w:val="center"/>
                </w:tcPr>
                <w:p w14:paraId="22492C05">
                  <w:pPr>
                    <w:ind w:left="-50" w:right="-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w:t>
                  </w:r>
                </w:p>
              </w:tc>
              <w:tc>
                <w:tcPr>
                  <w:tcW w:w="1244" w:type="dxa"/>
                  <w:vAlign w:val="center"/>
                </w:tcPr>
                <w:p w14:paraId="5230329A">
                  <w:pPr>
                    <w:tabs>
                      <w:tab w:val="center" w:pos="546"/>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6-9</w:t>
                  </w:r>
                </w:p>
              </w:tc>
              <w:tc>
                <w:tcPr>
                  <w:tcW w:w="1091" w:type="dxa"/>
                  <w:vAlign w:val="center"/>
                </w:tcPr>
                <w:p w14:paraId="67DBD842">
                  <w:pPr>
                    <w:tabs>
                      <w:tab w:val="center" w:pos="546"/>
                    </w:tabs>
                    <w:jc w:val="center"/>
                    <w:rPr>
                      <w:rFonts w:hint="default" w:ascii="Times New Roman" w:hAnsi="Times New Roman" w:cs="Times New Roman"/>
                      <w:iCs/>
                      <w:color w:val="auto"/>
                      <w:sz w:val="21"/>
                      <w:szCs w:val="21"/>
                    </w:rPr>
                  </w:pPr>
                  <w:r>
                    <w:rPr>
                      <w:rFonts w:hint="default" w:ascii="Times New Roman" w:hAnsi="Times New Roman" w:cs="Times New Roman"/>
                      <w:color w:val="auto"/>
                      <w:sz w:val="21"/>
                      <w:szCs w:val="21"/>
                    </w:rPr>
                    <w:t>/</w:t>
                  </w:r>
                </w:p>
              </w:tc>
              <w:tc>
                <w:tcPr>
                  <w:tcW w:w="1057" w:type="dxa"/>
                  <w:shd w:val="clear" w:color="auto" w:fill="auto"/>
                  <w:vAlign w:val="center"/>
                </w:tcPr>
                <w:p w14:paraId="002B4632">
                  <w:pPr>
                    <w:tabs>
                      <w:tab w:val="center" w:pos="546"/>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55" w:type="dxa"/>
                  <w:vAlign w:val="center"/>
                </w:tcPr>
                <w:p w14:paraId="58911881">
                  <w:pPr>
                    <w:tabs>
                      <w:tab w:val="center" w:pos="546"/>
                    </w:tabs>
                    <w:jc w:val="center"/>
                    <w:rPr>
                      <w:rFonts w:hint="default" w:ascii="Times New Roman" w:hAnsi="Times New Roman" w:cs="Times New Roman"/>
                      <w:color w:val="auto"/>
                      <w:sz w:val="21"/>
                      <w:szCs w:val="21"/>
                    </w:rPr>
                  </w:pPr>
                </w:p>
              </w:tc>
              <w:tc>
                <w:tcPr>
                  <w:tcW w:w="1188" w:type="dxa"/>
                  <w:vAlign w:val="center"/>
                </w:tcPr>
                <w:p w14:paraId="7FD6036D">
                  <w:pPr>
                    <w:tabs>
                      <w:tab w:val="center" w:pos="546"/>
                    </w:tabs>
                    <w:jc w:val="center"/>
                    <w:rPr>
                      <w:rFonts w:hint="default" w:ascii="Times New Roman" w:hAnsi="Times New Roman" w:cs="Times New Roman"/>
                      <w:color w:val="auto"/>
                      <w:sz w:val="21"/>
                      <w:szCs w:val="21"/>
                    </w:rPr>
                  </w:pPr>
                </w:p>
              </w:tc>
              <w:tc>
                <w:tcPr>
                  <w:tcW w:w="862" w:type="dxa"/>
                  <w:shd w:val="clear" w:color="auto" w:fill="auto"/>
                  <w:vAlign w:val="center"/>
                </w:tcPr>
                <w:p w14:paraId="7EB0B2B3">
                  <w:pPr>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r>
            <w:tr w14:paraId="0B8013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906" w:type="dxa"/>
                  <w:gridSpan w:val="2"/>
                  <w:vMerge w:val="continue"/>
                </w:tcPr>
                <w:p w14:paraId="2E62327D">
                  <w:pPr>
                    <w:ind w:left="-105" w:leftChars="-50" w:right="-105" w:rightChars="-50"/>
                    <w:jc w:val="center"/>
                    <w:rPr>
                      <w:rFonts w:hint="default" w:ascii="Times New Roman" w:hAnsi="Times New Roman" w:cs="Times New Roman"/>
                      <w:color w:val="auto"/>
                      <w:sz w:val="21"/>
                      <w:szCs w:val="21"/>
                    </w:rPr>
                  </w:pPr>
                </w:p>
              </w:tc>
              <w:tc>
                <w:tcPr>
                  <w:tcW w:w="1170" w:type="dxa"/>
                  <w:shd w:val="clear" w:color="auto" w:fill="auto"/>
                  <w:vAlign w:val="center"/>
                </w:tcPr>
                <w:p w14:paraId="00E5B83A">
                  <w:pPr>
                    <w:ind w:left="-50" w:right="-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CODcr</w:t>
                  </w:r>
                </w:p>
              </w:tc>
              <w:tc>
                <w:tcPr>
                  <w:tcW w:w="1244" w:type="dxa"/>
                </w:tcPr>
                <w:p w14:paraId="4961CEE9">
                  <w:pPr>
                    <w:tabs>
                      <w:tab w:val="center" w:pos="546"/>
                    </w:tabs>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240</w:t>
                  </w:r>
                </w:p>
              </w:tc>
              <w:tc>
                <w:tcPr>
                  <w:tcW w:w="1091" w:type="dxa"/>
                  <w:shd w:val="clear" w:color="auto" w:fill="auto"/>
                  <w:vAlign w:val="center"/>
                </w:tcPr>
                <w:p w14:paraId="3C96E9FB">
                  <w:pPr>
                    <w:widowControl/>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0.8116</w:t>
                  </w:r>
                </w:p>
              </w:tc>
              <w:tc>
                <w:tcPr>
                  <w:tcW w:w="1057" w:type="dxa"/>
                  <w:shd w:val="clear" w:color="auto" w:fill="auto"/>
                  <w:vAlign w:val="center"/>
                </w:tcPr>
                <w:p w14:paraId="511E5F41">
                  <w:pPr>
                    <w:jc w:val="center"/>
                    <w:textAlignment w:val="center"/>
                    <w:rPr>
                      <w:rFonts w:hint="default" w:ascii="Times New Roman" w:hAnsi="Times New Roman" w:cs="Times New Roman"/>
                      <w:color w:val="auto"/>
                      <w:sz w:val="21"/>
                      <w:szCs w:val="21"/>
                    </w:rPr>
                  </w:pPr>
                  <w:r>
                    <w:rPr>
                      <w:rFonts w:hint="eastAsia" w:cs="Times New Roman"/>
                      <w:iCs/>
                      <w:color w:val="auto"/>
                      <w:sz w:val="21"/>
                      <w:szCs w:val="21"/>
                      <w:lang w:val="en-US" w:eastAsia="zh-CN"/>
                    </w:rPr>
                    <w:t>90.5</w:t>
                  </w:r>
                </w:p>
              </w:tc>
              <w:tc>
                <w:tcPr>
                  <w:tcW w:w="1055" w:type="dxa"/>
                  <w:shd w:val="clear" w:color="auto" w:fill="auto"/>
                  <w:vAlign w:val="center"/>
                </w:tcPr>
                <w:p w14:paraId="2AF59049">
                  <w:pPr>
                    <w:tabs>
                      <w:tab w:val="center" w:pos="546"/>
                    </w:tabs>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22.8</w:t>
                  </w:r>
                </w:p>
              </w:tc>
              <w:tc>
                <w:tcPr>
                  <w:tcW w:w="1188" w:type="dxa"/>
                  <w:shd w:val="clear" w:color="auto" w:fill="auto"/>
                  <w:vAlign w:val="center"/>
                </w:tcPr>
                <w:p w14:paraId="44612BD3">
                  <w:pPr>
                    <w:widowControl/>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0.0794</w:t>
                  </w:r>
                </w:p>
              </w:tc>
              <w:tc>
                <w:tcPr>
                  <w:tcW w:w="862" w:type="dxa"/>
                  <w:shd w:val="clear" w:color="auto" w:fill="auto"/>
                  <w:vAlign w:val="center"/>
                </w:tcPr>
                <w:p w14:paraId="5DA6F112">
                  <w:pPr>
                    <w:jc w:val="center"/>
                    <w:textAlignment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220</w:t>
                  </w:r>
                </w:p>
              </w:tc>
            </w:tr>
            <w:tr w14:paraId="35D79B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06" w:type="dxa"/>
                  <w:gridSpan w:val="2"/>
                  <w:vMerge w:val="continue"/>
                </w:tcPr>
                <w:p w14:paraId="6B491FF2">
                  <w:pPr>
                    <w:ind w:left="-105" w:leftChars="-50" w:right="-105" w:rightChars="-50"/>
                    <w:jc w:val="center"/>
                    <w:rPr>
                      <w:rFonts w:hint="default" w:ascii="Times New Roman" w:hAnsi="Times New Roman" w:cs="Times New Roman"/>
                      <w:color w:val="auto"/>
                      <w:sz w:val="21"/>
                      <w:szCs w:val="21"/>
                    </w:rPr>
                  </w:pPr>
                </w:p>
              </w:tc>
              <w:tc>
                <w:tcPr>
                  <w:tcW w:w="1170" w:type="dxa"/>
                  <w:shd w:val="clear" w:color="auto" w:fill="auto"/>
                  <w:vAlign w:val="center"/>
                </w:tcPr>
                <w:p w14:paraId="5A298C88">
                  <w:pPr>
                    <w:ind w:left="-50" w:right="-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1244" w:type="dxa"/>
                </w:tcPr>
                <w:p w14:paraId="71F3F11E">
                  <w:pPr>
                    <w:tabs>
                      <w:tab w:val="center" w:pos="546"/>
                    </w:tabs>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128</w:t>
                  </w:r>
                </w:p>
              </w:tc>
              <w:tc>
                <w:tcPr>
                  <w:tcW w:w="1091" w:type="dxa"/>
                  <w:shd w:val="clear" w:color="auto" w:fill="auto"/>
                  <w:vAlign w:val="center"/>
                </w:tcPr>
                <w:p w14:paraId="3FB1192E">
                  <w:pPr>
                    <w:widowControl/>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0.4330</w:t>
                  </w:r>
                </w:p>
              </w:tc>
              <w:tc>
                <w:tcPr>
                  <w:tcW w:w="1057" w:type="dxa"/>
                  <w:shd w:val="clear" w:color="auto" w:fill="auto"/>
                  <w:vAlign w:val="center"/>
                </w:tcPr>
                <w:p w14:paraId="262D1ECF">
                  <w:pPr>
                    <w:jc w:val="center"/>
                    <w:textAlignment w:val="center"/>
                    <w:rPr>
                      <w:rFonts w:hint="default" w:ascii="Times New Roman" w:hAnsi="Times New Roman" w:cs="Times New Roman"/>
                      <w:color w:val="auto"/>
                      <w:sz w:val="21"/>
                      <w:szCs w:val="21"/>
                    </w:rPr>
                  </w:pPr>
                  <w:r>
                    <w:rPr>
                      <w:rFonts w:hint="eastAsia" w:cs="Times New Roman"/>
                      <w:iCs/>
                      <w:color w:val="auto"/>
                      <w:sz w:val="21"/>
                      <w:szCs w:val="21"/>
                      <w:lang w:val="en-US" w:eastAsia="zh-CN"/>
                    </w:rPr>
                    <w:t>90.5</w:t>
                  </w:r>
                </w:p>
              </w:tc>
              <w:tc>
                <w:tcPr>
                  <w:tcW w:w="1055" w:type="dxa"/>
                  <w:shd w:val="clear" w:color="auto" w:fill="auto"/>
                  <w:vAlign w:val="center"/>
                </w:tcPr>
                <w:p w14:paraId="50A28EA3">
                  <w:pPr>
                    <w:tabs>
                      <w:tab w:val="center" w:pos="546"/>
                    </w:tabs>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12.16</w:t>
                  </w:r>
                </w:p>
              </w:tc>
              <w:tc>
                <w:tcPr>
                  <w:tcW w:w="1188" w:type="dxa"/>
                  <w:shd w:val="clear" w:color="auto" w:fill="auto"/>
                  <w:vAlign w:val="center"/>
                </w:tcPr>
                <w:p w14:paraId="1C1F47B2">
                  <w:pPr>
                    <w:widowControl/>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0.0423</w:t>
                  </w:r>
                </w:p>
              </w:tc>
              <w:tc>
                <w:tcPr>
                  <w:tcW w:w="862" w:type="dxa"/>
                  <w:shd w:val="clear" w:color="auto" w:fill="auto"/>
                  <w:vAlign w:val="center"/>
                </w:tcPr>
                <w:p w14:paraId="4E738B2E">
                  <w:pPr>
                    <w:jc w:val="center"/>
                    <w:textAlignment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100</w:t>
                  </w:r>
                </w:p>
              </w:tc>
            </w:tr>
            <w:tr w14:paraId="7B67A9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906" w:type="dxa"/>
                  <w:gridSpan w:val="2"/>
                  <w:vMerge w:val="continue"/>
                </w:tcPr>
                <w:p w14:paraId="3DF40762">
                  <w:pPr>
                    <w:ind w:left="-105" w:leftChars="-50" w:right="-105" w:rightChars="-50"/>
                    <w:jc w:val="center"/>
                    <w:rPr>
                      <w:rFonts w:hint="default" w:ascii="Times New Roman" w:hAnsi="Times New Roman" w:cs="Times New Roman"/>
                      <w:color w:val="auto"/>
                      <w:sz w:val="21"/>
                      <w:szCs w:val="21"/>
                    </w:rPr>
                  </w:pPr>
                </w:p>
              </w:tc>
              <w:tc>
                <w:tcPr>
                  <w:tcW w:w="1170" w:type="dxa"/>
                  <w:shd w:val="clear" w:color="auto" w:fill="auto"/>
                  <w:vAlign w:val="center"/>
                </w:tcPr>
                <w:p w14:paraId="290F120E">
                  <w:pPr>
                    <w:ind w:left="-50" w:right="-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1244" w:type="dxa"/>
                </w:tcPr>
                <w:p w14:paraId="3B101C79">
                  <w:pPr>
                    <w:tabs>
                      <w:tab w:val="center" w:pos="546"/>
                    </w:tabs>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132</w:t>
                  </w:r>
                </w:p>
              </w:tc>
              <w:tc>
                <w:tcPr>
                  <w:tcW w:w="1091" w:type="dxa"/>
                  <w:shd w:val="clear" w:color="auto" w:fill="auto"/>
                  <w:vAlign w:val="center"/>
                </w:tcPr>
                <w:p w14:paraId="6AB6446E">
                  <w:pPr>
                    <w:widowControl/>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0.4469</w:t>
                  </w:r>
                </w:p>
              </w:tc>
              <w:tc>
                <w:tcPr>
                  <w:tcW w:w="1057" w:type="dxa"/>
                  <w:shd w:val="clear" w:color="auto" w:fill="auto"/>
                  <w:vAlign w:val="center"/>
                </w:tcPr>
                <w:p w14:paraId="39D1D7A1">
                  <w:pPr>
                    <w:jc w:val="center"/>
                    <w:textAlignment w:val="center"/>
                    <w:rPr>
                      <w:rFonts w:hint="default" w:ascii="Times New Roman" w:hAnsi="Times New Roman" w:cs="Times New Roman"/>
                      <w:color w:val="auto"/>
                      <w:sz w:val="21"/>
                      <w:szCs w:val="21"/>
                    </w:rPr>
                  </w:pPr>
                  <w:r>
                    <w:rPr>
                      <w:rFonts w:hint="eastAsia" w:cs="Times New Roman"/>
                      <w:iCs/>
                      <w:color w:val="auto"/>
                      <w:sz w:val="21"/>
                      <w:szCs w:val="21"/>
                      <w:lang w:val="en-US" w:eastAsia="zh-CN"/>
                    </w:rPr>
                    <w:t>84.5</w:t>
                  </w:r>
                </w:p>
              </w:tc>
              <w:tc>
                <w:tcPr>
                  <w:tcW w:w="1055" w:type="dxa"/>
                  <w:shd w:val="clear" w:color="auto" w:fill="auto"/>
                  <w:vAlign w:val="center"/>
                </w:tcPr>
                <w:p w14:paraId="181610E8">
                  <w:pPr>
                    <w:tabs>
                      <w:tab w:val="center" w:pos="546"/>
                    </w:tabs>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20.46</w:t>
                  </w:r>
                </w:p>
              </w:tc>
              <w:tc>
                <w:tcPr>
                  <w:tcW w:w="1188" w:type="dxa"/>
                  <w:shd w:val="clear" w:color="auto" w:fill="auto"/>
                  <w:vAlign w:val="center"/>
                </w:tcPr>
                <w:p w14:paraId="1B3F50BC">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0.0713</w:t>
                  </w:r>
                </w:p>
              </w:tc>
              <w:tc>
                <w:tcPr>
                  <w:tcW w:w="862" w:type="dxa"/>
                  <w:shd w:val="clear" w:color="auto" w:fill="auto"/>
                  <w:vAlign w:val="center"/>
                </w:tcPr>
                <w:p w14:paraId="6776F3E4">
                  <w:pPr>
                    <w:jc w:val="center"/>
                    <w:textAlignment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60</w:t>
                  </w:r>
                </w:p>
              </w:tc>
            </w:tr>
            <w:tr w14:paraId="45FE69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906" w:type="dxa"/>
                  <w:gridSpan w:val="2"/>
                  <w:vMerge w:val="continue"/>
                </w:tcPr>
                <w:p w14:paraId="1D97F71E">
                  <w:pPr>
                    <w:ind w:left="-105" w:leftChars="-50" w:right="-105" w:rightChars="-50"/>
                    <w:jc w:val="center"/>
                    <w:rPr>
                      <w:rFonts w:hint="default" w:ascii="Times New Roman" w:hAnsi="Times New Roman" w:cs="Times New Roman"/>
                      <w:color w:val="auto"/>
                      <w:sz w:val="21"/>
                      <w:szCs w:val="21"/>
                    </w:rPr>
                  </w:pPr>
                </w:p>
              </w:tc>
              <w:tc>
                <w:tcPr>
                  <w:tcW w:w="1170" w:type="dxa"/>
                  <w:shd w:val="clear" w:color="auto" w:fill="auto"/>
                  <w:vAlign w:val="center"/>
                </w:tcPr>
                <w:p w14:paraId="2C09ED31">
                  <w:pPr>
                    <w:ind w:left="-50" w:right="-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1244" w:type="dxa"/>
                </w:tcPr>
                <w:p w14:paraId="74DE106E">
                  <w:pPr>
                    <w:tabs>
                      <w:tab w:val="center" w:pos="546"/>
                    </w:tabs>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28</w:t>
                  </w:r>
                </w:p>
              </w:tc>
              <w:tc>
                <w:tcPr>
                  <w:tcW w:w="1091" w:type="dxa"/>
                  <w:shd w:val="clear" w:color="auto" w:fill="auto"/>
                  <w:vAlign w:val="center"/>
                </w:tcPr>
                <w:p w14:paraId="0D487312">
                  <w:pPr>
                    <w:widowControl/>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0.0946</w:t>
                  </w:r>
                </w:p>
              </w:tc>
              <w:tc>
                <w:tcPr>
                  <w:tcW w:w="1057" w:type="dxa"/>
                  <w:shd w:val="clear" w:color="auto" w:fill="auto"/>
                  <w:vAlign w:val="center"/>
                </w:tcPr>
                <w:p w14:paraId="17FB0DBA">
                  <w:pPr>
                    <w:jc w:val="center"/>
                    <w:textAlignment w:val="center"/>
                    <w:rPr>
                      <w:rFonts w:hint="default" w:ascii="Times New Roman" w:hAnsi="Times New Roman" w:cs="Times New Roman"/>
                      <w:color w:val="auto"/>
                      <w:sz w:val="21"/>
                      <w:szCs w:val="21"/>
                    </w:rPr>
                  </w:pPr>
                  <w:r>
                    <w:rPr>
                      <w:rFonts w:hint="eastAsia" w:cs="Times New Roman"/>
                      <w:iCs/>
                      <w:color w:val="auto"/>
                      <w:sz w:val="21"/>
                      <w:szCs w:val="21"/>
                      <w:lang w:val="en-US" w:eastAsia="zh-CN"/>
                    </w:rPr>
                    <w:t>82</w:t>
                  </w:r>
                </w:p>
              </w:tc>
              <w:tc>
                <w:tcPr>
                  <w:tcW w:w="1055" w:type="dxa"/>
                  <w:shd w:val="clear" w:color="auto" w:fill="auto"/>
                  <w:vAlign w:val="center"/>
                </w:tcPr>
                <w:p w14:paraId="3F4D49C0">
                  <w:pPr>
                    <w:tabs>
                      <w:tab w:val="center" w:pos="546"/>
                    </w:tabs>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5.04</w:t>
                  </w:r>
                </w:p>
              </w:tc>
              <w:tc>
                <w:tcPr>
                  <w:tcW w:w="1188" w:type="dxa"/>
                  <w:shd w:val="clear" w:color="auto" w:fill="auto"/>
                  <w:vAlign w:val="center"/>
                </w:tcPr>
                <w:p w14:paraId="6AEAFAFC">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0.0176</w:t>
                  </w:r>
                </w:p>
              </w:tc>
              <w:tc>
                <w:tcPr>
                  <w:tcW w:w="862" w:type="dxa"/>
                  <w:shd w:val="clear" w:color="auto" w:fill="auto"/>
                  <w:vAlign w:val="center"/>
                </w:tcPr>
                <w:p w14:paraId="4BEA66A6">
                  <w:pPr>
                    <w:jc w:val="center"/>
                    <w:textAlignment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25</w:t>
                  </w:r>
                </w:p>
              </w:tc>
            </w:tr>
            <w:tr w14:paraId="4E8FE6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906" w:type="dxa"/>
                  <w:gridSpan w:val="2"/>
                  <w:vMerge w:val="continue"/>
                </w:tcPr>
                <w:p w14:paraId="0324AE79">
                  <w:pPr>
                    <w:ind w:left="-105" w:leftChars="-50" w:right="-105" w:rightChars="-50"/>
                    <w:jc w:val="center"/>
                    <w:rPr>
                      <w:rFonts w:hint="default" w:ascii="Times New Roman" w:hAnsi="Times New Roman" w:cs="Times New Roman"/>
                      <w:color w:val="auto"/>
                      <w:sz w:val="21"/>
                      <w:szCs w:val="21"/>
                    </w:rPr>
                  </w:pPr>
                </w:p>
              </w:tc>
              <w:tc>
                <w:tcPr>
                  <w:tcW w:w="1170" w:type="dxa"/>
                  <w:shd w:val="clear" w:color="auto" w:fill="auto"/>
                  <w:vAlign w:val="center"/>
                </w:tcPr>
                <w:p w14:paraId="12D618F0">
                  <w:pPr>
                    <w:ind w:left="-50" w:right="-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TP</w:t>
                  </w:r>
                </w:p>
              </w:tc>
              <w:tc>
                <w:tcPr>
                  <w:tcW w:w="1244" w:type="dxa"/>
                </w:tcPr>
                <w:p w14:paraId="4704CD1A">
                  <w:pPr>
                    <w:tabs>
                      <w:tab w:val="center" w:pos="546"/>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091" w:type="dxa"/>
                  <w:shd w:val="clear" w:color="auto" w:fill="auto"/>
                  <w:vAlign w:val="center"/>
                </w:tcPr>
                <w:p w14:paraId="047F75B4">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0.010</w:t>
                  </w:r>
                  <w:r>
                    <w:rPr>
                      <w:rFonts w:hint="eastAsia" w:cs="Times New Roman"/>
                      <w:color w:val="auto"/>
                      <w:sz w:val="21"/>
                      <w:szCs w:val="21"/>
                      <w:lang w:val="en-US" w:eastAsia="zh-CN"/>
                    </w:rPr>
                    <w:t>4</w:t>
                  </w:r>
                </w:p>
              </w:tc>
              <w:tc>
                <w:tcPr>
                  <w:tcW w:w="1057" w:type="dxa"/>
                  <w:shd w:val="clear" w:color="auto" w:fill="auto"/>
                  <w:vAlign w:val="center"/>
                </w:tcPr>
                <w:p w14:paraId="22A87607">
                  <w:pPr>
                    <w:jc w:val="center"/>
                    <w:textAlignment w:val="center"/>
                    <w:rPr>
                      <w:rFonts w:hint="default" w:ascii="Times New Roman" w:hAnsi="Times New Roman" w:cs="Times New Roman"/>
                      <w:color w:val="auto"/>
                      <w:sz w:val="21"/>
                      <w:szCs w:val="21"/>
                    </w:rPr>
                  </w:pPr>
                  <w:r>
                    <w:rPr>
                      <w:rFonts w:hint="eastAsia" w:cs="Times New Roman"/>
                      <w:color w:val="auto"/>
                      <w:sz w:val="21"/>
                      <w:szCs w:val="21"/>
                      <w:lang w:val="en-US" w:eastAsia="zh-CN"/>
                    </w:rPr>
                    <w:t>80.5</w:t>
                  </w:r>
                </w:p>
              </w:tc>
              <w:tc>
                <w:tcPr>
                  <w:tcW w:w="1055" w:type="dxa"/>
                  <w:shd w:val="clear" w:color="auto" w:fill="auto"/>
                  <w:vAlign w:val="center"/>
                </w:tcPr>
                <w:p w14:paraId="184D8892">
                  <w:pPr>
                    <w:tabs>
                      <w:tab w:val="center" w:pos="546"/>
                    </w:tabs>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0.585</w:t>
                  </w:r>
                </w:p>
              </w:tc>
              <w:tc>
                <w:tcPr>
                  <w:tcW w:w="1188" w:type="dxa"/>
                  <w:shd w:val="clear" w:color="auto" w:fill="auto"/>
                  <w:vAlign w:val="center"/>
                </w:tcPr>
                <w:p w14:paraId="37CF8058">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0.00</w:t>
                  </w:r>
                  <w:r>
                    <w:rPr>
                      <w:rFonts w:hint="eastAsia" w:cs="Times New Roman"/>
                      <w:color w:val="auto"/>
                      <w:sz w:val="21"/>
                      <w:szCs w:val="21"/>
                      <w:lang w:val="en-US" w:eastAsia="zh-CN"/>
                    </w:rPr>
                    <w:t>2</w:t>
                  </w:r>
                </w:p>
              </w:tc>
              <w:tc>
                <w:tcPr>
                  <w:tcW w:w="862" w:type="dxa"/>
                  <w:shd w:val="clear" w:color="auto" w:fill="auto"/>
                  <w:vAlign w:val="center"/>
                </w:tcPr>
                <w:p w14:paraId="4884AA37">
                  <w:pPr>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r>
            <w:tr w14:paraId="131615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906" w:type="dxa"/>
                  <w:gridSpan w:val="2"/>
                  <w:vMerge w:val="continue"/>
                </w:tcPr>
                <w:p w14:paraId="26C70EAA">
                  <w:pPr>
                    <w:ind w:left="-105" w:leftChars="-50" w:right="-105" w:rightChars="-50"/>
                    <w:jc w:val="center"/>
                    <w:rPr>
                      <w:rFonts w:hint="default" w:ascii="Times New Roman" w:hAnsi="Times New Roman" w:cs="Times New Roman"/>
                      <w:color w:val="auto"/>
                      <w:sz w:val="21"/>
                      <w:szCs w:val="21"/>
                    </w:rPr>
                  </w:pPr>
                </w:p>
              </w:tc>
              <w:tc>
                <w:tcPr>
                  <w:tcW w:w="1170" w:type="dxa"/>
                  <w:shd w:val="clear" w:color="auto" w:fill="auto"/>
                  <w:vAlign w:val="center"/>
                </w:tcPr>
                <w:p w14:paraId="355EF424">
                  <w:pPr>
                    <w:ind w:left="-50" w:right="-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TN</w:t>
                  </w:r>
                </w:p>
              </w:tc>
              <w:tc>
                <w:tcPr>
                  <w:tcW w:w="1244" w:type="dxa"/>
                </w:tcPr>
                <w:p w14:paraId="460698E1">
                  <w:pPr>
                    <w:tabs>
                      <w:tab w:val="center" w:pos="546"/>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c>
                <w:tcPr>
                  <w:tcW w:w="1091" w:type="dxa"/>
                  <w:shd w:val="clear" w:color="auto" w:fill="auto"/>
                  <w:vAlign w:val="center"/>
                </w:tcPr>
                <w:p w14:paraId="360DEA50">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0.10</w:t>
                  </w:r>
                  <w:r>
                    <w:rPr>
                      <w:rFonts w:hint="eastAsia" w:cs="Times New Roman"/>
                      <w:color w:val="auto"/>
                      <w:sz w:val="21"/>
                      <w:szCs w:val="21"/>
                      <w:lang w:val="en-US" w:eastAsia="zh-CN"/>
                    </w:rPr>
                    <w:t>45</w:t>
                  </w:r>
                </w:p>
              </w:tc>
              <w:tc>
                <w:tcPr>
                  <w:tcW w:w="1057" w:type="dxa"/>
                  <w:shd w:val="clear" w:color="auto" w:fill="auto"/>
                  <w:vAlign w:val="center"/>
                </w:tcPr>
                <w:p w14:paraId="57080DB0">
                  <w:pPr>
                    <w:jc w:val="center"/>
                    <w:textAlignment w:val="center"/>
                    <w:rPr>
                      <w:rFonts w:hint="default" w:ascii="Times New Roman" w:hAnsi="Times New Roman" w:cs="Times New Roman"/>
                      <w:color w:val="auto"/>
                      <w:sz w:val="21"/>
                      <w:szCs w:val="21"/>
                    </w:rPr>
                  </w:pPr>
                  <w:r>
                    <w:rPr>
                      <w:rFonts w:hint="eastAsia" w:cs="Times New Roman"/>
                      <w:color w:val="auto"/>
                      <w:sz w:val="21"/>
                      <w:szCs w:val="21"/>
                      <w:lang w:val="en-US" w:eastAsia="zh-CN"/>
                    </w:rPr>
                    <w:t>75.5</w:t>
                  </w:r>
                </w:p>
              </w:tc>
              <w:tc>
                <w:tcPr>
                  <w:tcW w:w="1055" w:type="dxa"/>
                  <w:shd w:val="clear" w:color="auto" w:fill="auto"/>
                  <w:vAlign w:val="center"/>
                </w:tcPr>
                <w:p w14:paraId="00C20010">
                  <w:pPr>
                    <w:tabs>
                      <w:tab w:val="center" w:pos="546"/>
                    </w:tabs>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7.35</w:t>
                  </w:r>
                </w:p>
              </w:tc>
              <w:tc>
                <w:tcPr>
                  <w:tcW w:w="1188" w:type="dxa"/>
                  <w:shd w:val="clear" w:color="auto" w:fill="auto"/>
                  <w:vAlign w:val="center"/>
                </w:tcPr>
                <w:p w14:paraId="1FEC4BED">
                  <w:pPr>
                    <w:widowControl/>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0.0256</w:t>
                  </w:r>
                </w:p>
              </w:tc>
              <w:tc>
                <w:tcPr>
                  <w:tcW w:w="862" w:type="dxa"/>
                  <w:shd w:val="clear" w:color="auto" w:fill="auto"/>
                  <w:vAlign w:val="center"/>
                </w:tcPr>
                <w:p w14:paraId="41D307B1">
                  <w:pPr>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r>
            <w:tr w14:paraId="0D14F2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906" w:type="dxa"/>
                  <w:gridSpan w:val="2"/>
                  <w:vMerge w:val="continue"/>
                </w:tcPr>
                <w:p w14:paraId="302CCA92">
                  <w:pPr>
                    <w:ind w:left="-105" w:leftChars="-50" w:right="-105" w:rightChars="-50"/>
                    <w:jc w:val="center"/>
                    <w:rPr>
                      <w:rFonts w:hint="default" w:ascii="Times New Roman" w:hAnsi="Times New Roman" w:cs="Times New Roman"/>
                      <w:color w:val="auto"/>
                      <w:sz w:val="21"/>
                      <w:szCs w:val="21"/>
                    </w:rPr>
                  </w:pPr>
                </w:p>
              </w:tc>
              <w:tc>
                <w:tcPr>
                  <w:tcW w:w="1170" w:type="dxa"/>
                  <w:shd w:val="clear" w:color="auto" w:fill="auto"/>
                  <w:vAlign w:val="center"/>
                </w:tcPr>
                <w:p w14:paraId="4819DAAE">
                  <w:pPr>
                    <w:ind w:left="-50" w:right="-5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粪大肠菌群</w:t>
                  </w:r>
                </w:p>
              </w:tc>
              <w:tc>
                <w:tcPr>
                  <w:tcW w:w="1244" w:type="dxa"/>
                  <w:shd w:val="clear" w:color="auto" w:fill="auto"/>
                  <w:vAlign w:val="center"/>
                </w:tcPr>
                <w:p w14:paraId="0C9F780D">
                  <w:pPr>
                    <w:tabs>
                      <w:tab w:val="center" w:pos="546"/>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r>
                    <w:rPr>
                      <w:rFonts w:hint="default" w:ascii="Times New Roman" w:hAnsi="Times New Roman" w:cs="Times New Roman"/>
                      <w:iCs/>
                      <w:color w:val="auto"/>
                      <w:sz w:val="21"/>
                      <w:szCs w:val="21"/>
                    </w:rPr>
                    <w:t>×10</w:t>
                  </w:r>
                  <w:r>
                    <w:rPr>
                      <w:rFonts w:hint="default" w:ascii="Times New Roman" w:hAnsi="Times New Roman" w:cs="Times New Roman"/>
                      <w:iCs/>
                      <w:color w:val="auto"/>
                      <w:sz w:val="21"/>
                      <w:szCs w:val="21"/>
                      <w:vertAlign w:val="superscript"/>
                      <w:lang w:val="en-US" w:eastAsia="zh-CN"/>
                    </w:rPr>
                    <w:t>6</w:t>
                  </w:r>
                  <w:r>
                    <w:rPr>
                      <w:rFonts w:hint="default" w:ascii="Times New Roman" w:hAnsi="Times New Roman" w:cs="Times New Roman"/>
                      <w:iCs/>
                      <w:color w:val="auto"/>
                      <w:sz w:val="21"/>
                      <w:szCs w:val="21"/>
                    </w:rPr>
                    <w:t>个/L</w:t>
                  </w:r>
                </w:p>
              </w:tc>
              <w:tc>
                <w:tcPr>
                  <w:tcW w:w="1091" w:type="dxa"/>
                  <w:shd w:val="clear" w:color="auto" w:fill="auto"/>
                  <w:vAlign w:val="center"/>
                </w:tcPr>
                <w:p w14:paraId="515F8E81">
                  <w:pPr>
                    <w:tabs>
                      <w:tab w:val="center" w:pos="546"/>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57" w:type="dxa"/>
                  <w:shd w:val="clear" w:color="auto" w:fill="auto"/>
                  <w:vAlign w:val="center"/>
                </w:tcPr>
                <w:p w14:paraId="002CA50E">
                  <w:pPr>
                    <w:tabs>
                      <w:tab w:val="center" w:pos="546"/>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99.</w:t>
                  </w:r>
                  <w:r>
                    <w:rPr>
                      <w:rFonts w:hint="eastAsia" w:cs="Times New Roman"/>
                      <w:color w:val="auto"/>
                      <w:sz w:val="21"/>
                      <w:szCs w:val="21"/>
                      <w:lang w:val="en-US" w:eastAsia="zh-CN"/>
                    </w:rPr>
                    <w:t>9</w:t>
                  </w:r>
                </w:p>
              </w:tc>
              <w:tc>
                <w:tcPr>
                  <w:tcW w:w="1055" w:type="dxa"/>
                  <w:shd w:val="clear" w:color="auto" w:fill="auto"/>
                  <w:vAlign w:val="center"/>
                </w:tcPr>
                <w:p w14:paraId="6904A8CD">
                  <w:pPr>
                    <w:tabs>
                      <w:tab w:val="center" w:pos="546"/>
                    </w:tabs>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2000</w:t>
                  </w:r>
                  <w:r>
                    <w:rPr>
                      <w:rFonts w:hint="default" w:ascii="Times New Roman" w:hAnsi="Times New Roman" w:cs="Times New Roman"/>
                      <w:iCs/>
                      <w:color w:val="auto"/>
                      <w:sz w:val="21"/>
                      <w:szCs w:val="21"/>
                    </w:rPr>
                    <w:t>个/L</w:t>
                  </w:r>
                </w:p>
              </w:tc>
              <w:tc>
                <w:tcPr>
                  <w:tcW w:w="1188" w:type="dxa"/>
                  <w:shd w:val="clear" w:color="auto" w:fill="auto"/>
                  <w:vAlign w:val="center"/>
                </w:tcPr>
                <w:p w14:paraId="48B5367E">
                  <w:pPr>
                    <w:tabs>
                      <w:tab w:val="center" w:pos="546"/>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62" w:type="dxa"/>
                  <w:shd w:val="clear" w:color="auto" w:fill="auto"/>
                  <w:vAlign w:val="center"/>
                </w:tcPr>
                <w:p w14:paraId="63396048">
                  <w:pPr>
                    <w:tabs>
                      <w:tab w:val="center" w:pos="546"/>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5000个/L</w:t>
                  </w:r>
                </w:p>
              </w:tc>
            </w:tr>
            <w:tr w14:paraId="685CF4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906" w:type="dxa"/>
                  <w:gridSpan w:val="2"/>
                  <w:vMerge w:val="continue"/>
                </w:tcPr>
                <w:p w14:paraId="4F254E3D">
                  <w:pPr>
                    <w:ind w:left="-105" w:leftChars="-50" w:right="-105" w:rightChars="-50"/>
                    <w:jc w:val="center"/>
                    <w:rPr>
                      <w:rFonts w:hint="default" w:ascii="Times New Roman" w:hAnsi="Times New Roman" w:cs="Times New Roman"/>
                      <w:color w:val="auto"/>
                      <w:sz w:val="21"/>
                      <w:szCs w:val="21"/>
                    </w:rPr>
                  </w:pPr>
                </w:p>
              </w:tc>
              <w:tc>
                <w:tcPr>
                  <w:tcW w:w="1170" w:type="dxa"/>
                  <w:shd w:val="clear" w:color="auto" w:fill="auto"/>
                  <w:vAlign w:val="center"/>
                </w:tcPr>
                <w:p w14:paraId="4722154E">
                  <w:pPr>
                    <w:ind w:left="-50" w:right="-50"/>
                    <w:jc w:val="center"/>
                    <w:rPr>
                      <w:rFonts w:hint="eastAsia" w:ascii="Times New Roman" w:hAnsi="Times New Roman" w:eastAsia="宋体" w:cs="Times New Roman"/>
                      <w:iCs/>
                      <w:color w:val="7030A0"/>
                      <w:sz w:val="21"/>
                      <w:szCs w:val="21"/>
                      <w:lang w:val="en-US" w:eastAsia="zh-CN"/>
                    </w:rPr>
                  </w:pPr>
                  <w:r>
                    <w:rPr>
                      <w:rFonts w:hint="eastAsia" w:cs="Times New Roman"/>
                      <w:iCs/>
                      <w:color w:val="7030A0"/>
                      <w:sz w:val="21"/>
                      <w:szCs w:val="21"/>
                      <w:lang w:val="en-US" w:eastAsia="zh-CN"/>
                    </w:rPr>
                    <w:t>LAS</w:t>
                  </w:r>
                </w:p>
              </w:tc>
              <w:tc>
                <w:tcPr>
                  <w:tcW w:w="1244" w:type="dxa"/>
                  <w:shd w:val="clear" w:color="auto" w:fill="auto"/>
                  <w:vAlign w:val="center"/>
                </w:tcPr>
                <w:p w14:paraId="3C175402">
                  <w:pPr>
                    <w:tabs>
                      <w:tab w:val="center" w:pos="546"/>
                    </w:tabs>
                    <w:jc w:val="center"/>
                    <w:rPr>
                      <w:rFonts w:hint="default" w:ascii="Times New Roman" w:hAnsi="Times New Roman" w:cs="Times New Roman"/>
                      <w:color w:val="7030A0"/>
                      <w:sz w:val="21"/>
                      <w:szCs w:val="21"/>
                      <w:lang w:val="en-US" w:eastAsia="zh-CN"/>
                    </w:rPr>
                  </w:pPr>
                  <w:r>
                    <w:rPr>
                      <w:rFonts w:hint="eastAsia" w:cs="Times New Roman"/>
                      <w:color w:val="7030A0"/>
                      <w:sz w:val="21"/>
                      <w:szCs w:val="21"/>
                      <w:lang w:val="en-US" w:eastAsia="zh-CN"/>
                    </w:rPr>
                    <w:t>0.704</w:t>
                  </w:r>
                </w:p>
              </w:tc>
              <w:tc>
                <w:tcPr>
                  <w:tcW w:w="1091" w:type="dxa"/>
                  <w:shd w:val="clear" w:color="auto" w:fill="auto"/>
                  <w:vAlign w:val="center"/>
                </w:tcPr>
                <w:p w14:paraId="3D324C7F">
                  <w:pPr>
                    <w:tabs>
                      <w:tab w:val="center" w:pos="546"/>
                    </w:tabs>
                    <w:jc w:val="center"/>
                    <w:rPr>
                      <w:rFonts w:hint="default" w:ascii="Times New Roman" w:hAnsi="Times New Roman" w:cs="Times New Roman"/>
                      <w:color w:val="7030A0"/>
                      <w:sz w:val="21"/>
                      <w:szCs w:val="21"/>
                    </w:rPr>
                  </w:pPr>
                  <w:r>
                    <w:rPr>
                      <w:rFonts w:hint="eastAsia" w:cs="Times New Roman"/>
                      <w:color w:val="7030A0"/>
                      <w:sz w:val="21"/>
                      <w:szCs w:val="21"/>
                      <w:lang w:val="en-US" w:eastAsia="zh-CN"/>
                    </w:rPr>
                    <w:t>0.0027</w:t>
                  </w:r>
                </w:p>
              </w:tc>
              <w:tc>
                <w:tcPr>
                  <w:tcW w:w="1057" w:type="dxa"/>
                  <w:shd w:val="clear" w:color="auto" w:fill="auto"/>
                  <w:vAlign w:val="center"/>
                </w:tcPr>
                <w:p w14:paraId="6033C8AD">
                  <w:pPr>
                    <w:tabs>
                      <w:tab w:val="center" w:pos="546"/>
                    </w:tabs>
                    <w:jc w:val="center"/>
                    <w:rPr>
                      <w:rFonts w:hint="default" w:ascii="Times New Roman" w:hAnsi="Times New Roman" w:eastAsia="宋体" w:cs="Times New Roman"/>
                      <w:color w:val="7030A0"/>
                      <w:sz w:val="21"/>
                      <w:szCs w:val="21"/>
                      <w:lang w:val="en-US" w:eastAsia="zh-CN"/>
                    </w:rPr>
                  </w:pPr>
                  <w:r>
                    <w:rPr>
                      <w:rFonts w:hint="eastAsia" w:cs="Times New Roman"/>
                      <w:color w:val="7030A0"/>
                      <w:sz w:val="21"/>
                      <w:szCs w:val="21"/>
                      <w:lang w:val="en-US" w:eastAsia="zh-CN"/>
                    </w:rPr>
                    <w:t>80</w:t>
                  </w:r>
                </w:p>
              </w:tc>
              <w:tc>
                <w:tcPr>
                  <w:tcW w:w="1055" w:type="dxa"/>
                  <w:shd w:val="clear" w:color="auto" w:fill="auto"/>
                  <w:vAlign w:val="center"/>
                </w:tcPr>
                <w:p w14:paraId="3BE78A2F">
                  <w:pPr>
                    <w:tabs>
                      <w:tab w:val="center" w:pos="546"/>
                    </w:tabs>
                    <w:jc w:val="center"/>
                    <w:rPr>
                      <w:rFonts w:hint="default" w:cs="Times New Roman"/>
                      <w:color w:val="7030A0"/>
                      <w:sz w:val="21"/>
                      <w:szCs w:val="21"/>
                      <w:lang w:val="en-US" w:eastAsia="zh-CN"/>
                    </w:rPr>
                  </w:pPr>
                  <w:r>
                    <w:rPr>
                      <w:rFonts w:hint="eastAsia" w:cs="Times New Roman"/>
                      <w:color w:val="7030A0"/>
                      <w:sz w:val="21"/>
                      <w:szCs w:val="21"/>
                      <w:lang w:val="en-US" w:eastAsia="zh-CN"/>
                    </w:rPr>
                    <w:t>0.1408</w:t>
                  </w:r>
                </w:p>
              </w:tc>
              <w:tc>
                <w:tcPr>
                  <w:tcW w:w="1188" w:type="dxa"/>
                  <w:shd w:val="clear" w:color="auto" w:fill="auto"/>
                  <w:vAlign w:val="center"/>
                </w:tcPr>
                <w:p w14:paraId="6FD2A8A3">
                  <w:pPr>
                    <w:tabs>
                      <w:tab w:val="center" w:pos="546"/>
                    </w:tabs>
                    <w:jc w:val="center"/>
                    <w:rPr>
                      <w:rFonts w:hint="default" w:ascii="Times New Roman" w:hAnsi="Times New Roman" w:eastAsia="宋体" w:cs="Times New Roman"/>
                      <w:color w:val="7030A0"/>
                      <w:sz w:val="21"/>
                      <w:szCs w:val="21"/>
                      <w:lang w:val="en-US" w:eastAsia="zh-CN"/>
                    </w:rPr>
                  </w:pPr>
                  <w:r>
                    <w:rPr>
                      <w:rFonts w:hint="eastAsia" w:cs="Times New Roman"/>
                      <w:color w:val="7030A0"/>
                      <w:sz w:val="21"/>
                      <w:szCs w:val="21"/>
                      <w:lang w:val="en-US" w:eastAsia="zh-CN"/>
                    </w:rPr>
                    <w:t>0.0005</w:t>
                  </w:r>
                </w:p>
              </w:tc>
              <w:tc>
                <w:tcPr>
                  <w:tcW w:w="862" w:type="dxa"/>
                  <w:shd w:val="clear" w:color="auto" w:fill="auto"/>
                  <w:vAlign w:val="center"/>
                </w:tcPr>
                <w:p w14:paraId="66F062CD">
                  <w:pPr>
                    <w:tabs>
                      <w:tab w:val="center" w:pos="546"/>
                    </w:tabs>
                    <w:jc w:val="center"/>
                    <w:rPr>
                      <w:rFonts w:hint="default" w:ascii="Times New Roman" w:hAnsi="Times New Roman" w:eastAsia="宋体" w:cs="Times New Roman"/>
                      <w:color w:val="7030A0"/>
                      <w:sz w:val="21"/>
                      <w:szCs w:val="21"/>
                      <w:lang w:val="en-US" w:eastAsia="zh-CN"/>
                    </w:rPr>
                  </w:pPr>
                  <w:r>
                    <w:rPr>
                      <w:rFonts w:hint="eastAsia" w:cs="Times New Roman"/>
                      <w:color w:val="7030A0"/>
                      <w:sz w:val="21"/>
                      <w:szCs w:val="21"/>
                      <w:lang w:val="en-US" w:eastAsia="zh-CN"/>
                    </w:rPr>
                    <w:t>10</w:t>
                  </w:r>
                </w:p>
              </w:tc>
            </w:tr>
          </w:tbl>
          <w:p w14:paraId="3620B50F">
            <w:pPr>
              <w:adjustRightInd w:val="0"/>
              <w:snapToGrid w:val="0"/>
              <w:spacing w:line="360" w:lineRule="auto"/>
              <w:ind w:firstLine="482" w:firstLineChars="200"/>
              <w:jc w:val="left"/>
              <w:rPr>
                <w:b/>
                <w:color w:val="auto"/>
                <w:kern w:val="0"/>
                <w:sz w:val="24"/>
              </w:rPr>
            </w:pPr>
            <w:r>
              <w:rPr>
                <w:rFonts w:hint="eastAsia"/>
                <w:b/>
                <w:color w:val="auto"/>
                <w:kern w:val="0"/>
                <w:sz w:val="24"/>
              </w:rPr>
              <w:t>3、废水治理设施技术可行性分析</w:t>
            </w:r>
          </w:p>
          <w:p w14:paraId="7DBE3A59">
            <w:pPr>
              <w:adjustRightInd w:val="0"/>
              <w:snapToGrid w:val="0"/>
              <w:spacing w:line="360" w:lineRule="auto"/>
              <w:ind w:firstLine="480" w:firstLineChars="200"/>
              <w:jc w:val="left"/>
              <w:rPr>
                <w:color w:val="auto"/>
                <w:sz w:val="24"/>
              </w:rPr>
            </w:pPr>
            <w:r>
              <w:rPr>
                <w:rFonts w:hint="eastAsia"/>
                <w:color w:val="auto"/>
                <w:sz w:val="24"/>
              </w:rPr>
              <w:t>项目各类污水预处理</w:t>
            </w:r>
            <w:r>
              <w:rPr>
                <w:rFonts w:hint="eastAsia"/>
                <w:color w:val="auto"/>
                <w:sz w:val="24"/>
                <w:lang w:val="en-US" w:eastAsia="zh-CN"/>
              </w:rPr>
              <w:t>后统一排放到化粪池</w:t>
            </w:r>
            <w:r>
              <w:rPr>
                <w:rFonts w:hint="eastAsia"/>
                <w:color w:val="auto"/>
                <w:sz w:val="24"/>
              </w:rPr>
              <w:t>，再排入院内污水处理系统。预处理方法为：</w:t>
            </w:r>
          </w:p>
          <w:p w14:paraId="5D15E753">
            <w:pPr>
              <w:adjustRightInd w:val="0"/>
              <w:snapToGrid w:val="0"/>
              <w:spacing w:line="360" w:lineRule="auto"/>
              <w:ind w:firstLine="480" w:firstLineChars="200"/>
              <w:jc w:val="both"/>
              <w:rPr>
                <w:color w:val="auto"/>
                <w:sz w:val="24"/>
              </w:rPr>
            </w:pPr>
            <w:r>
              <w:rPr>
                <w:rFonts w:hint="eastAsia"/>
                <w:color w:val="auto"/>
                <w:sz w:val="24"/>
              </w:rPr>
              <w:t>①食堂废水：主要污染物为CODcr、BOD</w:t>
            </w:r>
            <w:r>
              <w:rPr>
                <w:rFonts w:hint="eastAsia"/>
                <w:color w:val="auto"/>
                <w:sz w:val="24"/>
                <w:vertAlign w:val="subscript"/>
              </w:rPr>
              <w:t>5</w:t>
            </w:r>
            <w:r>
              <w:rPr>
                <w:rFonts w:hint="eastAsia"/>
                <w:color w:val="auto"/>
                <w:sz w:val="24"/>
              </w:rPr>
              <w:t>、SS、氨氮、总磷、总氮、动植物油等。该废水先经过隔油池处理后排入化粪池预处理后进入废水处理系统处理。食堂含油废水经过隔油池处理后，能有效的去除废水中的油污类物质，满足《医疗机构水污染物排放标准》（G</w:t>
            </w:r>
            <w:r>
              <w:rPr>
                <w:color w:val="auto"/>
                <w:sz w:val="24"/>
              </w:rPr>
              <w:t>B18466-2005</w:t>
            </w:r>
            <w:r>
              <w:rPr>
                <w:rFonts w:hint="eastAsia"/>
                <w:color w:val="auto"/>
                <w:sz w:val="24"/>
              </w:rPr>
              <w:t>）中“含油废水应设置隔油池处理”的要求，处理设施合理可行。</w:t>
            </w:r>
          </w:p>
          <w:p w14:paraId="0837823C">
            <w:pPr>
              <w:adjustRightInd w:val="0"/>
              <w:snapToGrid w:val="0"/>
              <w:spacing w:line="360" w:lineRule="auto"/>
              <w:ind w:firstLine="480" w:firstLineChars="200"/>
              <w:jc w:val="both"/>
              <w:rPr>
                <w:rFonts w:hint="eastAsia"/>
                <w:color w:val="auto"/>
                <w:sz w:val="24"/>
              </w:rPr>
            </w:pPr>
            <w:r>
              <w:rPr>
                <w:rFonts w:hint="eastAsia" w:ascii="Times New Roman" w:hAnsi="Times New Roman" w:eastAsia="宋体" w:cs="Times New Roman"/>
                <w:color w:val="auto"/>
                <w:sz w:val="24"/>
              </w:rPr>
              <w:t>②</w:t>
            </w:r>
            <w:r>
              <w:rPr>
                <w:rFonts w:hint="eastAsia" w:cs="Times New Roman"/>
                <w:color w:val="auto"/>
                <w:sz w:val="24"/>
                <w:lang w:val="en-US" w:eastAsia="zh-CN"/>
              </w:rPr>
              <w:t>门诊</w:t>
            </w:r>
            <w:r>
              <w:rPr>
                <w:rFonts w:hint="eastAsia" w:ascii="Times New Roman" w:hAnsi="Times New Roman" w:eastAsia="宋体" w:cs="Times New Roman"/>
                <w:color w:val="auto"/>
                <w:sz w:val="24"/>
              </w:rPr>
              <w:t>检验废水：</w:t>
            </w:r>
            <w:r>
              <w:rPr>
                <w:rFonts w:hint="eastAsia" w:cs="Times New Roman"/>
                <w:color w:val="auto"/>
                <w:sz w:val="24"/>
                <w:lang w:val="en-US" w:eastAsia="zh-CN"/>
              </w:rPr>
              <w:t>检验科在进行日常检测工作时，采用由试剂设备厂家提供的配套试剂套装，以确保试剂的高效利用，避免产生废试剂。废水主要来源于检验设备的清洗过程，清洗剂为38%的盐酸溶液。对于废水处理，检验科采取中和法进行处理。在专用的20L中和桶内，投加氢氧化钠，进行反应直至pH值达到7至8的中性范围。中和过程完成后，将投放适量的消毒剂，后排入化粪池，以确保废水的卫生安全。此外，检验科设有专门的有机废液桶、无机废液桶及生物废液桶来收集含药剂废水，每个桶的容量均为20L。医务人员需根据所使用的试剂成分，将产生的含药废水分类倒入相应的废液桶中。这些废液桶将由具备相应资质的单位负责收集并进行专业的处理。</w:t>
            </w:r>
          </w:p>
          <w:p w14:paraId="7B25BDAC">
            <w:pPr>
              <w:adjustRightInd w:val="0"/>
              <w:snapToGrid w:val="0"/>
              <w:spacing w:line="360" w:lineRule="auto"/>
              <w:ind w:firstLine="480" w:firstLineChars="200"/>
              <w:jc w:val="left"/>
              <w:rPr>
                <w:rFonts w:hint="eastAsia"/>
                <w:color w:val="auto"/>
                <w:sz w:val="24"/>
              </w:rPr>
            </w:pPr>
            <w:r>
              <w:rPr>
                <w:rFonts w:hint="eastAsia"/>
                <w:color w:val="auto"/>
                <w:sz w:val="24"/>
              </w:rPr>
              <w:t>③医务人员办公废水、</w:t>
            </w:r>
            <w:r>
              <w:rPr>
                <w:rFonts w:hint="eastAsia"/>
                <w:color w:val="auto"/>
                <w:sz w:val="24"/>
                <w:lang w:val="en-US" w:eastAsia="zh-CN"/>
              </w:rPr>
              <w:t>行政人员废水、</w:t>
            </w:r>
            <w:r>
              <w:rPr>
                <w:rFonts w:hint="eastAsia"/>
                <w:color w:val="auto"/>
                <w:sz w:val="24"/>
              </w:rPr>
              <w:t>住院病床废水、陪护人员废水、病床品洗涤废水、主要污染物为CODcr、BOD</w:t>
            </w:r>
            <w:r>
              <w:rPr>
                <w:rFonts w:hint="eastAsia"/>
                <w:color w:val="auto"/>
                <w:sz w:val="24"/>
                <w:vertAlign w:val="subscript"/>
              </w:rPr>
              <w:t>5</w:t>
            </w:r>
            <w:r>
              <w:rPr>
                <w:rFonts w:hint="eastAsia"/>
                <w:color w:val="auto"/>
                <w:sz w:val="24"/>
              </w:rPr>
              <w:t>、SS、氨氮、总磷、总氮、粪大肠杆菌群，各废水经</w:t>
            </w:r>
            <w:r>
              <w:rPr>
                <w:rFonts w:hint="eastAsia"/>
                <w:color w:val="auto"/>
                <w:sz w:val="24"/>
                <w:lang w:val="en-US" w:eastAsia="zh-CN"/>
              </w:rPr>
              <w:t>化粪池处理后排</w:t>
            </w:r>
            <w:r>
              <w:rPr>
                <w:rFonts w:hint="eastAsia"/>
                <w:color w:val="auto"/>
                <w:sz w:val="24"/>
              </w:rPr>
              <w:t>入</w:t>
            </w:r>
            <w:r>
              <w:rPr>
                <w:rFonts w:hint="eastAsia"/>
                <w:color w:val="auto"/>
                <w:sz w:val="24"/>
                <w:lang w:val="en-US" w:eastAsia="zh-CN"/>
              </w:rPr>
              <w:t>自建污水处理站</w:t>
            </w:r>
            <w:r>
              <w:rPr>
                <w:rFonts w:hint="eastAsia"/>
                <w:color w:val="auto"/>
                <w:sz w:val="24"/>
              </w:rPr>
              <w:t>处理。</w:t>
            </w:r>
          </w:p>
          <w:p w14:paraId="0383AA84">
            <w:pPr>
              <w:pStyle w:val="2"/>
              <w:spacing w:line="360" w:lineRule="auto"/>
              <w:ind w:firstLine="480" w:firstLineChars="200"/>
              <w:rPr>
                <w:rFonts w:hint="default" w:eastAsia="宋体"/>
                <w:color w:val="auto"/>
                <w:lang w:val="en-US" w:eastAsia="zh-CN"/>
              </w:rPr>
            </w:pPr>
            <w:r>
              <w:rPr>
                <w:rFonts w:hint="eastAsia"/>
                <w:color w:val="auto"/>
                <w:sz w:val="24"/>
                <w:lang w:val="en-US" w:eastAsia="zh-CN"/>
              </w:rPr>
              <w:t>④煎煮中药清洗废水：排放到化粪池处理后再排入到院内污水处理站处理。</w:t>
            </w:r>
          </w:p>
          <w:p w14:paraId="0689BEB3">
            <w:pPr>
              <w:adjustRightInd w:val="0"/>
              <w:snapToGrid w:val="0"/>
              <w:spacing w:line="360" w:lineRule="auto"/>
              <w:ind w:firstLine="480" w:firstLineChars="200"/>
              <w:rPr>
                <w:color w:val="auto"/>
                <w:sz w:val="24"/>
              </w:rPr>
            </w:pPr>
            <w:r>
              <w:rPr>
                <w:rFonts w:hint="eastAsia"/>
                <w:color w:val="auto"/>
                <w:sz w:val="24"/>
              </w:rPr>
              <w:t>全院营运期废水产生量</w:t>
            </w:r>
            <w:r>
              <w:rPr>
                <w:rFonts w:hint="eastAsia"/>
                <w:color w:val="auto"/>
                <w:sz w:val="24"/>
                <w:lang w:val="en-US" w:eastAsia="zh-CN"/>
              </w:rPr>
              <w:t>9.5436</w:t>
            </w:r>
            <w:r>
              <w:rPr>
                <w:rFonts w:hint="eastAsia"/>
                <w:color w:val="auto"/>
                <w:sz w:val="24"/>
              </w:rPr>
              <w:t>m</w:t>
            </w:r>
            <w:r>
              <w:rPr>
                <w:color w:val="auto"/>
                <w:sz w:val="24"/>
                <w:vertAlign w:val="superscript"/>
              </w:rPr>
              <w:t>3</w:t>
            </w:r>
            <w:r>
              <w:rPr>
                <w:color w:val="auto"/>
                <w:sz w:val="24"/>
              </w:rPr>
              <w:t>/</w:t>
            </w:r>
            <w:r>
              <w:rPr>
                <w:rFonts w:hint="eastAsia"/>
                <w:color w:val="auto"/>
                <w:sz w:val="24"/>
              </w:rPr>
              <w:t>d，项目采用雨污分流的排水系统设计，雨水经雨水管网进入市政管网，各单元废水经相应与处理措施处理后汇入院内污水处理站处理，处理后通过市政管网</w:t>
            </w:r>
            <w:r>
              <w:rPr>
                <w:rFonts w:hint="eastAsia"/>
                <w:color w:val="auto"/>
                <w:sz w:val="24"/>
                <w:lang w:val="en-US" w:eastAsia="zh-CN"/>
              </w:rPr>
              <w:t>进入华林镇污水处理</w:t>
            </w:r>
            <w:r>
              <w:rPr>
                <w:rFonts w:hint="eastAsia" w:ascii="Times New Roman" w:hAnsi="Times New Roman" w:eastAsia="宋体" w:cs="Times New Roman"/>
                <w:color w:val="auto"/>
                <w:sz w:val="24"/>
                <w:lang w:val="en-US" w:eastAsia="zh-CN"/>
              </w:rPr>
              <w:t>厂</w:t>
            </w:r>
            <w:r>
              <w:rPr>
                <w:rFonts w:hint="eastAsia" w:ascii="Times New Roman" w:hAnsi="Times New Roman" w:eastAsia="宋体" w:cs="Times New Roman"/>
                <w:color w:val="auto"/>
                <w:sz w:val="24"/>
              </w:rPr>
              <w:t>。</w:t>
            </w:r>
          </w:p>
          <w:p w14:paraId="1AD9E854">
            <w:pPr>
              <w:adjustRightInd w:val="0"/>
              <w:snapToGrid w:val="0"/>
              <w:spacing w:line="360" w:lineRule="auto"/>
              <w:ind w:firstLine="480" w:firstLineChars="200"/>
              <w:jc w:val="left"/>
              <w:rPr>
                <w:color w:val="auto"/>
                <w:sz w:val="24"/>
              </w:rPr>
            </w:pPr>
            <w:r>
              <w:rPr>
                <w:rFonts w:hint="eastAsia"/>
                <w:color w:val="auto"/>
                <w:sz w:val="24"/>
              </w:rPr>
              <w:t>（1）污水处理站处理能力及处理规模分析</w:t>
            </w:r>
          </w:p>
          <w:p w14:paraId="2D70C176">
            <w:pPr>
              <w:adjustRightInd w:val="0"/>
              <w:snapToGrid w:val="0"/>
              <w:spacing w:line="360" w:lineRule="auto"/>
              <w:ind w:firstLine="480" w:firstLineChars="200"/>
              <w:jc w:val="left"/>
              <w:rPr>
                <w:color w:val="auto"/>
                <w:sz w:val="24"/>
              </w:rPr>
            </w:pPr>
            <w:r>
              <w:rPr>
                <w:rFonts w:hint="eastAsia"/>
                <w:color w:val="auto"/>
                <w:sz w:val="24"/>
              </w:rPr>
              <w:t>项目废水产生量约</w:t>
            </w:r>
            <w:r>
              <w:rPr>
                <w:rFonts w:hint="eastAsia"/>
                <w:color w:val="auto"/>
                <w:sz w:val="24"/>
                <w:lang w:val="en-US" w:eastAsia="zh-CN"/>
              </w:rPr>
              <w:t>9.5436</w:t>
            </w:r>
            <w:r>
              <w:rPr>
                <w:rFonts w:hint="eastAsia"/>
                <w:color w:val="auto"/>
                <w:sz w:val="24"/>
              </w:rPr>
              <w:t>m</w:t>
            </w:r>
            <w:r>
              <w:rPr>
                <w:color w:val="auto"/>
                <w:sz w:val="24"/>
                <w:vertAlign w:val="superscript"/>
              </w:rPr>
              <w:t>3</w:t>
            </w:r>
            <w:r>
              <w:rPr>
                <w:color w:val="auto"/>
                <w:sz w:val="24"/>
              </w:rPr>
              <w:t>/</w:t>
            </w:r>
            <w:r>
              <w:rPr>
                <w:rFonts w:hint="eastAsia"/>
                <w:color w:val="auto"/>
                <w:sz w:val="24"/>
              </w:rPr>
              <w:t>d，</w:t>
            </w:r>
            <w:r>
              <w:rPr>
                <w:rFonts w:hint="eastAsia"/>
                <w:color w:val="auto"/>
                <w:sz w:val="24"/>
                <w:lang w:val="en-US" w:eastAsia="zh-CN"/>
              </w:rPr>
              <w:t>自建</w:t>
            </w:r>
            <w:r>
              <w:rPr>
                <w:rFonts w:hint="eastAsia"/>
                <w:color w:val="auto"/>
                <w:sz w:val="24"/>
              </w:rPr>
              <w:t>污水处理</w:t>
            </w:r>
            <w:r>
              <w:rPr>
                <w:rFonts w:hint="eastAsia"/>
                <w:color w:val="auto"/>
                <w:sz w:val="24"/>
                <w:lang w:val="en-US" w:eastAsia="zh-CN"/>
              </w:rPr>
              <w:t>站</w:t>
            </w:r>
            <w:r>
              <w:rPr>
                <w:rFonts w:hint="eastAsia"/>
                <w:color w:val="auto"/>
                <w:sz w:val="24"/>
              </w:rPr>
              <w:t>规模为10</w:t>
            </w:r>
            <w:r>
              <w:rPr>
                <w:rFonts w:hint="eastAsia"/>
                <w:color w:val="auto"/>
                <w:sz w:val="24"/>
                <w:lang w:val="en-US" w:eastAsia="zh-CN"/>
              </w:rPr>
              <w:t xml:space="preserve"> </w:t>
            </w:r>
            <w:r>
              <w:rPr>
                <w:rFonts w:hint="eastAsia"/>
                <w:color w:val="auto"/>
                <w:sz w:val="24"/>
              </w:rPr>
              <w:t>m</w:t>
            </w:r>
            <w:r>
              <w:rPr>
                <w:color w:val="auto"/>
                <w:sz w:val="24"/>
                <w:vertAlign w:val="superscript"/>
              </w:rPr>
              <w:t>3</w:t>
            </w:r>
            <w:r>
              <w:rPr>
                <w:color w:val="auto"/>
                <w:sz w:val="24"/>
              </w:rPr>
              <w:t>/</w:t>
            </w:r>
            <w:r>
              <w:rPr>
                <w:rFonts w:hint="eastAsia"/>
                <w:color w:val="auto"/>
                <w:sz w:val="24"/>
              </w:rPr>
              <w:t>d，可接收处理全院废水。</w:t>
            </w:r>
          </w:p>
          <w:p w14:paraId="646682E9">
            <w:pPr>
              <w:adjustRightInd w:val="0"/>
              <w:snapToGrid w:val="0"/>
              <w:spacing w:line="360" w:lineRule="auto"/>
              <w:ind w:firstLine="480" w:firstLineChars="200"/>
              <w:jc w:val="left"/>
              <w:rPr>
                <w:color w:val="auto"/>
                <w:sz w:val="24"/>
              </w:rPr>
            </w:pPr>
            <w:r>
              <w:rPr>
                <w:rFonts w:hint="eastAsia"/>
                <w:color w:val="auto"/>
                <w:sz w:val="24"/>
              </w:rPr>
              <w:t>（2）污水处理站工艺流程可行性分析</w:t>
            </w:r>
          </w:p>
          <w:p w14:paraId="5660C45F">
            <w:pPr>
              <w:adjustRightInd w:val="0"/>
              <w:snapToGrid w:val="0"/>
              <w:spacing w:line="360" w:lineRule="auto"/>
              <w:ind w:firstLine="480" w:firstLineChars="200"/>
              <w:jc w:val="left"/>
              <w:rPr>
                <w:color w:val="auto"/>
                <w:sz w:val="24"/>
              </w:rPr>
            </w:pPr>
            <w:r>
              <w:rPr>
                <w:rFonts w:hint="eastAsia"/>
                <w:color w:val="auto"/>
                <w:sz w:val="24"/>
              </w:rPr>
              <w:t>根据“《排污许可证申请与核发技术规范 医疗机构》（HJ 1105-2020）中6.3.1”：医疗机构排污单位的污水污染防治可行技术参考附录A中的表A.2。</w:t>
            </w:r>
          </w:p>
          <w:p w14:paraId="77131DD5">
            <w:pPr>
              <w:adjustRightInd w:val="0"/>
              <w:snapToGrid w:val="0"/>
              <w:ind w:firstLine="1265" w:firstLineChars="600"/>
              <w:jc w:val="left"/>
              <w:rPr>
                <w:b/>
                <w:color w:val="auto"/>
                <w:szCs w:val="21"/>
              </w:rPr>
            </w:pPr>
            <w:r>
              <w:rPr>
                <w:b/>
                <w:color w:val="auto"/>
                <w:szCs w:val="21"/>
              </w:rPr>
              <w:t>表</w:t>
            </w:r>
            <w:r>
              <w:rPr>
                <w:rFonts w:hint="eastAsia"/>
                <w:b/>
                <w:color w:val="auto"/>
                <w:szCs w:val="21"/>
              </w:rPr>
              <w:t>4-</w:t>
            </w:r>
            <w:r>
              <w:rPr>
                <w:rFonts w:hint="eastAsia"/>
                <w:b/>
                <w:color w:val="auto"/>
                <w:szCs w:val="21"/>
                <w:lang w:val="en-US" w:eastAsia="zh-CN"/>
              </w:rPr>
              <w:t>8</w:t>
            </w:r>
            <w:r>
              <w:rPr>
                <w:rFonts w:hint="eastAsia"/>
                <w:b/>
                <w:color w:val="auto"/>
                <w:szCs w:val="21"/>
              </w:rPr>
              <w:t xml:space="preserve"> </w:t>
            </w:r>
            <w:r>
              <w:rPr>
                <w:b/>
                <w:color w:val="auto"/>
                <w:szCs w:val="21"/>
              </w:rPr>
              <w:t xml:space="preserve"> 医疗机构排污单位污水治理可行技术参照表</w:t>
            </w:r>
            <w:r>
              <w:rPr>
                <w:rFonts w:hint="eastAsia"/>
                <w:b/>
                <w:color w:val="auto"/>
                <w:szCs w:val="21"/>
              </w:rPr>
              <w:t>（表 A.2）</w:t>
            </w:r>
          </w:p>
          <w:tbl>
            <w:tblPr>
              <w:tblStyle w:val="17"/>
              <w:tblW w:w="491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238"/>
              <w:gridCol w:w="1191"/>
              <w:gridCol w:w="4270"/>
            </w:tblGrid>
            <w:tr w14:paraId="198FC2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3" w:type="pct"/>
                  <w:vAlign w:val="center"/>
                </w:tcPr>
                <w:p w14:paraId="22317FE2">
                  <w:pPr>
                    <w:adjustRightInd w:val="0"/>
                    <w:snapToGrid w:val="0"/>
                    <w:jc w:val="center"/>
                    <w:rPr>
                      <w:rFonts w:cs="宋体"/>
                      <w:b/>
                      <w:color w:val="auto"/>
                      <w:kern w:val="18"/>
                      <w:szCs w:val="21"/>
                    </w:rPr>
                  </w:pPr>
                  <w:r>
                    <w:rPr>
                      <w:rFonts w:hint="eastAsia" w:cs="宋体"/>
                      <w:b/>
                      <w:color w:val="auto"/>
                      <w:kern w:val="18"/>
                      <w:szCs w:val="21"/>
                    </w:rPr>
                    <w:t>污水类别</w:t>
                  </w:r>
                </w:p>
              </w:tc>
              <w:tc>
                <w:tcPr>
                  <w:tcW w:w="1336" w:type="pct"/>
                  <w:vAlign w:val="center"/>
                </w:tcPr>
                <w:p w14:paraId="54108FCA">
                  <w:pPr>
                    <w:adjustRightInd w:val="0"/>
                    <w:snapToGrid w:val="0"/>
                    <w:jc w:val="center"/>
                    <w:rPr>
                      <w:rFonts w:cs="宋体"/>
                      <w:b/>
                      <w:color w:val="auto"/>
                      <w:kern w:val="18"/>
                      <w:szCs w:val="21"/>
                    </w:rPr>
                  </w:pPr>
                  <w:r>
                    <w:rPr>
                      <w:rFonts w:hint="eastAsia" w:cs="宋体"/>
                      <w:b/>
                      <w:color w:val="auto"/>
                      <w:kern w:val="18"/>
                      <w:szCs w:val="21"/>
                    </w:rPr>
                    <w:t>污染物种类</w:t>
                  </w:r>
                </w:p>
              </w:tc>
              <w:tc>
                <w:tcPr>
                  <w:tcW w:w="711" w:type="pct"/>
                  <w:vAlign w:val="center"/>
                </w:tcPr>
                <w:p w14:paraId="0F7F4D0A">
                  <w:pPr>
                    <w:adjustRightInd w:val="0"/>
                    <w:snapToGrid w:val="0"/>
                    <w:jc w:val="center"/>
                    <w:rPr>
                      <w:rFonts w:cs="宋体"/>
                      <w:b/>
                      <w:color w:val="auto"/>
                      <w:kern w:val="18"/>
                      <w:szCs w:val="21"/>
                    </w:rPr>
                  </w:pPr>
                  <w:r>
                    <w:rPr>
                      <w:rFonts w:hint="eastAsia" w:cs="宋体"/>
                      <w:b/>
                      <w:color w:val="auto"/>
                      <w:kern w:val="18"/>
                      <w:szCs w:val="21"/>
                    </w:rPr>
                    <w:t>排放去向</w:t>
                  </w:r>
                </w:p>
              </w:tc>
              <w:tc>
                <w:tcPr>
                  <w:tcW w:w="2548" w:type="pct"/>
                  <w:vAlign w:val="center"/>
                </w:tcPr>
                <w:p w14:paraId="3C102D5A">
                  <w:pPr>
                    <w:adjustRightInd w:val="0"/>
                    <w:snapToGrid w:val="0"/>
                    <w:jc w:val="center"/>
                    <w:rPr>
                      <w:rFonts w:cs="宋体"/>
                      <w:b/>
                      <w:color w:val="auto"/>
                      <w:kern w:val="18"/>
                      <w:szCs w:val="21"/>
                    </w:rPr>
                  </w:pPr>
                  <w:r>
                    <w:rPr>
                      <w:rFonts w:hint="eastAsia" w:cs="宋体"/>
                      <w:b/>
                      <w:color w:val="auto"/>
                      <w:kern w:val="18"/>
                      <w:szCs w:val="21"/>
                    </w:rPr>
                    <w:t>可行技术</w:t>
                  </w:r>
                </w:p>
              </w:tc>
            </w:tr>
            <w:tr w14:paraId="75B08E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6" w:hRule="atLeast"/>
                <w:jc w:val="center"/>
              </w:trPr>
              <w:tc>
                <w:tcPr>
                  <w:tcW w:w="403" w:type="pct"/>
                  <w:vMerge w:val="restart"/>
                  <w:vAlign w:val="center"/>
                </w:tcPr>
                <w:p w14:paraId="1901855B">
                  <w:pPr>
                    <w:pStyle w:val="44"/>
                    <w:adjustRightInd w:val="0"/>
                    <w:snapToGrid w:val="0"/>
                    <w:spacing w:line="240" w:lineRule="auto"/>
                    <w:jc w:val="left"/>
                    <w:rPr>
                      <w:rFonts w:cs="宋体"/>
                      <w:color w:val="auto"/>
                      <w:szCs w:val="21"/>
                      <w:lang w:eastAsia="zh-CN"/>
                    </w:rPr>
                  </w:pPr>
                  <w:r>
                    <w:rPr>
                      <w:rFonts w:hint="eastAsia" w:cs="宋体"/>
                      <w:color w:val="auto"/>
                      <w:szCs w:val="21"/>
                      <w:lang w:eastAsia="zh-CN"/>
                    </w:rPr>
                    <w:t>医疗污水</w:t>
                  </w:r>
                </w:p>
              </w:tc>
              <w:tc>
                <w:tcPr>
                  <w:tcW w:w="1336" w:type="pct"/>
                  <w:vMerge w:val="restart"/>
                  <w:vAlign w:val="center"/>
                </w:tcPr>
                <w:p w14:paraId="116DF0B1">
                  <w:pPr>
                    <w:adjustRightInd w:val="0"/>
                    <w:snapToGrid w:val="0"/>
                    <w:jc w:val="both"/>
                    <w:rPr>
                      <w:rFonts w:cs="宋体"/>
                      <w:color w:val="auto"/>
                      <w:kern w:val="18"/>
                      <w:szCs w:val="21"/>
                    </w:rPr>
                  </w:pPr>
                  <w:r>
                    <w:rPr>
                      <w:rFonts w:hint="eastAsia" w:cs="宋体"/>
                      <w:color w:val="auto"/>
                      <w:kern w:val="18"/>
                      <w:szCs w:val="21"/>
                    </w:rPr>
                    <w:t>粪大肠菌群数、道致病菌、肠道病毒、化学需氧量、氨氮、pH值、悬浮物、五日生化需氧量、动植物油、石油类、阴离子表面活性剂、挥发酚、色度、总氰化物、总余氯</w:t>
                  </w:r>
                </w:p>
              </w:tc>
              <w:tc>
                <w:tcPr>
                  <w:tcW w:w="711" w:type="pct"/>
                  <w:vAlign w:val="center"/>
                </w:tcPr>
                <w:p w14:paraId="1CF134E4">
                  <w:pPr>
                    <w:widowControl/>
                    <w:adjustRightInd w:val="0"/>
                    <w:snapToGrid w:val="0"/>
                    <w:jc w:val="both"/>
                    <w:rPr>
                      <w:rFonts w:cs="宋体"/>
                      <w:color w:val="auto"/>
                      <w:kern w:val="18"/>
                      <w:szCs w:val="21"/>
                    </w:rPr>
                  </w:pPr>
                  <w:r>
                    <w:rPr>
                      <w:rFonts w:hint="eastAsia" w:cs="宋体"/>
                      <w:color w:val="auto"/>
                      <w:kern w:val="0"/>
                      <w:szCs w:val="21"/>
                      <w:lang w:bidi="ar"/>
                    </w:rPr>
                    <w:t>进入海域、江、河、湖库等水体</w:t>
                  </w:r>
                </w:p>
              </w:tc>
              <w:tc>
                <w:tcPr>
                  <w:tcW w:w="2548" w:type="pct"/>
                  <w:vAlign w:val="center"/>
                </w:tcPr>
                <w:p w14:paraId="0F9A106B">
                  <w:pPr>
                    <w:widowControl/>
                    <w:adjustRightInd w:val="0"/>
                    <w:snapToGrid w:val="0"/>
                    <w:jc w:val="left"/>
                    <w:rPr>
                      <w:color w:val="auto"/>
                      <w:szCs w:val="21"/>
                    </w:rPr>
                  </w:pPr>
                  <w:r>
                    <w:rPr>
                      <w:rFonts w:hint="eastAsia" w:cs="宋体"/>
                      <w:color w:val="auto"/>
                      <w:kern w:val="0"/>
                      <w:szCs w:val="21"/>
                      <w:lang w:bidi="ar"/>
                    </w:rPr>
                    <w:t>二级处理</w:t>
                  </w:r>
                  <w:r>
                    <w:rPr>
                      <w:color w:val="auto"/>
                      <w:kern w:val="0"/>
                      <w:szCs w:val="21"/>
                      <w:lang w:bidi="ar"/>
                    </w:rPr>
                    <w:t>/</w:t>
                  </w:r>
                  <w:r>
                    <w:rPr>
                      <w:rFonts w:hint="eastAsia" w:cs="宋体"/>
                      <w:color w:val="auto"/>
                      <w:kern w:val="0"/>
                      <w:szCs w:val="21"/>
                      <w:lang w:bidi="ar"/>
                    </w:rPr>
                    <w:t>深度处理</w:t>
                  </w:r>
                  <w:r>
                    <w:rPr>
                      <w:color w:val="auto"/>
                      <w:kern w:val="0"/>
                      <w:szCs w:val="21"/>
                      <w:lang w:bidi="ar"/>
                    </w:rPr>
                    <w:t>+</w:t>
                  </w:r>
                  <w:r>
                    <w:rPr>
                      <w:rFonts w:hint="eastAsia" w:cs="宋体"/>
                      <w:color w:val="auto"/>
                      <w:kern w:val="0"/>
                      <w:szCs w:val="21"/>
                      <w:lang w:bidi="ar"/>
                    </w:rPr>
                    <w:t>消毒工艺。</w:t>
                  </w:r>
                </w:p>
                <w:p w14:paraId="1483C88E">
                  <w:pPr>
                    <w:widowControl/>
                    <w:adjustRightInd w:val="0"/>
                    <w:snapToGrid w:val="0"/>
                    <w:jc w:val="left"/>
                    <w:rPr>
                      <w:color w:val="auto"/>
                      <w:szCs w:val="21"/>
                    </w:rPr>
                  </w:pPr>
                  <w:r>
                    <w:rPr>
                      <w:rFonts w:hint="eastAsia" w:cs="宋体"/>
                      <w:color w:val="auto"/>
                      <w:kern w:val="0"/>
                      <w:szCs w:val="21"/>
                      <w:lang w:bidi="ar"/>
                    </w:rPr>
                    <w:t>二级处理包括：活性污泥法；生物膜法。</w:t>
                  </w:r>
                </w:p>
                <w:p w14:paraId="7354E320">
                  <w:pPr>
                    <w:widowControl/>
                    <w:adjustRightInd w:val="0"/>
                    <w:snapToGrid w:val="0"/>
                    <w:jc w:val="left"/>
                    <w:rPr>
                      <w:color w:val="auto"/>
                      <w:szCs w:val="21"/>
                    </w:rPr>
                  </w:pPr>
                  <w:r>
                    <w:rPr>
                      <w:rFonts w:hint="eastAsia" w:cs="宋体"/>
                      <w:color w:val="auto"/>
                      <w:kern w:val="0"/>
                      <w:szCs w:val="21"/>
                      <w:lang w:bidi="ar"/>
                    </w:rPr>
                    <w:t>深度处理包括：絮凝沉淀法；砂滤法；活性炭法；臭氧氧化法；膜分离法；生物脱氮除磷法。</w:t>
                  </w:r>
                </w:p>
                <w:p w14:paraId="5A6404C6">
                  <w:pPr>
                    <w:widowControl/>
                    <w:adjustRightInd w:val="0"/>
                    <w:snapToGrid w:val="0"/>
                    <w:jc w:val="left"/>
                    <w:rPr>
                      <w:rFonts w:cs="宋体"/>
                      <w:color w:val="auto"/>
                      <w:kern w:val="18"/>
                      <w:szCs w:val="21"/>
                    </w:rPr>
                  </w:pPr>
                  <w:r>
                    <w:rPr>
                      <w:rFonts w:hint="eastAsia" w:cs="宋体"/>
                      <w:color w:val="auto"/>
                      <w:kern w:val="0"/>
                      <w:szCs w:val="21"/>
                      <w:lang w:bidi="ar"/>
                    </w:rPr>
                    <w:t>消毒工艺：加氯消毒，臭氧法消毒，次氯酸钠法、二氧化氯法消毒、紫外线消毒等。</w:t>
                  </w:r>
                </w:p>
              </w:tc>
            </w:tr>
            <w:tr w14:paraId="709479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1" w:hRule="atLeast"/>
                <w:jc w:val="center"/>
              </w:trPr>
              <w:tc>
                <w:tcPr>
                  <w:tcW w:w="403" w:type="pct"/>
                  <w:vMerge w:val="continue"/>
                  <w:vAlign w:val="center"/>
                </w:tcPr>
                <w:p w14:paraId="38EFD1F9">
                  <w:pPr>
                    <w:pStyle w:val="44"/>
                    <w:adjustRightInd w:val="0"/>
                    <w:snapToGrid w:val="0"/>
                    <w:spacing w:line="240" w:lineRule="auto"/>
                    <w:jc w:val="left"/>
                    <w:rPr>
                      <w:rFonts w:cs="宋体"/>
                      <w:color w:val="auto"/>
                      <w:szCs w:val="21"/>
                      <w:lang w:eastAsia="zh-CN"/>
                    </w:rPr>
                  </w:pPr>
                </w:p>
              </w:tc>
              <w:tc>
                <w:tcPr>
                  <w:tcW w:w="1336" w:type="pct"/>
                  <w:vMerge w:val="continue"/>
                  <w:vAlign w:val="center"/>
                </w:tcPr>
                <w:p w14:paraId="5CAA8F36">
                  <w:pPr>
                    <w:adjustRightInd w:val="0"/>
                    <w:snapToGrid w:val="0"/>
                    <w:jc w:val="left"/>
                    <w:rPr>
                      <w:rFonts w:cs="宋体"/>
                      <w:color w:val="auto"/>
                      <w:kern w:val="18"/>
                      <w:szCs w:val="21"/>
                    </w:rPr>
                  </w:pPr>
                </w:p>
              </w:tc>
              <w:tc>
                <w:tcPr>
                  <w:tcW w:w="711" w:type="pct"/>
                  <w:vAlign w:val="center"/>
                </w:tcPr>
                <w:p w14:paraId="4FD9F933">
                  <w:pPr>
                    <w:widowControl/>
                    <w:adjustRightInd w:val="0"/>
                    <w:snapToGrid w:val="0"/>
                    <w:jc w:val="both"/>
                    <w:rPr>
                      <w:rFonts w:cs="宋体"/>
                      <w:color w:val="auto"/>
                      <w:kern w:val="18"/>
                      <w:szCs w:val="21"/>
                    </w:rPr>
                  </w:pPr>
                  <w:r>
                    <w:rPr>
                      <w:rFonts w:hint="eastAsia" w:cs="宋体"/>
                      <w:color w:val="auto"/>
                      <w:kern w:val="0"/>
                      <w:szCs w:val="21"/>
                      <w:lang w:bidi="ar"/>
                    </w:rPr>
                    <w:t>排入城镇污水处理厂</w:t>
                  </w:r>
                </w:p>
              </w:tc>
              <w:tc>
                <w:tcPr>
                  <w:tcW w:w="2548" w:type="pct"/>
                  <w:vAlign w:val="center"/>
                </w:tcPr>
                <w:p w14:paraId="66CEA93D">
                  <w:pPr>
                    <w:widowControl/>
                    <w:adjustRightInd w:val="0"/>
                    <w:snapToGrid w:val="0"/>
                    <w:jc w:val="left"/>
                    <w:rPr>
                      <w:rFonts w:cs="宋体"/>
                      <w:color w:val="auto"/>
                      <w:kern w:val="0"/>
                      <w:szCs w:val="21"/>
                      <w:lang w:bidi="ar"/>
                    </w:rPr>
                  </w:pPr>
                  <w:r>
                    <w:rPr>
                      <w:rFonts w:hint="eastAsia" w:cs="宋体"/>
                      <w:color w:val="auto"/>
                      <w:kern w:val="0"/>
                      <w:szCs w:val="21"/>
                      <w:lang w:bidi="ar"/>
                    </w:rPr>
                    <w:t>一级处理</w:t>
                  </w:r>
                  <w:r>
                    <w:rPr>
                      <w:color w:val="auto"/>
                      <w:kern w:val="0"/>
                      <w:szCs w:val="21"/>
                      <w:lang w:bidi="ar"/>
                    </w:rPr>
                    <w:t>/</w:t>
                  </w:r>
                  <w:r>
                    <w:rPr>
                      <w:rFonts w:hint="eastAsia" w:cs="宋体"/>
                      <w:color w:val="auto"/>
                      <w:kern w:val="0"/>
                      <w:szCs w:val="21"/>
                      <w:lang w:bidi="ar"/>
                    </w:rPr>
                    <w:t>一级强化处理</w:t>
                  </w:r>
                  <w:r>
                    <w:rPr>
                      <w:color w:val="auto"/>
                      <w:kern w:val="0"/>
                      <w:szCs w:val="21"/>
                      <w:lang w:bidi="ar"/>
                    </w:rPr>
                    <w:t>+</w:t>
                  </w:r>
                  <w:r>
                    <w:rPr>
                      <w:rFonts w:hint="eastAsia" w:cs="宋体"/>
                      <w:color w:val="auto"/>
                      <w:kern w:val="0"/>
                      <w:szCs w:val="21"/>
                      <w:lang w:bidi="ar"/>
                    </w:rPr>
                    <w:t>消毒工艺。</w:t>
                  </w:r>
                </w:p>
                <w:p w14:paraId="5BC01CC9">
                  <w:pPr>
                    <w:widowControl/>
                    <w:adjustRightInd w:val="0"/>
                    <w:snapToGrid w:val="0"/>
                    <w:jc w:val="left"/>
                    <w:rPr>
                      <w:color w:val="auto"/>
                      <w:szCs w:val="21"/>
                    </w:rPr>
                  </w:pPr>
                  <w:r>
                    <w:rPr>
                      <w:rFonts w:hint="eastAsia" w:cs="宋体"/>
                      <w:color w:val="auto"/>
                      <w:kern w:val="0"/>
                      <w:szCs w:val="21"/>
                      <w:lang w:bidi="ar"/>
                    </w:rPr>
                    <w:t>一级处理包括：筛滤法；沉淀法；气浮法；预曝气法。</w:t>
                  </w:r>
                </w:p>
                <w:p w14:paraId="09C7C27A">
                  <w:pPr>
                    <w:widowControl/>
                    <w:adjustRightInd w:val="0"/>
                    <w:snapToGrid w:val="0"/>
                    <w:jc w:val="left"/>
                    <w:rPr>
                      <w:color w:val="auto"/>
                      <w:szCs w:val="21"/>
                    </w:rPr>
                  </w:pPr>
                  <w:r>
                    <w:rPr>
                      <w:rFonts w:hint="eastAsia" w:cs="宋体"/>
                      <w:color w:val="auto"/>
                      <w:kern w:val="0"/>
                      <w:szCs w:val="21"/>
                      <w:lang w:bidi="ar"/>
                    </w:rPr>
                    <w:t>一级强化处理包括：化学混凝处理、机械过滤或不完全生物处理。</w:t>
                  </w:r>
                </w:p>
                <w:p w14:paraId="0863921C">
                  <w:pPr>
                    <w:widowControl/>
                    <w:adjustRightInd w:val="0"/>
                    <w:snapToGrid w:val="0"/>
                    <w:jc w:val="left"/>
                    <w:rPr>
                      <w:rFonts w:cs="宋体"/>
                      <w:color w:val="auto"/>
                      <w:kern w:val="18"/>
                      <w:szCs w:val="21"/>
                    </w:rPr>
                  </w:pPr>
                  <w:r>
                    <w:rPr>
                      <w:rFonts w:hint="eastAsia" w:cs="宋体"/>
                      <w:color w:val="auto"/>
                      <w:kern w:val="0"/>
                      <w:szCs w:val="21"/>
                      <w:lang w:bidi="ar"/>
                    </w:rPr>
                    <w:t>消毒工艺：加氯消毒，臭氧法消毒，次氯酸钠法、二氧化氯法消毒、紫外线消毒等。</w:t>
                  </w:r>
                </w:p>
              </w:tc>
            </w:tr>
          </w:tbl>
          <w:p w14:paraId="0F607595">
            <w:pPr>
              <w:keepNext w:val="0"/>
              <w:keepLines w:val="0"/>
              <w:pageBreakBefore w:val="0"/>
              <w:widowControl w:val="0"/>
              <w:kinsoku/>
              <w:wordWrap/>
              <w:overflowPunct/>
              <w:topLinePunct w:val="0"/>
              <w:autoSpaceDE/>
              <w:autoSpaceDN/>
              <w:bidi w:val="0"/>
              <w:adjustRightInd w:val="0"/>
              <w:snapToGrid w:val="0"/>
              <w:spacing w:before="313" w:beforeLines="100" w:line="360" w:lineRule="auto"/>
              <w:ind w:firstLine="480" w:firstLineChars="200"/>
              <w:textAlignment w:val="auto"/>
              <w:rPr>
                <w:color w:val="auto"/>
                <w:sz w:val="24"/>
              </w:rPr>
            </w:pPr>
            <w:r>
              <w:rPr>
                <w:rFonts w:hint="eastAsia"/>
                <w:color w:val="auto"/>
                <w:sz w:val="24"/>
              </w:rPr>
              <w:t>综合医疗废水中有机类杂质较多，</w:t>
            </w:r>
            <w:r>
              <w:rPr>
                <w:color w:val="auto"/>
                <w:sz w:val="24"/>
              </w:rPr>
              <w:t>CODcr</w:t>
            </w:r>
            <w:r>
              <w:rPr>
                <w:rFonts w:hint="eastAsia"/>
                <w:color w:val="auto"/>
                <w:sz w:val="24"/>
              </w:rPr>
              <w:t>、</w:t>
            </w:r>
            <w:r>
              <w:rPr>
                <w:color w:val="auto"/>
                <w:sz w:val="24"/>
              </w:rPr>
              <w:t>BOD</w:t>
            </w:r>
            <w:r>
              <w:rPr>
                <w:color w:val="auto"/>
                <w:sz w:val="24"/>
                <w:vertAlign w:val="subscript"/>
              </w:rPr>
              <w:t>5</w:t>
            </w:r>
            <w:r>
              <w:rPr>
                <w:rFonts w:hint="eastAsia"/>
                <w:color w:val="auto"/>
                <w:sz w:val="24"/>
              </w:rPr>
              <w:t>均较高，且</w:t>
            </w:r>
            <w:r>
              <w:rPr>
                <w:color w:val="auto"/>
                <w:sz w:val="24"/>
              </w:rPr>
              <w:t>BOD</w:t>
            </w:r>
            <w:r>
              <w:rPr>
                <w:color w:val="auto"/>
                <w:sz w:val="24"/>
                <w:vertAlign w:val="subscript"/>
              </w:rPr>
              <w:t>5</w:t>
            </w:r>
            <w:r>
              <w:rPr>
                <w:color w:val="auto"/>
                <w:sz w:val="24"/>
              </w:rPr>
              <w:t>/CODcr</w:t>
            </w:r>
            <w:r>
              <w:rPr>
                <w:rFonts w:hint="eastAsia"/>
                <w:color w:val="auto"/>
                <w:sz w:val="24"/>
              </w:rPr>
              <w:t>之值大于</w:t>
            </w:r>
            <w:r>
              <w:rPr>
                <w:color w:val="auto"/>
                <w:sz w:val="24"/>
              </w:rPr>
              <w:t>0.4</w:t>
            </w:r>
            <w:r>
              <w:rPr>
                <w:rFonts w:hint="eastAsia"/>
                <w:color w:val="auto"/>
                <w:sz w:val="24"/>
              </w:rPr>
              <w:t>，生化性能较好。为确保污水达标排放，因此宜采用以</w:t>
            </w:r>
            <w:r>
              <w:rPr>
                <w:color w:val="auto"/>
                <w:sz w:val="24"/>
              </w:rPr>
              <w:t>A/O</w:t>
            </w:r>
            <w:r>
              <w:rPr>
                <w:rFonts w:hint="eastAsia"/>
                <w:color w:val="auto"/>
                <w:sz w:val="24"/>
              </w:rPr>
              <w:t>生物接触氧化+MBR膜处理为主加消毒的工艺处理流程。污水汇集到化粪池进行厌氧消化后进入沉淀池，沉淀池中污水由提升泵提升进入一体化污水处理设备，污水在设备中经过厌氧、好氧、膜处理消毒等处理过程，出水达标排放。</w:t>
            </w:r>
          </w:p>
          <w:p w14:paraId="6D261787">
            <w:pPr>
              <w:adjustRightInd w:val="0"/>
              <w:snapToGrid w:val="0"/>
              <w:spacing w:line="360" w:lineRule="auto"/>
              <w:ind w:firstLine="420" w:firstLineChars="200"/>
              <w:jc w:val="center"/>
              <w:rPr>
                <w:rFonts w:hint="eastAsia" w:eastAsia="宋体"/>
                <w:color w:val="auto"/>
                <w:lang w:eastAsia="zh-CN"/>
              </w:rPr>
            </w:pPr>
            <w:r>
              <w:rPr>
                <w:rFonts w:hint="eastAsia" w:eastAsia="宋体"/>
                <w:color w:val="auto"/>
                <w:lang w:eastAsia="zh-CN"/>
              </w:rPr>
              <w:drawing>
                <wp:inline distT="0" distB="0" distL="114300" distR="114300">
                  <wp:extent cx="4227195" cy="4168775"/>
                  <wp:effectExtent l="0" t="0" r="0" b="0"/>
                  <wp:docPr id="2" name="图片 2" descr="华林-污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华林-污水"/>
                          <pic:cNvPicPr>
                            <a:picLocks noChangeAspect="1"/>
                          </pic:cNvPicPr>
                        </pic:nvPicPr>
                        <pic:blipFill>
                          <a:blip r:embed="rId12"/>
                          <a:stretch>
                            <a:fillRect/>
                          </a:stretch>
                        </pic:blipFill>
                        <pic:spPr>
                          <a:xfrm>
                            <a:off x="0" y="0"/>
                            <a:ext cx="4227195" cy="4168775"/>
                          </a:xfrm>
                          <a:prstGeom prst="rect">
                            <a:avLst/>
                          </a:prstGeom>
                        </pic:spPr>
                      </pic:pic>
                    </a:graphicData>
                  </a:graphic>
                </wp:inline>
              </w:drawing>
            </w:r>
          </w:p>
          <w:p w14:paraId="1DBEF567">
            <w:pPr>
              <w:adjustRightInd w:val="0"/>
              <w:snapToGrid w:val="0"/>
              <w:spacing w:line="360" w:lineRule="auto"/>
              <w:ind w:firstLine="422" w:firstLineChars="200"/>
              <w:jc w:val="center"/>
              <w:rPr>
                <w:b/>
                <w:bCs/>
                <w:color w:val="auto"/>
                <w:szCs w:val="21"/>
              </w:rPr>
            </w:pPr>
            <w:r>
              <w:rPr>
                <w:rFonts w:hint="eastAsia"/>
                <w:b/>
                <w:bCs/>
                <w:color w:val="auto"/>
                <w:szCs w:val="21"/>
              </w:rPr>
              <w:t>图4-</w:t>
            </w:r>
            <w:r>
              <w:rPr>
                <w:rFonts w:hint="eastAsia"/>
                <w:b/>
                <w:bCs/>
                <w:color w:val="auto"/>
                <w:szCs w:val="21"/>
                <w:lang w:val="en-US" w:eastAsia="zh-CN"/>
              </w:rPr>
              <w:t>2</w:t>
            </w:r>
            <w:r>
              <w:rPr>
                <w:rFonts w:hint="eastAsia"/>
                <w:b/>
                <w:bCs/>
                <w:color w:val="auto"/>
                <w:szCs w:val="21"/>
              </w:rPr>
              <w:t xml:space="preserve"> 污水处理站工艺流程</w:t>
            </w:r>
          </w:p>
          <w:p w14:paraId="04CF61B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根据《医院污水处理工程技术规范》（HJ2029-2013）</w:t>
            </w:r>
            <w:r>
              <w:rPr>
                <w:rFonts w:hint="eastAsia" w:ascii="Times New Roman" w:hAnsi="Times New Roman" w:eastAsia="宋体" w:cs="Times New Roman"/>
                <w:color w:val="auto"/>
                <w:kern w:val="0"/>
                <w:sz w:val="24"/>
                <w:szCs w:val="24"/>
                <w:lang w:val="en-US" w:eastAsia="zh-CN" w:bidi="ar"/>
              </w:rPr>
              <w:t>，项目污水处理工艺属于“</w:t>
            </w:r>
            <w:r>
              <w:rPr>
                <w:rFonts w:hint="eastAsia" w:cs="Times New Roman"/>
                <w:color w:val="auto"/>
                <w:kern w:val="0"/>
                <w:sz w:val="24"/>
                <w:szCs w:val="24"/>
                <w:lang w:val="en-US" w:eastAsia="zh-CN" w:bidi="ar"/>
              </w:rPr>
              <w:t>生化+MBR膜处理+消毒</w:t>
            </w:r>
            <w:r>
              <w:rPr>
                <w:rFonts w:hint="eastAsia" w:ascii="Times New Roman" w:hAnsi="Times New Roman" w:eastAsia="宋体" w:cs="Times New Roman"/>
                <w:color w:val="auto"/>
                <w:kern w:val="0"/>
                <w:sz w:val="24"/>
                <w:szCs w:val="24"/>
                <w:lang w:val="en-US" w:eastAsia="zh-CN" w:bidi="ar"/>
              </w:rPr>
              <w:t>”，处理技术可行。项目污水处理构筑物作用如下。</w:t>
            </w:r>
          </w:p>
          <w:p w14:paraId="6A7E48FF">
            <w:pPr>
              <w:pStyle w:val="2"/>
              <w:keepNext w:val="0"/>
              <w:keepLines w:val="0"/>
              <w:pageBreakBefore w:val="0"/>
              <w:kinsoku/>
              <w:wordWrap/>
              <w:overflowPunct/>
              <w:topLinePunct w:val="0"/>
              <w:autoSpaceDE/>
              <w:autoSpaceDN/>
              <w:bidi w:val="0"/>
              <w:spacing w:line="360" w:lineRule="auto"/>
              <w:ind w:firstLine="482" w:firstLineChars="200"/>
              <w:jc w:val="both"/>
              <w:textAlignment w:val="auto"/>
              <w:outlineLvl w:val="9"/>
              <w:rPr>
                <w:rFonts w:hint="default" w:ascii="Times New Roman" w:hAnsi="Times New Roman" w:eastAsia="宋体"/>
                <w:color w:val="auto"/>
                <w:sz w:val="24"/>
                <w:lang w:val="en-US" w:eastAsia="zh-CN"/>
              </w:rPr>
            </w:pPr>
            <w:r>
              <w:rPr>
                <w:rFonts w:hint="eastAsia" w:ascii="Times New Roman" w:hAnsi="Times New Roman" w:eastAsia="宋体" w:cs="微软雅黑"/>
                <w:b/>
                <w:bCs/>
                <w:color w:val="auto"/>
                <w:sz w:val="24"/>
                <w:lang w:val="en-US" w:eastAsia="zh-CN"/>
              </w:rPr>
              <w:t>①</w:t>
            </w:r>
            <w:r>
              <w:rPr>
                <w:rFonts w:hint="eastAsia" w:ascii="Times New Roman" w:hAnsi="Times New Roman" w:eastAsia="宋体" w:cs="Times New Roman"/>
                <w:b/>
                <w:bCs/>
                <w:color w:val="auto"/>
                <w:kern w:val="0"/>
                <w:sz w:val="24"/>
                <w:szCs w:val="24"/>
                <w:lang w:val="en-US" w:eastAsia="zh-CN" w:bidi="ar"/>
              </w:rPr>
              <w:t>隔油池：</w:t>
            </w:r>
            <w:r>
              <w:rPr>
                <w:rFonts w:hint="eastAsia" w:ascii="Times New Roman" w:hAnsi="Times New Roman" w:eastAsia="宋体" w:cs="Times New Roman"/>
                <w:color w:val="auto"/>
                <w:kern w:val="0"/>
                <w:sz w:val="24"/>
                <w:szCs w:val="24"/>
                <w:lang w:val="en-US" w:eastAsia="zh-CN" w:bidi="ar"/>
              </w:rPr>
              <w:t>项目</w:t>
            </w:r>
            <w:r>
              <w:rPr>
                <w:rFonts w:hint="eastAsia" w:ascii="Times New Roman" w:hAnsi="Times New Roman" w:eastAsia="宋体"/>
                <w:color w:val="auto"/>
                <w:sz w:val="24"/>
              </w:rPr>
              <w:t>食堂</w:t>
            </w:r>
            <w:r>
              <w:rPr>
                <w:rFonts w:hint="eastAsia" w:ascii="Times New Roman" w:hAnsi="Times New Roman" w:eastAsia="宋体"/>
                <w:color w:val="auto"/>
                <w:sz w:val="24"/>
                <w:lang w:val="en-US" w:eastAsia="zh-CN"/>
              </w:rPr>
              <w:t>产生的</w:t>
            </w:r>
            <w:r>
              <w:rPr>
                <w:rFonts w:hint="eastAsia" w:ascii="Times New Roman" w:hAnsi="Times New Roman" w:eastAsia="宋体"/>
                <w:color w:val="auto"/>
                <w:sz w:val="24"/>
              </w:rPr>
              <w:t>含油废水</w:t>
            </w:r>
            <w:r>
              <w:rPr>
                <w:rFonts w:hint="eastAsia" w:ascii="Times New Roman" w:hAnsi="Times New Roman" w:eastAsia="宋体"/>
                <w:color w:val="auto"/>
                <w:sz w:val="24"/>
                <w:lang w:val="en-US" w:eastAsia="zh-CN"/>
              </w:rPr>
              <w:t>需</w:t>
            </w:r>
            <w:r>
              <w:rPr>
                <w:rFonts w:hint="eastAsia" w:ascii="Times New Roman" w:hAnsi="Times New Roman" w:eastAsia="宋体"/>
                <w:color w:val="auto"/>
                <w:sz w:val="24"/>
              </w:rPr>
              <w:t>经过隔油池处理后，去除废水中的油污类物质，</w:t>
            </w:r>
            <w:r>
              <w:rPr>
                <w:rFonts w:hint="eastAsia" w:ascii="Times New Roman" w:hAnsi="Times New Roman" w:eastAsia="宋体"/>
                <w:color w:val="auto"/>
                <w:sz w:val="24"/>
                <w:lang w:val="en-US" w:eastAsia="zh-CN"/>
              </w:rPr>
              <w:t>再进入化粪池，然后与其他废水一同进入项目污水处理站，容积为</w:t>
            </w:r>
            <w:r>
              <w:rPr>
                <w:rFonts w:hint="eastAsia"/>
                <w:color w:val="auto"/>
                <w:sz w:val="24"/>
                <w:lang w:val="en-US" w:eastAsia="zh-CN"/>
              </w:rPr>
              <w:t>2</w:t>
            </w:r>
            <w:r>
              <w:rPr>
                <w:rFonts w:hint="eastAsia" w:ascii="Times New Roman" w:hAnsi="Times New Roman" w:eastAsia="宋体"/>
                <w:color w:val="auto"/>
                <w:sz w:val="24"/>
                <w:lang w:val="en-US" w:eastAsia="zh-CN"/>
              </w:rPr>
              <w:t>m</w:t>
            </w:r>
            <w:r>
              <w:rPr>
                <w:rFonts w:hint="eastAsia" w:ascii="Times New Roman" w:hAnsi="Times New Roman" w:eastAsia="宋体"/>
                <w:color w:val="auto"/>
                <w:sz w:val="24"/>
                <w:vertAlign w:val="superscript"/>
                <w:lang w:val="en-US" w:eastAsia="zh-CN"/>
              </w:rPr>
              <w:t>3</w:t>
            </w:r>
            <w:r>
              <w:rPr>
                <w:rFonts w:hint="eastAsia" w:ascii="Times New Roman" w:hAnsi="Times New Roman" w:eastAsia="宋体"/>
                <w:color w:val="auto"/>
                <w:sz w:val="24"/>
                <w:vertAlign w:val="baseline"/>
                <w:lang w:val="en-US" w:eastAsia="zh-CN"/>
              </w:rPr>
              <w:t>，可以</w:t>
            </w:r>
            <w:r>
              <w:rPr>
                <w:rFonts w:hint="eastAsia" w:ascii="Times New Roman" w:hAnsi="Times New Roman" w:eastAsia="宋体"/>
                <w:color w:val="auto"/>
                <w:sz w:val="24"/>
              </w:rPr>
              <w:t>满足《医疗机构水污染物排放标准》（G</w:t>
            </w:r>
            <w:r>
              <w:rPr>
                <w:rFonts w:ascii="Times New Roman" w:hAnsi="Times New Roman" w:eastAsia="宋体"/>
                <w:color w:val="auto"/>
                <w:sz w:val="24"/>
              </w:rPr>
              <w:t>B18466-2005</w:t>
            </w:r>
            <w:r>
              <w:rPr>
                <w:rFonts w:hint="eastAsia" w:ascii="Times New Roman" w:hAnsi="Times New Roman" w:eastAsia="宋体"/>
                <w:color w:val="auto"/>
                <w:sz w:val="24"/>
              </w:rPr>
              <w:t>）中“含油废水应设置隔油池处理”的要求，处理设施合理可行。</w:t>
            </w:r>
          </w:p>
          <w:p w14:paraId="032185F6">
            <w:pPr>
              <w:keepNext w:val="0"/>
              <w:keepLines w:val="0"/>
              <w:pageBreakBefore w:val="0"/>
              <w:kinsoku/>
              <w:wordWrap/>
              <w:overflowPunct/>
              <w:topLinePunct w:val="0"/>
              <w:autoSpaceDE/>
              <w:autoSpaceDN/>
              <w:bidi w:val="0"/>
              <w:adjustRightInd w:val="0"/>
              <w:snapToGrid w:val="0"/>
              <w:spacing w:line="360" w:lineRule="auto"/>
              <w:ind w:firstLine="482" w:firstLineChars="200"/>
              <w:jc w:val="both"/>
              <w:textAlignment w:val="auto"/>
              <w:outlineLvl w:val="9"/>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微软雅黑"/>
                <w:b/>
                <w:bCs/>
                <w:color w:val="auto"/>
                <w:kern w:val="0"/>
                <w:sz w:val="24"/>
                <w:szCs w:val="24"/>
                <w:lang w:val="en-US" w:eastAsia="zh-CN" w:bidi="ar"/>
              </w:rPr>
              <w:t>②</w:t>
            </w:r>
            <w:r>
              <w:rPr>
                <w:rFonts w:hint="eastAsia"/>
                <w:b/>
                <w:bCs/>
                <w:color w:val="auto"/>
                <w:sz w:val="24"/>
                <w:lang w:val="en-US" w:eastAsia="zh-CN"/>
              </w:rPr>
              <w:t>沉淀</w:t>
            </w:r>
            <w:r>
              <w:rPr>
                <w:rFonts w:hint="eastAsia" w:ascii="Times New Roman" w:hAnsi="Times New Roman" w:eastAsia="宋体"/>
                <w:b/>
                <w:bCs/>
                <w:color w:val="auto"/>
                <w:sz w:val="24"/>
              </w:rPr>
              <w:t>池</w:t>
            </w:r>
            <w:r>
              <w:rPr>
                <w:rFonts w:hint="eastAsia" w:ascii="Times New Roman" w:hAnsi="Times New Roman" w:eastAsia="宋体"/>
                <w:b/>
                <w:bCs/>
                <w:color w:val="auto"/>
                <w:sz w:val="24"/>
                <w:lang w:eastAsia="zh-CN"/>
              </w:rPr>
              <w:t>：</w:t>
            </w:r>
            <w:r>
              <w:rPr>
                <w:rFonts w:hint="eastAsia" w:ascii="Times New Roman" w:hAnsi="Times New Roman" w:eastAsia="宋体" w:cs="Times New Roman"/>
                <w:color w:val="auto"/>
                <w:kern w:val="2"/>
                <w:sz w:val="24"/>
                <w:szCs w:val="24"/>
                <w:lang w:val="en-US" w:eastAsia="zh-CN" w:bidi="ar-SA"/>
              </w:rPr>
              <w:t>主要作用是去除污水中的部分悬浮物和污染物，调节水质，并降低有机物含量。</w:t>
            </w:r>
          </w:p>
          <w:p w14:paraId="599FB20E">
            <w:pPr>
              <w:keepNext w:val="0"/>
              <w:keepLines w:val="0"/>
              <w:pageBreakBefore w:val="0"/>
              <w:kinsoku/>
              <w:wordWrap/>
              <w:overflowPunct/>
              <w:topLinePunct w:val="0"/>
              <w:autoSpaceDE/>
              <w:autoSpaceDN/>
              <w:bidi w:val="0"/>
              <w:adjustRightInd w:val="0"/>
              <w:snapToGrid w:val="0"/>
              <w:spacing w:line="360" w:lineRule="auto"/>
              <w:ind w:firstLine="482" w:firstLineChars="200"/>
              <w:jc w:val="both"/>
              <w:textAlignment w:val="auto"/>
              <w:outlineLvl w:val="9"/>
              <w:rPr>
                <w:rFonts w:hint="eastAsia" w:ascii="Times New Roman" w:hAnsi="Times New Roman" w:eastAsia="宋体"/>
                <w:color w:val="auto"/>
                <w:sz w:val="24"/>
              </w:rPr>
            </w:pPr>
            <w:r>
              <w:rPr>
                <w:rFonts w:hint="eastAsia" w:ascii="Times New Roman" w:hAnsi="Times New Roman" w:eastAsia="宋体" w:cs="微软雅黑"/>
                <w:b/>
                <w:bCs/>
                <w:color w:val="auto"/>
                <w:sz w:val="24"/>
              </w:rPr>
              <w:t>③</w:t>
            </w:r>
            <w:r>
              <w:rPr>
                <w:rFonts w:hint="eastAsia" w:ascii="Times New Roman" w:hAnsi="Times New Roman" w:eastAsia="宋体"/>
                <w:b/>
                <w:bCs/>
                <w:color w:val="auto"/>
                <w:sz w:val="24"/>
              </w:rPr>
              <w:t>A池（缺氧池）</w:t>
            </w:r>
            <w:r>
              <w:rPr>
                <w:rFonts w:hint="eastAsia" w:ascii="Times New Roman" w:hAnsi="Times New Roman" w:eastAsia="宋体"/>
                <w:b/>
                <w:bCs/>
                <w:color w:val="auto"/>
                <w:sz w:val="24"/>
                <w:lang w:eastAsia="zh-CN"/>
              </w:rPr>
              <w:t>：</w:t>
            </w:r>
            <w:r>
              <w:rPr>
                <w:rFonts w:ascii="Times New Roman" w:hAnsi="Times New Roman" w:eastAsia="宋体"/>
                <w:color w:val="auto"/>
                <w:sz w:val="24"/>
              </w:rPr>
              <w:t>A</w:t>
            </w:r>
            <w:r>
              <w:rPr>
                <w:rFonts w:hint="eastAsia" w:ascii="Times New Roman" w:hAnsi="Times New Roman" w:eastAsia="宋体"/>
                <w:color w:val="auto"/>
                <w:sz w:val="24"/>
              </w:rPr>
              <w:t>池将污水进一步混合，充分利用池内高效生物弹性填料作为细菌载体，靠兼氧微生物将污水中难溶解有机物转化为可溶解性有机物，将大分子有机物水解成小分子有机物，以利于后</w:t>
            </w:r>
            <w:r>
              <w:rPr>
                <w:rFonts w:hint="eastAsia" w:ascii="Times New Roman" w:hAnsi="Times New Roman" w:eastAsia="宋体"/>
                <w:color w:val="auto"/>
                <w:sz w:val="24"/>
                <w:lang w:val="en-US" w:eastAsia="zh-CN"/>
              </w:rPr>
              <w:t>续</w:t>
            </w:r>
            <w:r>
              <w:rPr>
                <w:rFonts w:ascii="Times New Roman" w:hAnsi="Times New Roman" w:eastAsia="宋体"/>
                <w:color w:val="auto"/>
                <w:sz w:val="24"/>
              </w:rPr>
              <w:t>O</w:t>
            </w:r>
            <w:r>
              <w:rPr>
                <w:rFonts w:hint="eastAsia" w:ascii="Times New Roman" w:hAnsi="Times New Roman" w:eastAsia="宋体"/>
                <w:color w:val="auto"/>
                <w:sz w:val="24"/>
              </w:rPr>
              <w:t>级生物处理池进一步氧化分解，同时通过回流的</w:t>
            </w:r>
            <w:r>
              <w:rPr>
                <w:rFonts w:hint="eastAsia" w:ascii="Times New Roman" w:hAnsi="Times New Roman" w:eastAsia="宋体"/>
                <w:color w:val="auto"/>
                <w:sz w:val="24"/>
                <w:lang w:val="en-US" w:eastAsia="zh-CN"/>
              </w:rPr>
              <w:t>硝态氮</w:t>
            </w:r>
            <w:r>
              <w:rPr>
                <w:rFonts w:hint="eastAsia" w:ascii="Times New Roman" w:hAnsi="Times New Roman" w:eastAsia="宋体"/>
                <w:color w:val="auto"/>
                <w:sz w:val="24"/>
              </w:rPr>
              <w:t>在</w:t>
            </w:r>
            <w:r>
              <w:rPr>
                <w:rFonts w:hint="eastAsia" w:ascii="Times New Roman" w:hAnsi="Times New Roman" w:eastAsia="宋体"/>
                <w:color w:val="auto"/>
                <w:sz w:val="24"/>
                <w:lang w:val="en-US" w:eastAsia="zh-CN"/>
              </w:rPr>
              <w:t>反</w:t>
            </w:r>
            <w:r>
              <w:rPr>
                <w:rFonts w:hint="eastAsia" w:ascii="Times New Roman" w:hAnsi="Times New Roman" w:eastAsia="宋体"/>
                <w:color w:val="auto"/>
                <w:sz w:val="24"/>
              </w:rPr>
              <w:t>硝化菌的作用下</w:t>
            </w:r>
            <w:r>
              <w:rPr>
                <w:rFonts w:hint="eastAsia" w:ascii="Times New Roman" w:hAnsi="Times New Roman" w:eastAsia="宋体"/>
                <w:color w:val="auto"/>
                <w:sz w:val="24"/>
                <w:lang w:val="en-US" w:eastAsia="zh-CN"/>
              </w:rPr>
              <w:t>转化为氮气</w:t>
            </w:r>
            <w:r>
              <w:rPr>
                <w:rFonts w:hint="eastAsia" w:ascii="Times New Roman" w:hAnsi="Times New Roman" w:eastAsia="宋体"/>
                <w:color w:val="auto"/>
                <w:sz w:val="24"/>
              </w:rPr>
              <w:t>。</w:t>
            </w:r>
          </w:p>
          <w:p w14:paraId="04887368">
            <w:pPr>
              <w:keepNext w:val="0"/>
              <w:keepLines w:val="0"/>
              <w:pageBreakBefore w:val="0"/>
              <w:kinsoku/>
              <w:wordWrap/>
              <w:overflowPunct/>
              <w:topLinePunct w:val="0"/>
              <w:autoSpaceDE/>
              <w:autoSpaceDN/>
              <w:bidi w:val="0"/>
              <w:adjustRightInd w:val="0"/>
              <w:snapToGrid w:val="0"/>
              <w:spacing w:line="360" w:lineRule="auto"/>
              <w:ind w:firstLine="482" w:firstLineChars="200"/>
              <w:jc w:val="both"/>
              <w:textAlignment w:val="auto"/>
              <w:outlineLvl w:val="9"/>
              <w:rPr>
                <w:rFonts w:hint="eastAsia" w:ascii="Times New Roman" w:hAnsi="Times New Roman" w:eastAsia="宋体"/>
                <w:color w:val="auto"/>
                <w:sz w:val="24"/>
              </w:rPr>
            </w:pPr>
            <w:r>
              <w:rPr>
                <w:rFonts w:hint="eastAsia" w:ascii="Times New Roman" w:hAnsi="Times New Roman" w:eastAsia="宋体"/>
                <w:b/>
                <w:bCs/>
                <w:color w:val="auto"/>
                <w:sz w:val="24"/>
              </w:rPr>
              <w:t>③O</w:t>
            </w:r>
            <w:r>
              <w:rPr>
                <w:rFonts w:hint="eastAsia" w:ascii="Times New Roman" w:hAnsi="Times New Roman" w:eastAsia="宋体"/>
                <w:b/>
                <w:bCs/>
                <w:color w:val="auto"/>
                <w:sz w:val="24"/>
                <w:lang w:val="en-US" w:eastAsia="zh-CN"/>
              </w:rPr>
              <w:t>池</w:t>
            </w:r>
            <w:r>
              <w:rPr>
                <w:rFonts w:hint="eastAsia" w:ascii="Times New Roman" w:hAnsi="Times New Roman" w:eastAsia="宋体"/>
                <w:b/>
                <w:bCs/>
                <w:color w:val="auto"/>
                <w:sz w:val="24"/>
              </w:rPr>
              <w:t>（生物接触氧化池）：</w:t>
            </w:r>
            <w:r>
              <w:rPr>
                <w:rFonts w:hint="eastAsia" w:ascii="Times New Roman" w:hAnsi="Times New Roman" w:eastAsia="宋体"/>
                <w:color w:val="auto"/>
                <w:sz w:val="24"/>
              </w:rPr>
              <w:t>该池为污水处理的核心部分，分二段，前一段在较高的有机负荷下，通过附着于填料上的大量不同种属的微生物群落共同参与下的生化降解和吸附作用，去除污水中的各种有机物质，使污水中的有机物含量大幅度降低。后段在有机负荷较低的情况下，通过硝化菌的作用，在氧量充足的条件下降解污水中的氨氮，同时也使污水中的COD值降低到更低的水平，使污水得以净化。</w:t>
            </w:r>
          </w:p>
          <w:p w14:paraId="3D511FDB">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eastAsia" w:ascii="Times New Roman" w:hAnsi="Times New Roman" w:eastAsia="宋体"/>
                <w:color w:val="auto"/>
                <w:sz w:val="24"/>
                <w:lang w:val="en-US" w:eastAsia="zh-CN"/>
              </w:rPr>
            </w:pPr>
            <w:r>
              <w:rPr>
                <w:rFonts w:hint="eastAsia" w:ascii="Times New Roman" w:hAnsi="Times New Roman" w:eastAsia="宋体" w:cs="微软雅黑"/>
                <w:b/>
                <w:bCs/>
                <w:color w:val="auto"/>
                <w:sz w:val="24"/>
              </w:rPr>
              <w:t>④</w:t>
            </w:r>
            <w:r>
              <w:rPr>
                <w:rFonts w:hint="eastAsia" w:ascii="Times New Roman" w:hAnsi="Times New Roman" w:eastAsia="宋体"/>
                <w:b/>
                <w:bCs/>
                <w:color w:val="auto"/>
                <w:sz w:val="24"/>
                <w:lang w:val="en-US" w:eastAsia="zh-CN"/>
              </w:rPr>
              <w:t>MBR膜池：</w:t>
            </w:r>
            <w:r>
              <w:rPr>
                <w:rFonts w:hint="eastAsia" w:ascii="Times New Roman" w:hAnsi="Times New Roman" w:eastAsia="宋体"/>
                <w:color w:val="auto"/>
                <w:sz w:val="24"/>
              </w:rPr>
              <w:t>是一种由活性污泥法与膜分离技术相结合的新型水处理技术</w:t>
            </w: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用</w:t>
            </w:r>
            <w:r>
              <w:rPr>
                <w:rFonts w:hint="eastAsia" w:ascii="Times New Roman" w:hAnsi="Times New Roman" w:eastAsia="宋体"/>
                <w:color w:val="auto"/>
                <w:sz w:val="24"/>
                <w:szCs w:val="24"/>
                <w:highlight w:val="none"/>
                <w:lang w:val="en-US" w:eastAsia="zh-CN"/>
              </w:rPr>
              <w:t>MBR膜</w:t>
            </w:r>
            <w:r>
              <w:rPr>
                <w:rFonts w:hint="eastAsia" w:ascii="Times New Roman" w:hAnsi="Times New Roman" w:eastAsia="宋体"/>
                <w:color w:val="auto"/>
                <w:sz w:val="24"/>
              </w:rPr>
              <w:t>分离过程取代传统活性污泥法中二沉池</w:t>
            </w:r>
            <w:r>
              <w:rPr>
                <w:rFonts w:hint="eastAsia" w:ascii="Times New Roman" w:hAnsi="Times New Roman" w:eastAsia="宋体"/>
                <w:color w:val="auto"/>
                <w:sz w:val="24"/>
                <w:lang w:val="en-US" w:eastAsia="zh-CN"/>
              </w:rPr>
              <w:t>依靠</w:t>
            </w:r>
            <w:r>
              <w:rPr>
                <w:rFonts w:hint="eastAsia" w:ascii="Times New Roman" w:hAnsi="Times New Roman" w:eastAsia="宋体"/>
                <w:color w:val="auto"/>
                <w:sz w:val="24"/>
              </w:rPr>
              <w:t>活性污泥的沉降性能</w:t>
            </w:r>
            <w:r>
              <w:rPr>
                <w:rFonts w:hint="eastAsia" w:ascii="Times New Roman" w:hAnsi="Times New Roman" w:eastAsia="宋体"/>
                <w:color w:val="auto"/>
                <w:sz w:val="24"/>
                <w:lang w:val="en-US" w:eastAsia="zh-CN"/>
              </w:rPr>
              <w:t>来实现</w:t>
            </w:r>
            <w:r>
              <w:rPr>
                <w:rFonts w:hint="eastAsia" w:ascii="Times New Roman" w:hAnsi="Times New Roman" w:eastAsia="宋体"/>
                <w:color w:val="auto"/>
                <w:sz w:val="24"/>
              </w:rPr>
              <w:t>泥水分离</w:t>
            </w:r>
            <w:r>
              <w:rPr>
                <w:rFonts w:hint="eastAsia" w:ascii="Times New Roman" w:hAnsi="Times New Roman" w:eastAsia="宋体"/>
                <w:color w:val="auto"/>
                <w:sz w:val="24"/>
                <w:lang w:val="en-US" w:eastAsia="zh-CN"/>
              </w:rPr>
              <w:t>过程。</w:t>
            </w:r>
          </w:p>
          <w:p w14:paraId="2CCA9AB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eastAsia="宋体"/>
                <w:color w:val="auto"/>
                <w:sz w:val="24"/>
              </w:rPr>
            </w:pPr>
            <w:r>
              <w:rPr>
                <w:rFonts w:hint="eastAsia" w:ascii="Times New Roman" w:hAnsi="Times New Roman" w:eastAsia="宋体"/>
                <w:color w:val="auto"/>
                <w:sz w:val="24"/>
              </w:rPr>
              <w:t>MBR</w:t>
            </w:r>
            <w:r>
              <w:rPr>
                <w:rFonts w:hint="eastAsia" w:ascii="Times New Roman" w:hAnsi="Times New Roman" w:eastAsia="宋体"/>
                <w:color w:val="auto"/>
                <w:sz w:val="24"/>
                <w:lang w:val="en-US" w:eastAsia="zh-CN"/>
              </w:rPr>
              <w:t>能够</w:t>
            </w:r>
            <w:r>
              <w:rPr>
                <w:rFonts w:hint="eastAsia" w:ascii="Times New Roman" w:hAnsi="Times New Roman" w:eastAsia="宋体"/>
                <w:color w:val="auto"/>
                <w:sz w:val="24"/>
              </w:rPr>
              <w:t>大大提高固液分离效率</w:t>
            </w:r>
            <w:r>
              <w:rPr>
                <w:rFonts w:hint="eastAsia" w:ascii="Times New Roman" w:hAnsi="Times New Roman" w:eastAsia="宋体"/>
                <w:color w:val="auto"/>
                <w:sz w:val="24"/>
                <w:lang w:val="en-US" w:eastAsia="zh-CN"/>
              </w:rPr>
              <w:t>和</w:t>
            </w:r>
            <w:r>
              <w:rPr>
                <w:rFonts w:hint="eastAsia" w:ascii="Times New Roman" w:hAnsi="Times New Roman" w:eastAsia="宋体"/>
                <w:color w:val="auto"/>
                <w:sz w:val="24"/>
              </w:rPr>
              <w:t>生化反应速率</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同时降低F/M比减少剩余污泥产生量</w:t>
            </w:r>
            <w:r>
              <w:rPr>
                <w:rFonts w:hint="eastAsia" w:ascii="Times New Roman" w:hAnsi="Times New Roman" w:eastAsia="宋体"/>
                <w:color w:val="auto"/>
                <w:sz w:val="24"/>
                <w:szCs w:val="24"/>
                <w:highlight w:val="none"/>
                <w:lang w:val="en-US" w:eastAsia="zh-CN"/>
              </w:rPr>
              <w:t>，甚至无剩余污泥排放，</w:t>
            </w:r>
            <w:r>
              <w:rPr>
                <w:rFonts w:hint="eastAsia" w:ascii="Times New Roman" w:hAnsi="Times New Roman" w:eastAsia="宋体"/>
                <w:color w:val="auto"/>
                <w:sz w:val="24"/>
                <w:lang w:val="en-US" w:eastAsia="zh-CN"/>
              </w:rPr>
              <w:t>通过膜的高效分离作用可以</w:t>
            </w:r>
            <w:r>
              <w:rPr>
                <w:rFonts w:hint="eastAsia" w:ascii="Times New Roman" w:hAnsi="Times New Roman" w:eastAsia="宋体"/>
                <w:color w:val="auto"/>
                <w:sz w:val="24"/>
                <w:szCs w:val="24"/>
                <w:highlight w:val="none"/>
                <w:lang w:val="en-US" w:eastAsia="zh-CN"/>
              </w:rPr>
              <w:t>保证出水水质稳定，能够完全去除SS，对细菌和病毒也有很好的截留效果。</w:t>
            </w:r>
          </w:p>
          <w:p w14:paraId="6B41C9B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color w:val="auto"/>
                <w:sz w:val="24"/>
                <w:szCs w:val="24"/>
              </w:rPr>
            </w:pPr>
            <w:r>
              <w:rPr>
                <w:rFonts w:hint="eastAsia" w:ascii="Times New Roman" w:hAnsi="Times New Roman" w:eastAsia="宋体" w:cs="微软雅黑"/>
                <w:b/>
                <w:bCs/>
                <w:color w:val="auto"/>
                <w:sz w:val="24"/>
                <w:lang w:val="en-US" w:eastAsia="zh-CN"/>
              </w:rPr>
              <w:t>⑤</w:t>
            </w:r>
            <w:r>
              <w:rPr>
                <w:rFonts w:hint="eastAsia" w:ascii="Times New Roman" w:hAnsi="Times New Roman" w:eastAsia="宋体"/>
                <w:b/>
                <w:bCs/>
                <w:color w:val="auto"/>
                <w:sz w:val="24"/>
                <w:lang w:val="en-US" w:eastAsia="zh-CN"/>
              </w:rPr>
              <w:t>消毒：</w:t>
            </w:r>
            <w:r>
              <w:rPr>
                <w:rFonts w:hint="eastAsia" w:ascii="Times New Roman" w:hAnsi="Times New Roman" w:eastAsia="宋体"/>
                <w:color w:val="auto"/>
                <w:sz w:val="24"/>
              </w:rPr>
              <w:t>医院污水消毒</w:t>
            </w:r>
            <w:r>
              <w:rPr>
                <w:rFonts w:hint="default" w:ascii="Times New Roman" w:hAnsi="Times New Roman" w:eastAsia="宋体" w:cs="Times New Roman"/>
                <w:color w:val="auto"/>
                <w:kern w:val="0"/>
                <w:sz w:val="24"/>
                <w:szCs w:val="24"/>
                <w:lang w:val="en-US" w:eastAsia="zh-CN" w:bidi="ar"/>
              </w:rPr>
              <w:t>是医院污水处理的重要工艺过程，</w:t>
            </w:r>
            <w:r>
              <w:rPr>
                <w:rFonts w:hint="eastAsia" w:ascii="Times New Roman" w:hAnsi="Times New Roman" w:eastAsia="宋体"/>
                <w:color w:val="auto"/>
                <w:sz w:val="24"/>
              </w:rPr>
              <w:t>目的是杀灭污水中的各种致病菌。医院污水消毒常用的消毒工艺有氯消毒（如氯气、二氧化氯、次氯酸钠）、氧化剂消毒（如臭氧、过氧乙酸）、辐射消毒（如紫外线、γ射线）。</w:t>
            </w:r>
            <w:r>
              <w:rPr>
                <w:rFonts w:hint="default" w:ascii="Times New Roman" w:hAnsi="Times New Roman" w:eastAsia="宋体" w:cs="Times New Roman"/>
                <w:color w:val="auto"/>
                <w:kern w:val="0"/>
                <w:sz w:val="24"/>
                <w:szCs w:val="24"/>
                <w:lang w:val="en-US" w:eastAsia="zh-CN" w:bidi="ar"/>
              </w:rPr>
              <w:t>本项目采用</w:t>
            </w:r>
            <w:r>
              <w:rPr>
                <w:rFonts w:hint="eastAsia" w:ascii="Times New Roman" w:hAnsi="Times New Roman" w:eastAsia="宋体" w:cs="Times New Roman"/>
                <w:color w:val="auto"/>
                <w:kern w:val="0"/>
                <w:sz w:val="24"/>
                <w:szCs w:val="24"/>
                <w:lang w:val="en-US" w:eastAsia="zh-CN" w:bidi="ar"/>
              </w:rPr>
              <w:t>次氯酸钠</w:t>
            </w:r>
            <w:r>
              <w:rPr>
                <w:rFonts w:hint="default" w:ascii="Times New Roman" w:hAnsi="Times New Roman" w:eastAsia="宋体" w:cs="Times New Roman"/>
                <w:color w:val="auto"/>
                <w:kern w:val="0"/>
                <w:sz w:val="24"/>
                <w:szCs w:val="24"/>
                <w:lang w:val="en-US" w:eastAsia="zh-CN" w:bidi="ar"/>
              </w:rPr>
              <w:t>消毒</w:t>
            </w:r>
            <w:r>
              <w:rPr>
                <w:rFonts w:hint="eastAsia" w:ascii="Times New Roman" w:hAnsi="Times New Roman" w:eastAsia="宋体" w:cs="Times New Roman"/>
                <w:color w:val="auto"/>
                <w:kern w:val="0"/>
                <w:sz w:val="24"/>
                <w:szCs w:val="24"/>
                <w:lang w:val="en-US" w:eastAsia="zh-CN" w:bidi="ar"/>
              </w:rPr>
              <w:t>。</w:t>
            </w:r>
          </w:p>
          <w:p w14:paraId="40BF5DD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color w:val="auto"/>
                <w:kern w:val="0"/>
                <w:sz w:val="24"/>
                <w:szCs w:val="24"/>
                <w:vertAlign w:val="baseline"/>
                <w:lang w:val="en-US" w:eastAsia="zh-CN" w:bidi="ar"/>
              </w:rPr>
            </w:pPr>
            <w:r>
              <w:rPr>
                <w:rFonts w:hint="eastAsia" w:ascii="Times New Roman" w:hAnsi="Times New Roman" w:eastAsia="宋体" w:cs="微软雅黑"/>
                <w:b/>
                <w:bCs/>
                <w:color w:val="auto"/>
                <w:kern w:val="0"/>
                <w:sz w:val="24"/>
                <w:szCs w:val="24"/>
                <w:lang w:val="en-US" w:eastAsia="zh-CN" w:bidi="ar"/>
              </w:rPr>
              <w:t>⑥</w:t>
            </w:r>
            <w:r>
              <w:rPr>
                <w:rFonts w:hint="default" w:ascii="Times New Roman" w:hAnsi="Times New Roman" w:eastAsia="宋体" w:cs="Times New Roman"/>
                <w:b/>
                <w:bCs/>
                <w:color w:val="auto"/>
                <w:kern w:val="0"/>
                <w:sz w:val="24"/>
                <w:szCs w:val="24"/>
                <w:lang w:val="en-US" w:eastAsia="zh-CN" w:bidi="ar"/>
              </w:rPr>
              <w:t>事故应急</w:t>
            </w:r>
            <w:r>
              <w:rPr>
                <w:rFonts w:hint="eastAsia" w:ascii="Times New Roman" w:hAnsi="Times New Roman" w:eastAsia="宋体" w:cs="Times New Roman"/>
                <w:b/>
                <w:bCs/>
                <w:color w:val="auto"/>
                <w:kern w:val="0"/>
                <w:sz w:val="24"/>
                <w:szCs w:val="24"/>
                <w:lang w:val="en-US" w:eastAsia="zh-CN" w:bidi="ar"/>
              </w:rPr>
              <w:t>池：</w:t>
            </w:r>
            <w:r>
              <w:rPr>
                <w:rFonts w:hint="default" w:ascii="Times New Roman" w:hAnsi="Times New Roman" w:eastAsia="宋体" w:cs="Times New Roman"/>
                <w:color w:val="auto"/>
                <w:kern w:val="0"/>
                <w:sz w:val="24"/>
                <w:szCs w:val="24"/>
                <w:lang w:val="en-US" w:eastAsia="zh-CN" w:bidi="ar"/>
              </w:rPr>
              <w:t>根据《医院污水处理工程技术规范》（HJ2029-2013）12.4.1要求，医院污水处理工程应设应急事故池，以贮存处理系统事故或其他突发事件时医院污水。非传染病医院污水处理工程应急事故池容积不小于日排放量的30%。</w:t>
            </w:r>
            <w:r>
              <w:rPr>
                <w:rFonts w:hint="eastAsia" w:ascii="Times New Roman" w:hAnsi="Times New Roman" w:eastAsia="宋体" w:cs="Times New Roman"/>
                <w:color w:val="auto"/>
                <w:kern w:val="0"/>
                <w:sz w:val="24"/>
                <w:szCs w:val="24"/>
                <w:lang w:val="en-US" w:eastAsia="zh-CN" w:bidi="ar"/>
              </w:rPr>
              <w:t>本项目事故应急池设于污水处理站旁，容积为</w:t>
            </w:r>
            <w:r>
              <w:rPr>
                <w:rFonts w:hint="eastAsia" w:cs="Times New Roman"/>
                <w:color w:val="auto"/>
                <w:kern w:val="0"/>
                <w:sz w:val="24"/>
                <w:szCs w:val="24"/>
                <w:lang w:val="en-US" w:eastAsia="zh-CN" w:bidi="ar"/>
              </w:rPr>
              <w:t>3</w:t>
            </w:r>
            <w:r>
              <w:rPr>
                <w:rFonts w:hint="eastAsia" w:ascii="Times New Roman" w:hAnsi="Times New Roman" w:eastAsia="宋体" w:cs="Times New Roman"/>
                <w:color w:val="auto"/>
                <w:kern w:val="0"/>
                <w:sz w:val="24"/>
                <w:szCs w:val="24"/>
                <w:lang w:val="en-US" w:eastAsia="zh-CN" w:bidi="ar"/>
              </w:rPr>
              <w:t>m</w:t>
            </w:r>
            <w:r>
              <w:rPr>
                <w:rFonts w:hint="eastAsia" w:ascii="Times New Roman" w:hAnsi="Times New Roman" w:eastAsia="宋体" w:cs="Times New Roman"/>
                <w:color w:val="auto"/>
                <w:kern w:val="0"/>
                <w:sz w:val="24"/>
                <w:szCs w:val="24"/>
                <w:vertAlign w:val="superscript"/>
                <w:lang w:val="en-US" w:eastAsia="zh-CN" w:bidi="ar"/>
              </w:rPr>
              <w:t>3</w:t>
            </w:r>
            <w:r>
              <w:rPr>
                <w:rFonts w:hint="eastAsia" w:ascii="Times New Roman" w:hAnsi="Times New Roman" w:eastAsia="宋体" w:cs="Times New Roman"/>
                <w:color w:val="auto"/>
                <w:kern w:val="0"/>
                <w:sz w:val="24"/>
                <w:szCs w:val="24"/>
                <w:lang w:val="en-US" w:eastAsia="zh-CN" w:bidi="ar"/>
              </w:rPr>
              <w:t>，项目日污水排放量为</w:t>
            </w:r>
            <w:r>
              <w:rPr>
                <w:rFonts w:hint="eastAsia" w:cs="Times New Roman"/>
                <w:color w:val="auto"/>
                <w:kern w:val="0"/>
                <w:sz w:val="24"/>
                <w:szCs w:val="24"/>
                <w:vertAlign w:val="baseline"/>
                <w:lang w:val="en-US" w:eastAsia="zh-CN" w:bidi="ar"/>
              </w:rPr>
              <w:t>9.5436</w:t>
            </w:r>
            <w:r>
              <w:rPr>
                <w:rFonts w:hint="eastAsia" w:ascii="Times New Roman" w:hAnsi="Times New Roman" w:eastAsia="宋体" w:cs="Times New Roman"/>
                <w:color w:val="auto"/>
                <w:kern w:val="0"/>
                <w:sz w:val="24"/>
                <w:szCs w:val="24"/>
                <w:lang w:val="en-US" w:eastAsia="zh-CN" w:bidi="ar"/>
              </w:rPr>
              <w:t>m</w:t>
            </w:r>
            <w:r>
              <w:rPr>
                <w:rFonts w:hint="eastAsia" w:ascii="Times New Roman" w:hAnsi="Times New Roman" w:eastAsia="宋体" w:cs="Times New Roman"/>
                <w:color w:val="auto"/>
                <w:kern w:val="0"/>
                <w:sz w:val="24"/>
                <w:szCs w:val="24"/>
                <w:vertAlign w:val="superscript"/>
                <w:lang w:val="en-US" w:eastAsia="zh-CN" w:bidi="ar"/>
              </w:rPr>
              <w:t>3</w:t>
            </w:r>
            <w:r>
              <w:rPr>
                <w:rFonts w:hint="eastAsia" w:ascii="Times New Roman" w:hAnsi="Times New Roman" w:eastAsia="宋体" w:cs="Times New Roman"/>
                <w:color w:val="auto"/>
                <w:kern w:val="0"/>
                <w:sz w:val="24"/>
                <w:szCs w:val="24"/>
                <w:vertAlign w:val="baseline"/>
                <w:lang w:val="en-US" w:eastAsia="zh-CN" w:bidi="ar"/>
              </w:rPr>
              <w:t>/d，</w:t>
            </w:r>
            <w:r>
              <w:rPr>
                <w:rFonts w:hint="default" w:ascii="Times New Roman" w:hAnsi="Times New Roman" w:eastAsia="宋体" w:cs="Times New Roman"/>
                <w:color w:val="auto"/>
                <w:kern w:val="0"/>
                <w:sz w:val="24"/>
                <w:szCs w:val="24"/>
                <w:lang w:val="en-US" w:eastAsia="zh-CN" w:bidi="ar"/>
              </w:rPr>
              <w:t>应急事故池容积</w:t>
            </w:r>
            <w:r>
              <w:rPr>
                <w:rFonts w:hint="eastAsia" w:ascii="Times New Roman" w:hAnsi="Times New Roman" w:eastAsia="宋体" w:cs="Times New Roman"/>
                <w:color w:val="auto"/>
                <w:kern w:val="0"/>
                <w:sz w:val="24"/>
                <w:szCs w:val="24"/>
                <w:lang w:val="en-US" w:eastAsia="zh-CN" w:bidi="ar"/>
              </w:rPr>
              <w:t>符合要求。</w:t>
            </w:r>
          </w:p>
          <w:p w14:paraId="205CBF17">
            <w:pPr>
              <w:adjustRightInd w:val="0"/>
              <w:snapToGrid w:val="0"/>
              <w:spacing w:line="360" w:lineRule="auto"/>
              <w:ind w:firstLine="482" w:firstLineChars="200"/>
              <w:jc w:val="left"/>
              <w:rPr>
                <w:b/>
                <w:color w:val="auto"/>
                <w:kern w:val="0"/>
                <w:sz w:val="24"/>
              </w:rPr>
            </w:pPr>
            <w:r>
              <w:rPr>
                <w:rFonts w:hint="eastAsia"/>
                <w:b/>
                <w:color w:val="auto"/>
                <w:kern w:val="0"/>
                <w:sz w:val="24"/>
              </w:rPr>
              <w:t>4、废水环境影响分析</w:t>
            </w:r>
          </w:p>
          <w:p w14:paraId="72DF9DFA">
            <w:pPr>
              <w:pStyle w:val="10"/>
              <w:widowControl/>
              <w:adjustRightInd w:val="0"/>
              <w:snapToGrid w:val="0"/>
              <w:spacing w:after="0" w:line="360" w:lineRule="auto"/>
              <w:ind w:firstLine="480" w:firstLineChars="200"/>
              <w:jc w:val="left"/>
              <w:rPr>
                <w:rFonts w:ascii="Times New Roman" w:hAnsi="Times New Roman" w:eastAsia="宋体"/>
                <w:bCs/>
                <w:color w:val="auto"/>
                <w:kern w:val="0"/>
                <w:sz w:val="24"/>
              </w:rPr>
            </w:pPr>
            <w:r>
              <w:rPr>
                <w:rFonts w:hint="eastAsia" w:ascii="Times New Roman" w:hAnsi="Times New Roman" w:eastAsia="宋体"/>
                <w:bCs/>
                <w:color w:val="auto"/>
                <w:kern w:val="0"/>
                <w:sz w:val="24"/>
              </w:rPr>
              <w:t>（1）水质接管可行性分析</w:t>
            </w:r>
          </w:p>
          <w:p w14:paraId="29883838">
            <w:pPr>
              <w:pStyle w:val="10"/>
              <w:widowControl/>
              <w:adjustRightInd w:val="0"/>
              <w:snapToGrid w:val="0"/>
              <w:spacing w:after="0" w:line="360" w:lineRule="auto"/>
              <w:ind w:firstLine="480" w:firstLineChars="200"/>
              <w:jc w:val="left"/>
              <w:rPr>
                <w:rFonts w:ascii="Times New Roman" w:hAnsi="Times New Roman" w:eastAsia="宋体"/>
                <w:bCs/>
                <w:color w:val="auto"/>
                <w:kern w:val="0"/>
                <w:sz w:val="24"/>
              </w:rPr>
            </w:pPr>
            <w:r>
              <w:rPr>
                <w:rFonts w:hint="eastAsia" w:ascii="Times New Roman" w:hAnsi="Times New Roman" w:eastAsia="宋体"/>
                <w:bCs/>
                <w:color w:val="auto"/>
                <w:kern w:val="0"/>
                <w:sz w:val="24"/>
              </w:rPr>
              <w:t>本项目总排口废水为卫生院综合废水，已在院内经过预处理、化粪池、自建污水处理站处理，出水水质满足《医疗机构水污染物排放标准》（GB8466-2005）表2预处理标准及华林镇集镇污水处理站接管标准严者。</w:t>
            </w:r>
          </w:p>
          <w:p w14:paraId="421E789D">
            <w:pPr>
              <w:pStyle w:val="10"/>
              <w:widowControl/>
              <w:adjustRightInd w:val="0"/>
              <w:snapToGrid w:val="0"/>
              <w:spacing w:after="0" w:line="360" w:lineRule="auto"/>
              <w:ind w:firstLine="480" w:firstLineChars="200"/>
              <w:jc w:val="left"/>
              <w:rPr>
                <w:rFonts w:ascii="Times New Roman" w:hAnsi="Times New Roman" w:eastAsia="宋体"/>
                <w:bCs/>
                <w:color w:val="auto"/>
                <w:kern w:val="0"/>
                <w:sz w:val="24"/>
              </w:rPr>
            </w:pPr>
            <w:r>
              <w:rPr>
                <w:rFonts w:hint="eastAsia" w:ascii="Times New Roman" w:hAnsi="Times New Roman" w:eastAsia="宋体"/>
                <w:bCs/>
                <w:color w:val="auto"/>
                <w:kern w:val="0"/>
                <w:sz w:val="24"/>
              </w:rPr>
              <w:t>（2）水量接管可行性分析</w:t>
            </w:r>
          </w:p>
          <w:p w14:paraId="0C39DD4B">
            <w:pPr>
              <w:widowControl/>
              <w:adjustRightInd w:val="0"/>
              <w:snapToGrid w:val="0"/>
              <w:spacing w:line="360" w:lineRule="auto"/>
              <w:ind w:firstLine="480" w:firstLineChars="200"/>
              <w:rPr>
                <w:rFonts w:hint="eastAsia" w:ascii="Times New Roman" w:hAnsi="Times New Roman" w:eastAsia="宋体"/>
                <w:color w:val="auto"/>
                <w:sz w:val="24"/>
              </w:rPr>
            </w:pPr>
            <w:r>
              <w:rPr>
                <w:rFonts w:hint="eastAsia"/>
                <w:color w:val="auto"/>
                <w:sz w:val="24"/>
                <w:lang w:val="en-US" w:eastAsia="zh-CN"/>
              </w:rPr>
              <w:t>本项目排放污水</w:t>
            </w:r>
            <w:r>
              <w:rPr>
                <w:rFonts w:hint="eastAsia" w:ascii="Times New Roman" w:hAnsi="Times New Roman" w:eastAsia="宋体"/>
                <w:color w:val="auto"/>
                <w:sz w:val="24"/>
                <w:lang w:val="en-US" w:eastAsia="zh-CN"/>
              </w:rPr>
              <w:t>9.5436</w:t>
            </w:r>
            <w:r>
              <w:rPr>
                <w:rFonts w:hint="eastAsia" w:ascii="Times New Roman" w:hAnsi="Times New Roman" w:eastAsia="宋体"/>
                <w:color w:val="auto"/>
                <w:sz w:val="24"/>
              </w:rPr>
              <w:t>m</w:t>
            </w:r>
            <w:r>
              <w:rPr>
                <w:rFonts w:hint="eastAsia" w:ascii="Times New Roman" w:hAnsi="Times New Roman" w:eastAsia="宋体"/>
                <w:color w:val="auto"/>
                <w:sz w:val="24"/>
                <w:vertAlign w:val="superscript"/>
              </w:rPr>
              <w:t>3</w:t>
            </w:r>
            <w:r>
              <w:rPr>
                <w:rFonts w:hint="eastAsia" w:ascii="Times New Roman" w:hAnsi="Times New Roman" w:eastAsia="宋体"/>
                <w:color w:val="auto"/>
                <w:sz w:val="24"/>
              </w:rPr>
              <w:t>/d，</w:t>
            </w:r>
            <w:r>
              <w:rPr>
                <w:rFonts w:hint="eastAsia" w:ascii="Times New Roman" w:hAnsi="Times New Roman" w:eastAsia="宋体"/>
                <w:color w:val="auto"/>
                <w:sz w:val="24"/>
                <w:lang w:val="en-US" w:eastAsia="zh-CN"/>
              </w:rPr>
              <w:t>而院内污水处理站设计处理能力为10m</w:t>
            </w:r>
            <w:r>
              <w:rPr>
                <w:rFonts w:hint="eastAsia" w:ascii="Times New Roman" w:hAnsi="Times New Roman" w:eastAsia="宋体"/>
                <w:color w:val="auto"/>
                <w:sz w:val="24"/>
                <w:vertAlign w:val="superscript"/>
                <w:lang w:val="en-US" w:eastAsia="zh-CN"/>
              </w:rPr>
              <w:t>3</w:t>
            </w:r>
            <w:r>
              <w:rPr>
                <w:rFonts w:hint="eastAsia" w:ascii="Times New Roman" w:hAnsi="Times New Roman" w:eastAsia="宋体"/>
                <w:color w:val="auto"/>
                <w:sz w:val="24"/>
                <w:lang w:val="en-US" w:eastAsia="zh-CN"/>
              </w:rPr>
              <w:t>/d，能够满足污水处理需求。</w:t>
            </w:r>
            <w:r>
              <w:rPr>
                <w:rFonts w:hint="eastAsia" w:ascii="Times New Roman" w:hAnsi="Times New Roman" w:eastAsia="宋体"/>
                <w:color w:val="auto"/>
                <w:sz w:val="24"/>
              </w:rPr>
              <w:t>废水经院内预处理后经市政管网排入华林镇集镇污水处理厂深度处理，</w:t>
            </w:r>
            <w:r>
              <w:rPr>
                <w:rFonts w:hint="eastAsia"/>
                <w:color w:val="auto"/>
                <w:sz w:val="24"/>
              </w:rPr>
              <w:t>华林镇集镇污水处理厂设计</w:t>
            </w:r>
            <w:r>
              <w:rPr>
                <w:rFonts w:hint="eastAsia" w:cs="宋体"/>
                <w:color w:val="auto"/>
                <w:kern w:val="0"/>
                <w:sz w:val="24"/>
                <w:lang w:bidi="ar"/>
              </w:rPr>
              <w:t>处理规模为150m</w:t>
            </w:r>
            <w:r>
              <w:rPr>
                <w:rFonts w:hint="eastAsia" w:cs="宋体"/>
                <w:color w:val="auto"/>
                <w:kern w:val="0"/>
                <w:sz w:val="24"/>
                <w:vertAlign w:val="superscript"/>
                <w:lang w:bidi="ar"/>
              </w:rPr>
              <w:t>3</w:t>
            </w:r>
            <w:r>
              <w:rPr>
                <w:rFonts w:hint="eastAsia" w:cs="宋体"/>
                <w:color w:val="auto"/>
                <w:kern w:val="0"/>
                <w:sz w:val="24"/>
                <w:lang w:bidi="ar"/>
              </w:rPr>
              <w:t>/d，</w:t>
            </w:r>
            <w:r>
              <w:rPr>
                <w:rFonts w:hint="eastAsia" w:ascii="Times New Roman" w:hAnsi="Times New Roman" w:eastAsia="宋体"/>
                <w:color w:val="auto"/>
                <w:sz w:val="24"/>
                <w:lang w:val="en-US" w:eastAsia="zh-CN"/>
              </w:rPr>
              <w:t>目前已接纳水量为60</w:t>
            </w:r>
            <w:r>
              <w:rPr>
                <w:rFonts w:hint="eastAsia" w:cs="宋体"/>
                <w:color w:val="auto"/>
                <w:kern w:val="0"/>
                <w:sz w:val="24"/>
                <w:lang w:bidi="ar"/>
              </w:rPr>
              <w:t>m</w:t>
            </w:r>
            <w:r>
              <w:rPr>
                <w:rFonts w:hint="eastAsia" w:cs="宋体"/>
                <w:color w:val="auto"/>
                <w:kern w:val="0"/>
                <w:sz w:val="24"/>
                <w:vertAlign w:val="superscript"/>
                <w:lang w:bidi="ar"/>
              </w:rPr>
              <w:t>3</w:t>
            </w:r>
            <w:r>
              <w:rPr>
                <w:rFonts w:hint="eastAsia" w:ascii="Times New Roman" w:hAnsi="Times New Roman" w:eastAsia="宋体"/>
                <w:color w:val="auto"/>
                <w:sz w:val="24"/>
                <w:lang w:val="en-US" w:eastAsia="zh-CN"/>
              </w:rPr>
              <w:t>/d，项目排放水量为9.5436</w:t>
            </w:r>
            <w:r>
              <w:rPr>
                <w:rFonts w:hint="eastAsia" w:ascii="Times New Roman" w:hAnsi="Times New Roman" w:eastAsia="宋体"/>
                <w:color w:val="auto"/>
                <w:sz w:val="24"/>
              </w:rPr>
              <w:t>m</w:t>
            </w:r>
            <w:r>
              <w:rPr>
                <w:rFonts w:hint="eastAsia" w:ascii="Times New Roman" w:hAnsi="Times New Roman" w:eastAsia="宋体"/>
                <w:color w:val="auto"/>
                <w:sz w:val="24"/>
                <w:vertAlign w:val="superscript"/>
              </w:rPr>
              <w:t>3</w:t>
            </w:r>
            <w:r>
              <w:rPr>
                <w:rFonts w:hint="eastAsia" w:ascii="Times New Roman" w:hAnsi="Times New Roman" w:eastAsia="宋体"/>
                <w:color w:val="auto"/>
                <w:sz w:val="24"/>
              </w:rPr>
              <w:t>/d</w:t>
            </w:r>
            <w:r>
              <w:rPr>
                <w:rFonts w:hint="eastAsia" w:ascii="Times New Roman" w:hAnsi="Times New Roman" w:eastAsia="宋体"/>
                <w:color w:val="auto"/>
                <w:sz w:val="24"/>
                <w:lang w:eastAsia="zh-CN"/>
              </w:rPr>
              <w:t>，</w:t>
            </w:r>
            <w:r>
              <w:rPr>
                <w:rFonts w:hint="eastAsia" w:ascii="宋体" w:hAnsi="宋体" w:eastAsia="宋体" w:cs="宋体"/>
                <w:color w:val="auto"/>
                <w:kern w:val="0"/>
                <w:sz w:val="24"/>
                <w:szCs w:val="24"/>
                <w:lang w:val="en-US" w:eastAsia="zh-CN" w:bidi="ar"/>
              </w:rPr>
              <w:t>占剩余接纳水量的</w:t>
            </w:r>
            <w:r>
              <w:rPr>
                <w:rFonts w:hint="eastAsia" w:ascii="Times New Roman" w:hAnsi="Times New Roman" w:eastAsia="宋体" w:cs="Times New Roman"/>
                <w:color w:val="auto"/>
                <w:kern w:val="0"/>
                <w:sz w:val="24"/>
                <w:szCs w:val="24"/>
                <w:lang w:val="en-US" w:eastAsia="zh-CN" w:bidi="ar"/>
              </w:rPr>
              <w:t>10.6</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目前污水处理厂仍有余量接纳废水，且华林镇污水处理厂已建成运行</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所以项目废水水量是华林镇污水处理厂可以接纳的。</w:t>
            </w:r>
            <w:r>
              <w:rPr>
                <w:color w:val="auto"/>
                <w:sz w:val="24"/>
              </w:rPr>
              <w:t>污水处理</w:t>
            </w:r>
            <w:r>
              <w:rPr>
                <w:rFonts w:hint="eastAsia"/>
                <w:color w:val="auto"/>
                <w:sz w:val="24"/>
              </w:rPr>
              <w:t>站</w:t>
            </w:r>
            <w:r>
              <w:rPr>
                <w:color w:val="auto"/>
                <w:sz w:val="24"/>
              </w:rPr>
              <w:t>采用</w:t>
            </w:r>
            <w:r>
              <w:rPr>
                <w:rFonts w:hint="eastAsia" w:cs="宋体"/>
                <w:color w:val="auto"/>
                <w:kern w:val="0"/>
                <w:sz w:val="24"/>
                <w:lang w:bidi="ar"/>
              </w:rPr>
              <w:t>的处理工艺系统为“格栅井+调节池+厌缺氧池+MBBR池+沉淀池+清水池+过滤器”，达标后排放</w:t>
            </w:r>
            <w:r>
              <w:rPr>
                <w:color w:val="auto"/>
                <w:sz w:val="24"/>
              </w:rPr>
              <w:t>。</w:t>
            </w:r>
          </w:p>
          <w:p w14:paraId="23AC9DE7">
            <w:pPr>
              <w:pStyle w:val="47"/>
              <w:adjustRightInd w:val="0"/>
              <w:snapToGrid w:val="0"/>
              <w:ind w:right="0"/>
              <w:jc w:val="left"/>
              <w:rPr>
                <w:rFonts w:hAnsi="Times New Roman"/>
                <w:color w:val="auto"/>
              </w:rPr>
            </w:pPr>
            <w:r>
              <w:rPr>
                <w:rFonts w:hAnsi="Times New Roman"/>
                <w:color w:val="auto"/>
              </w:rPr>
              <w:t>结合以上，可知本项目水污染控制和减缓措施有效，处理达标后废水经污水管网排入</w:t>
            </w:r>
            <w:r>
              <w:rPr>
                <w:rFonts w:hint="eastAsia" w:hAnsi="Times New Roman"/>
                <w:bCs/>
                <w:color w:val="auto"/>
                <w:kern w:val="0"/>
              </w:rPr>
              <w:t>华林镇集镇污水处理站</w:t>
            </w:r>
            <w:r>
              <w:rPr>
                <w:rFonts w:hAnsi="Times New Roman"/>
                <w:color w:val="auto"/>
              </w:rPr>
              <w:t>处理</w:t>
            </w:r>
            <w:r>
              <w:rPr>
                <w:rFonts w:hint="eastAsia" w:hAnsi="Times New Roman"/>
                <w:color w:val="auto"/>
              </w:rPr>
              <w:t>可行</w:t>
            </w:r>
            <w:r>
              <w:rPr>
                <w:rFonts w:hAnsi="Times New Roman"/>
                <w:color w:val="auto"/>
              </w:rPr>
              <w:t>，由此可知本项目地表水影响可接受。</w:t>
            </w:r>
          </w:p>
          <w:p w14:paraId="31BD6D76">
            <w:pPr>
              <w:adjustRightInd w:val="0"/>
              <w:snapToGrid w:val="0"/>
              <w:spacing w:line="360" w:lineRule="auto"/>
              <w:ind w:firstLine="482" w:firstLineChars="200"/>
              <w:jc w:val="left"/>
              <w:rPr>
                <w:b/>
                <w:color w:val="auto"/>
                <w:kern w:val="0"/>
                <w:sz w:val="24"/>
              </w:rPr>
            </w:pPr>
            <w:r>
              <w:rPr>
                <w:rFonts w:hint="eastAsia"/>
                <w:b/>
                <w:color w:val="auto"/>
                <w:kern w:val="0"/>
                <w:sz w:val="24"/>
              </w:rPr>
              <w:t>5</w:t>
            </w:r>
            <w:r>
              <w:rPr>
                <w:b/>
                <w:color w:val="auto"/>
                <w:kern w:val="0"/>
                <w:sz w:val="24"/>
              </w:rPr>
              <w:t>、废</w:t>
            </w:r>
            <w:r>
              <w:rPr>
                <w:rFonts w:hint="eastAsia"/>
                <w:b/>
                <w:color w:val="auto"/>
                <w:kern w:val="0"/>
                <w:sz w:val="24"/>
              </w:rPr>
              <w:t>水</w:t>
            </w:r>
            <w:r>
              <w:rPr>
                <w:b/>
                <w:color w:val="auto"/>
                <w:kern w:val="0"/>
                <w:sz w:val="24"/>
              </w:rPr>
              <w:t>监测要求</w:t>
            </w:r>
          </w:p>
          <w:p w14:paraId="7A060C4D">
            <w:pPr>
              <w:adjustRightInd w:val="0"/>
              <w:snapToGrid w:val="0"/>
              <w:spacing w:line="360" w:lineRule="auto"/>
              <w:ind w:firstLine="480" w:firstLineChars="200"/>
              <w:jc w:val="left"/>
              <w:rPr>
                <w:bCs/>
                <w:color w:val="auto"/>
                <w:kern w:val="0"/>
                <w:sz w:val="24"/>
              </w:rPr>
            </w:pPr>
            <w:r>
              <w:rPr>
                <w:color w:val="auto"/>
                <w:sz w:val="24"/>
              </w:rPr>
              <w:t>根据《</w:t>
            </w:r>
            <w:r>
              <w:rPr>
                <w:rFonts w:hint="eastAsia"/>
                <w:color w:val="auto"/>
                <w:sz w:val="24"/>
              </w:rPr>
              <w:t>排污许可证申请与核发技术规范 医疗机构</w:t>
            </w:r>
            <w:r>
              <w:rPr>
                <w:color w:val="auto"/>
                <w:sz w:val="24"/>
              </w:rPr>
              <w:t>》</w:t>
            </w:r>
            <w:r>
              <w:rPr>
                <w:rFonts w:hint="eastAsia"/>
                <w:color w:val="auto"/>
                <w:sz w:val="24"/>
              </w:rPr>
              <w:t>（HJ1105-2020）</w:t>
            </w:r>
            <w:r>
              <w:rPr>
                <w:color w:val="auto"/>
                <w:sz w:val="24"/>
              </w:rPr>
              <w:t>，确定</w:t>
            </w:r>
            <w:r>
              <w:rPr>
                <w:rFonts w:hint="eastAsia"/>
                <w:color w:val="auto"/>
                <w:sz w:val="24"/>
              </w:rPr>
              <w:t>本</w:t>
            </w:r>
            <w:r>
              <w:rPr>
                <w:color w:val="auto"/>
                <w:sz w:val="24"/>
              </w:rPr>
              <w:t>项目</w:t>
            </w:r>
            <w:r>
              <w:rPr>
                <w:rFonts w:hint="eastAsia"/>
                <w:color w:val="auto"/>
                <w:sz w:val="24"/>
              </w:rPr>
              <w:t>废水</w:t>
            </w:r>
            <w:r>
              <w:rPr>
                <w:color w:val="auto"/>
                <w:sz w:val="24"/>
              </w:rPr>
              <w:t>污染源监测计划</w:t>
            </w:r>
            <w:r>
              <w:rPr>
                <w:rFonts w:hint="eastAsia"/>
                <w:color w:val="auto"/>
                <w:sz w:val="24"/>
              </w:rPr>
              <w:t>如下：</w:t>
            </w:r>
          </w:p>
          <w:p w14:paraId="6A7664BD">
            <w:pPr>
              <w:adjustRightInd w:val="0"/>
              <w:snapToGrid w:val="0"/>
              <w:jc w:val="center"/>
              <w:rPr>
                <w:b/>
                <w:bCs/>
                <w:color w:val="auto"/>
                <w:szCs w:val="21"/>
              </w:rPr>
            </w:pPr>
            <w:r>
              <w:rPr>
                <w:b/>
                <w:bCs/>
                <w:color w:val="auto"/>
                <w:szCs w:val="21"/>
              </w:rPr>
              <w:t>表</w:t>
            </w:r>
            <w:r>
              <w:rPr>
                <w:rFonts w:hint="eastAsia"/>
                <w:b/>
                <w:bCs/>
                <w:color w:val="auto"/>
                <w:szCs w:val="21"/>
              </w:rPr>
              <w:t>4-</w:t>
            </w:r>
            <w:r>
              <w:rPr>
                <w:rFonts w:hint="eastAsia"/>
                <w:b/>
                <w:bCs/>
                <w:color w:val="auto"/>
                <w:szCs w:val="21"/>
                <w:lang w:val="en-US" w:eastAsia="zh-CN"/>
              </w:rPr>
              <w:t>9</w:t>
            </w:r>
            <w:r>
              <w:rPr>
                <w:rFonts w:hint="eastAsia"/>
                <w:b/>
                <w:bCs/>
                <w:color w:val="auto"/>
                <w:szCs w:val="21"/>
              </w:rPr>
              <w:t xml:space="preserve"> </w:t>
            </w:r>
            <w:r>
              <w:rPr>
                <w:b/>
                <w:bCs/>
                <w:color w:val="auto"/>
                <w:szCs w:val="21"/>
              </w:rPr>
              <w:t xml:space="preserve"> </w:t>
            </w:r>
            <w:r>
              <w:rPr>
                <w:rFonts w:hint="eastAsia"/>
                <w:b/>
                <w:bCs/>
                <w:color w:val="auto"/>
                <w:szCs w:val="21"/>
              </w:rPr>
              <w:t>废水</w:t>
            </w:r>
            <w:r>
              <w:rPr>
                <w:b/>
                <w:bCs/>
                <w:color w:val="auto"/>
                <w:szCs w:val="21"/>
              </w:rPr>
              <w:t>监测计划一览表</w:t>
            </w:r>
          </w:p>
          <w:tbl>
            <w:tblPr>
              <w:tblStyle w:val="17"/>
              <w:tblW w:w="493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7"/>
              <w:gridCol w:w="6395"/>
              <w:gridCol w:w="1353"/>
            </w:tblGrid>
            <w:tr w14:paraId="1B0EE7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6" w:type="pct"/>
                  <w:vAlign w:val="center"/>
                </w:tcPr>
                <w:p w14:paraId="592B27A3">
                  <w:pPr>
                    <w:adjustRightInd w:val="0"/>
                    <w:snapToGrid w:val="0"/>
                    <w:jc w:val="center"/>
                    <w:rPr>
                      <w:rFonts w:cs="宋体"/>
                      <w:b/>
                      <w:color w:val="auto"/>
                      <w:kern w:val="18"/>
                      <w:szCs w:val="21"/>
                    </w:rPr>
                  </w:pPr>
                  <w:r>
                    <w:rPr>
                      <w:rFonts w:hint="eastAsia" w:cs="宋体"/>
                      <w:b/>
                      <w:color w:val="auto"/>
                      <w:kern w:val="18"/>
                      <w:szCs w:val="21"/>
                    </w:rPr>
                    <w:t>监测点位</w:t>
                  </w:r>
                </w:p>
              </w:tc>
              <w:tc>
                <w:tcPr>
                  <w:tcW w:w="3799" w:type="pct"/>
                  <w:vAlign w:val="center"/>
                </w:tcPr>
                <w:p w14:paraId="12E9B8B8">
                  <w:pPr>
                    <w:adjustRightInd w:val="0"/>
                    <w:snapToGrid w:val="0"/>
                    <w:jc w:val="center"/>
                    <w:rPr>
                      <w:rFonts w:cs="宋体"/>
                      <w:b/>
                      <w:color w:val="auto"/>
                      <w:kern w:val="18"/>
                      <w:szCs w:val="21"/>
                    </w:rPr>
                  </w:pPr>
                  <w:r>
                    <w:rPr>
                      <w:rFonts w:hint="eastAsia" w:cs="宋体"/>
                      <w:b/>
                      <w:color w:val="auto"/>
                      <w:kern w:val="18"/>
                      <w:szCs w:val="21"/>
                    </w:rPr>
                    <w:t>监测指标</w:t>
                  </w:r>
                </w:p>
              </w:tc>
              <w:tc>
                <w:tcPr>
                  <w:tcW w:w="804" w:type="pct"/>
                  <w:vAlign w:val="center"/>
                </w:tcPr>
                <w:p w14:paraId="0566B4A2">
                  <w:pPr>
                    <w:adjustRightInd w:val="0"/>
                    <w:snapToGrid w:val="0"/>
                    <w:jc w:val="center"/>
                    <w:rPr>
                      <w:rFonts w:cs="宋体"/>
                      <w:b/>
                      <w:color w:val="auto"/>
                      <w:kern w:val="18"/>
                      <w:szCs w:val="21"/>
                    </w:rPr>
                  </w:pPr>
                  <w:r>
                    <w:rPr>
                      <w:rFonts w:hint="eastAsia" w:cs="宋体"/>
                      <w:b/>
                      <w:color w:val="auto"/>
                      <w:kern w:val="18"/>
                      <w:szCs w:val="21"/>
                    </w:rPr>
                    <w:t>监测频次</w:t>
                  </w:r>
                </w:p>
              </w:tc>
            </w:tr>
            <w:tr w14:paraId="341E0C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6" w:type="pct"/>
                  <w:vMerge w:val="restart"/>
                  <w:vAlign w:val="center"/>
                </w:tcPr>
                <w:p w14:paraId="0E6D6326">
                  <w:pPr>
                    <w:pStyle w:val="44"/>
                    <w:spacing w:line="240" w:lineRule="auto"/>
                    <w:rPr>
                      <w:rFonts w:cs="宋体"/>
                      <w:color w:val="auto"/>
                      <w:szCs w:val="21"/>
                      <w:lang w:eastAsia="zh-CN"/>
                    </w:rPr>
                  </w:pPr>
                  <w:r>
                    <w:rPr>
                      <w:rFonts w:hint="eastAsia" w:cs="宋体"/>
                      <w:color w:val="auto"/>
                      <w:szCs w:val="21"/>
                      <w:lang w:eastAsia="zh-CN"/>
                    </w:rPr>
                    <w:t>污水总排放口</w:t>
                  </w:r>
                </w:p>
              </w:tc>
              <w:tc>
                <w:tcPr>
                  <w:tcW w:w="3799" w:type="pct"/>
                  <w:vAlign w:val="center"/>
                </w:tcPr>
                <w:p w14:paraId="3F6E0031">
                  <w:pPr>
                    <w:widowControl/>
                    <w:jc w:val="center"/>
                    <w:rPr>
                      <w:rFonts w:cs="宋体"/>
                      <w:color w:val="auto"/>
                      <w:kern w:val="18"/>
                      <w:szCs w:val="21"/>
                    </w:rPr>
                  </w:pPr>
                  <w:r>
                    <w:rPr>
                      <w:rFonts w:hint="eastAsia" w:cs="宋体"/>
                      <w:color w:val="auto"/>
                      <w:kern w:val="0"/>
                      <w:szCs w:val="21"/>
                      <w:lang w:bidi="ar"/>
                    </w:rPr>
                    <w:t>流量</w:t>
                  </w:r>
                </w:p>
              </w:tc>
              <w:tc>
                <w:tcPr>
                  <w:tcW w:w="804" w:type="pct"/>
                  <w:vAlign w:val="center"/>
                </w:tcPr>
                <w:p w14:paraId="33866553">
                  <w:pPr>
                    <w:adjustRightInd w:val="0"/>
                    <w:snapToGrid w:val="0"/>
                    <w:jc w:val="center"/>
                    <w:rPr>
                      <w:rFonts w:cs="宋体"/>
                      <w:color w:val="auto"/>
                      <w:kern w:val="18"/>
                      <w:szCs w:val="21"/>
                    </w:rPr>
                  </w:pPr>
                  <w:r>
                    <w:rPr>
                      <w:rFonts w:hint="eastAsia" w:cs="宋体"/>
                      <w:color w:val="auto"/>
                      <w:kern w:val="18"/>
                      <w:szCs w:val="21"/>
                    </w:rPr>
                    <w:t>自动监测</w:t>
                  </w:r>
                </w:p>
              </w:tc>
            </w:tr>
            <w:tr w14:paraId="556C79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6" w:type="pct"/>
                  <w:vMerge w:val="continue"/>
                  <w:vAlign w:val="center"/>
                </w:tcPr>
                <w:p w14:paraId="70B3EFFA">
                  <w:pPr>
                    <w:pStyle w:val="44"/>
                    <w:spacing w:line="240" w:lineRule="auto"/>
                    <w:rPr>
                      <w:rFonts w:cs="宋体"/>
                      <w:color w:val="auto"/>
                      <w:szCs w:val="21"/>
                      <w:lang w:eastAsia="zh-CN"/>
                    </w:rPr>
                  </w:pPr>
                </w:p>
              </w:tc>
              <w:tc>
                <w:tcPr>
                  <w:tcW w:w="3799" w:type="pct"/>
                  <w:vAlign w:val="center"/>
                </w:tcPr>
                <w:p w14:paraId="7FD09255">
                  <w:pPr>
                    <w:widowControl/>
                    <w:adjustRightInd w:val="0"/>
                    <w:snapToGrid w:val="0"/>
                    <w:jc w:val="center"/>
                    <w:rPr>
                      <w:rFonts w:cs="宋体"/>
                      <w:color w:val="auto"/>
                      <w:kern w:val="18"/>
                      <w:szCs w:val="21"/>
                    </w:rPr>
                  </w:pPr>
                  <w:r>
                    <w:rPr>
                      <w:color w:val="auto"/>
                      <w:kern w:val="0"/>
                      <w:szCs w:val="21"/>
                      <w:lang w:bidi="ar"/>
                    </w:rPr>
                    <w:t>pH</w:t>
                  </w:r>
                  <w:r>
                    <w:rPr>
                      <w:rFonts w:hint="eastAsia" w:cs="宋体"/>
                      <w:color w:val="auto"/>
                      <w:kern w:val="0"/>
                      <w:szCs w:val="21"/>
                      <w:lang w:bidi="ar"/>
                    </w:rPr>
                    <w:t>值</w:t>
                  </w:r>
                </w:p>
              </w:tc>
              <w:tc>
                <w:tcPr>
                  <w:tcW w:w="804" w:type="pct"/>
                  <w:vAlign w:val="center"/>
                </w:tcPr>
                <w:p w14:paraId="1183F80A">
                  <w:pPr>
                    <w:widowControl/>
                    <w:adjustRightInd w:val="0"/>
                    <w:snapToGrid w:val="0"/>
                    <w:jc w:val="center"/>
                    <w:rPr>
                      <w:rFonts w:cs="宋体"/>
                      <w:color w:val="auto"/>
                      <w:kern w:val="18"/>
                      <w:szCs w:val="21"/>
                    </w:rPr>
                  </w:pPr>
                  <w:r>
                    <w:rPr>
                      <w:rFonts w:hint="eastAsia"/>
                      <w:color w:val="auto"/>
                      <w:kern w:val="0"/>
                      <w:szCs w:val="21"/>
                      <w:lang w:bidi="ar"/>
                    </w:rPr>
                    <w:t>12小时</w:t>
                  </w:r>
                </w:p>
              </w:tc>
            </w:tr>
            <w:tr w14:paraId="5169EB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6" w:type="pct"/>
                  <w:vMerge w:val="continue"/>
                  <w:vAlign w:val="center"/>
                </w:tcPr>
                <w:p w14:paraId="447DDFB8">
                  <w:pPr>
                    <w:pStyle w:val="44"/>
                    <w:spacing w:line="240" w:lineRule="auto"/>
                    <w:rPr>
                      <w:rFonts w:cs="宋体"/>
                      <w:color w:val="auto"/>
                      <w:szCs w:val="21"/>
                      <w:lang w:eastAsia="zh-CN"/>
                    </w:rPr>
                  </w:pPr>
                </w:p>
              </w:tc>
              <w:tc>
                <w:tcPr>
                  <w:tcW w:w="3799" w:type="pct"/>
                  <w:vAlign w:val="center"/>
                </w:tcPr>
                <w:p w14:paraId="12C80755">
                  <w:pPr>
                    <w:widowControl/>
                    <w:adjustRightInd w:val="0"/>
                    <w:snapToGrid w:val="0"/>
                    <w:jc w:val="center"/>
                    <w:rPr>
                      <w:rFonts w:cs="宋体"/>
                      <w:color w:val="auto"/>
                      <w:kern w:val="18"/>
                      <w:szCs w:val="21"/>
                    </w:rPr>
                  </w:pPr>
                  <w:r>
                    <w:rPr>
                      <w:rFonts w:hint="eastAsia" w:cs="宋体"/>
                      <w:color w:val="auto"/>
                      <w:kern w:val="0"/>
                      <w:szCs w:val="21"/>
                      <w:lang w:bidi="ar"/>
                    </w:rPr>
                    <w:t>化学需氧量、悬浮物</w:t>
                  </w:r>
                </w:p>
              </w:tc>
              <w:tc>
                <w:tcPr>
                  <w:tcW w:w="804" w:type="pct"/>
                  <w:vAlign w:val="center"/>
                </w:tcPr>
                <w:p w14:paraId="382E45A1">
                  <w:pPr>
                    <w:widowControl/>
                    <w:adjustRightInd w:val="0"/>
                    <w:snapToGrid w:val="0"/>
                    <w:jc w:val="center"/>
                    <w:rPr>
                      <w:rFonts w:cs="宋体"/>
                      <w:color w:val="auto"/>
                      <w:kern w:val="18"/>
                      <w:szCs w:val="21"/>
                    </w:rPr>
                  </w:pPr>
                  <w:r>
                    <w:rPr>
                      <w:rFonts w:hint="eastAsia" w:cs="宋体"/>
                      <w:color w:val="auto"/>
                      <w:kern w:val="0"/>
                      <w:szCs w:val="21"/>
                      <w:lang w:bidi="ar"/>
                    </w:rPr>
                    <w:t>周</w:t>
                  </w:r>
                </w:p>
              </w:tc>
            </w:tr>
            <w:tr w14:paraId="743276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6" w:type="pct"/>
                  <w:vMerge w:val="continue"/>
                  <w:vAlign w:val="center"/>
                </w:tcPr>
                <w:p w14:paraId="62999AD6">
                  <w:pPr>
                    <w:pStyle w:val="44"/>
                    <w:spacing w:line="240" w:lineRule="auto"/>
                    <w:rPr>
                      <w:rFonts w:cs="宋体"/>
                      <w:color w:val="auto"/>
                      <w:szCs w:val="21"/>
                      <w:lang w:eastAsia="zh-CN"/>
                    </w:rPr>
                  </w:pPr>
                </w:p>
              </w:tc>
              <w:tc>
                <w:tcPr>
                  <w:tcW w:w="3799" w:type="pct"/>
                  <w:vAlign w:val="center"/>
                </w:tcPr>
                <w:p w14:paraId="152F990E">
                  <w:pPr>
                    <w:widowControl/>
                    <w:adjustRightInd w:val="0"/>
                    <w:snapToGrid w:val="0"/>
                    <w:jc w:val="center"/>
                    <w:rPr>
                      <w:rFonts w:cs="宋体"/>
                      <w:color w:val="auto"/>
                      <w:kern w:val="18"/>
                      <w:szCs w:val="21"/>
                    </w:rPr>
                  </w:pPr>
                  <w:r>
                    <w:rPr>
                      <w:rFonts w:hint="eastAsia" w:cs="宋体"/>
                      <w:color w:val="auto"/>
                      <w:kern w:val="0"/>
                      <w:szCs w:val="21"/>
                      <w:lang w:bidi="ar"/>
                    </w:rPr>
                    <w:t>粪大肠菌群数</w:t>
                  </w:r>
                </w:p>
              </w:tc>
              <w:tc>
                <w:tcPr>
                  <w:tcW w:w="804" w:type="pct"/>
                  <w:vAlign w:val="center"/>
                </w:tcPr>
                <w:p w14:paraId="76F5429E">
                  <w:pPr>
                    <w:widowControl/>
                    <w:adjustRightInd w:val="0"/>
                    <w:snapToGrid w:val="0"/>
                    <w:jc w:val="center"/>
                    <w:rPr>
                      <w:rFonts w:cs="宋体"/>
                      <w:color w:val="auto"/>
                      <w:kern w:val="18"/>
                      <w:szCs w:val="21"/>
                    </w:rPr>
                  </w:pPr>
                  <w:r>
                    <w:rPr>
                      <w:rFonts w:hint="eastAsia" w:cs="宋体"/>
                      <w:color w:val="auto"/>
                      <w:kern w:val="0"/>
                      <w:szCs w:val="21"/>
                      <w:lang w:bidi="ar"/>
                    </w:rPr>
                    <w:t>月</w:t>
                  </w:r>
                </w:p>
              </w:tc>
            </w:tr>
            <w:tr w14:paraId="33CC4E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6" w:type="pct"/>
                  <w:vMerge w:val="continue"/>
                  <w:vAlign w:val="center"/>
                </w:tcPr>
                <w:p w14:paraId="4A5236DC">
                  <w:pPr>
                    <w:pStyle w:val="44"/>
                    <w:spacing w:line="240" w:lineRule="auto"/>
                    <w:rPr>
                      <w:rFonts w:cs="宋体"/>
                      <w:color w:val="auto"/>
                      <w:szCs w:val="21"/>
                      <w:lang w:eastAsia="zh-CN"/>
                    </w:rPr>
                  </w:pPr>
                </w:p>
              </w:tc>
              <w:tc>
                <w:tcPr>
                  <w:tcW w:w="3799" w:type="pct"/>
                  <w:vAlign w:val="center"/>
                </w:tcPr>
                <w:p w14:paraId="7D928F8B">
                  <w:pPr>
                    <w:widowControl/>
                    <w:jc w:val="center"/>
                    <w:rPr>
                      <w:rFonts w:cs="宋体"/>
                      <w:color w:val="auto"/>
                      <w:kern w:val="18"/>
                      <w:szCs w:val="21"/>
                    </w:rPr>
                  </w:pPr>
                  <w:r>
                    <w:rPr>
                      <w:rFonts w:hint="eastAsia" w:cs="宋体"/>
                      <w:color w:val="auto"/>
                      <w:kern w:val="0"/>
                      <w:szCs w:val="21"/>
                      <w:lang w:bidi="ar"/>
                    </w:rPr>
                    <w:t>五日生化需氧量、石油类、挥发酚、动植物油、阴离子表面活性剂、总氰化物</w:t>
                  </w:r>
                </w:p>
              </w:tc>
              <w:tc>
                <w:tcPr>
                  <w:tcW w:w="804" w:type="pct"/>
                  <w:vAlign w:val="center"/>
                </w:tcPr>
                <w:p w14:paraId="2664792A">
                  <w:pPr>
                    <w:widowControl/>
                    <w:adjustRightInd w:val="0"/>
                    <w:snapToGrid w:val="0"/>
                    <w:jc w:val="center"/>
                    <w:rPr>
                      <w:rFonts w:cs="宋体"/>
                      <w:color w:val="auto"/>
                      <w:kern w:val="18"/>
                      <w:szCs w:val="21"/>
                    </w:rPr>
                  </w:pPr>
                  <w:r>
                    <w:rPr>
                      <w:rFonts w:hint="eastAsia" w:cs="宋体"/>
                      <w:color w:val="auto"/>
                      <w:kern w:val="18"/>
                      <w:szCs w:val="21"/>
                    </w:rPr>
                    <w:t>季度</w:t>
                  </w:r>
                </w:p>
              </w:tc>
            </w:tr>
          </w:tbl>
          <w:p w14:paraId="158462CE">
            <w:pPr>
              <w:adjustRightInd w:val="0"/>
              <w:snapToGrid w:val="0"/>
              <w:spacing w:line="360" w:lineRule="auto"/>
              <w:ind w:firstLine="482" w:firstLineChars="200"/>
              <w:jc w:val="left"/>
              <w:rPr>
                <w:b/>
                <w:color w:val="auto"/>
                <w:sz w:val="24"/>
              </w:rPr>
            </w:pPr>
            <w:r>
              <w:rPr>
                <w:rFonts w:hint="eastAsia"/>
                <w:b/>
                <w:color w:val="auto"/>
                <w:sz w:val="24"/>
              </w:rPr>
              <w:t>三、噪声</w:t>
            </w:r>
          </w:p>
          <w:p w14:paraId="2D33EB87">
            <w:pPr>
              <w:spacing w:line="360" w:lineRule="auto"/>
              <w:ind w:firstLine="482" w:firstLineChars="200"/>
              <w:jc w:val="left"/>
              <w:rPr>
                <w:b/>
                <w:color w:val="auto"/>
                <w:sz w:val="24"/>
              </w:rPr>
            </w:pPr>
            <w:r>
              <w:rPr>
                <w:rFonts w:hint="eastAsia"/>
                <w:b/>
                <w:color w:val="auto"/>
                <w:sz w:val="24"/>
              </w:rPr>
              <w:t>1、噪声源强</w:t>
            </w:r>
          </w:p>
          <w:p w14:paraId="7D664C7C">
            <w:pPr>
              <w:spacing w:line="360" w:lineRule="auto"/>
              <w:ind w:firstLine="480" w:firstLineChars="200"/>
              <w:jc w:val="left"/>
              <w:rPr>
                <w:bCs/>
                <w:color w:val="auto"/>
                <w:sz w:val="24"/>
              </w:rPr>
            </w:pPr>
            <w:r>
              <w:rPr>
                <w:bCs/>
                <w:color w:val="auto"/>
                <w:sz w:val="24"/>
              </w:rPr>
              <w:t>本项目噪声主要来源于</w:t>
            </w:r>
            <w:r>
              <w:rPr>
                <w:rFonts w:hint="eastAsia"/>
                <w:bCs/>
                <w:color w:val="auto"/>
                <w:sz w:val="24"/>
              </w:rPr>
              <w:t>风机</w:t>
            </w:r>
            <w:r>
              <w:rPr>
                <w:bCs/>
                <w:color w:val="auto"/>
                <w:sz w:val="24"/>
              </w:rPr>
              <w:t>、</w:t>
            </w:r>
            <w:r>
              <w:rPr>
                <w:rFonts w:hint="eastAsia"/>
                <w:bCs/>
                <w:color w:val="auto"/>
                <w:sz w:val="24"/>
              </w:rPr>
              <w:t>水泵、配电设施噪声，均为室内声源</w:t>
            </w:r>
            <w:r>
              <w:rPr>
                <w:bCs/>
                <w:color w:val="auto"/>
                <w:sz w:val="24"/>
              </w:rPr>
              <w:t>，设备噪声为60～80dB。</w:t>
            </w:r>
            <w:r>
              <w:rPr>
                <w:rFonts w:hint="eastAsia"/>
                <w:bCs/>
                <w:color w:val="auto"/>
                <w:sz w:val="24"/>
              </w:rPr>
              <w:t>其噪声源强见下表：</w:t>
            </w:r>
          </w:p>
          <w:p w14:paraId="1EC9127F">
            <w:pPr>
              <w:adjustRightInd w:val="0"/>
              <w:snapToGrid w:val="0"/>
              <w:jc w:val="center"/>
              <w:rPr>
                <w:b/>
                <w:bCs/>
                <w:color w:val="auto"/>
                <w:szCs w:val="21"/>
              </w:rPr>
            </w:pPr>
            <w:r>
              <w:rPr>
                <w:rFonts w:hint="eastAsia"/>
                <w:b/>
                <w:bCs/>
                <w:color w:val="auto"/>
                <w:szCs w:val="21"/>
              </w:rPr>
              <w:t>表4-</w:t>
            </w:r>
            <w:r>
              <w:rPr>
                <w:rFonts w:hint="eastAsia"/>
                <w:b/>
                <w:bCs/>
                <w:color w:val="auto"/>
                <w:szCs w:val="21"/>
                <w:lang w:val="en-US" w:eastAsia="zh-CN"/>
              </w:rPr>
              <w:t>10</w:t>
            </w:r>
            <w:r>
              <w:rPr>
                <w:rFonts w:hint="eastAsia"/>
                <w:b/>
                <w:bCs/>
                <w:color w:val="auto"/>
                <w:szCs w:val="21"/>
              </w:rPr>
              <w:t xml:space="preserve"> 生产设备及源强表（室内声源）</w:t>
            </w:r>
          </w:p>
          <w:tbl>
            <w:tblPr>
              <w:tblStyle w:val="17"/>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28"/>
              <w:gridCol w:w="563"/>
              <w:gridCol w:w="428"/>
              <w:gridCol w:w="934"/>
              <w:gridCol w:w="835"/>
              <w:gridCol w:w="496"/>
              <w:gridCol w:w="440"/>
              <w:gridCol w:w="509"/>
              <w:gridCol w:w="561"/>
              <w:gridCol w:w="745"/>
              <w:gridCol w:w="617"/>
              <w:gridCol w:w="688"/>
              <w:gridCol w:w="739"/>
              <w:gridCol w:w="636"/>
            </w:tblGrid>
            <w:tr w14:paraId="46A205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12" w:hRule="atLeast"/>
                <w:jc w:val="center"/>
              </w:trPr>
              <w:tc>
                <w:tcPr>
                  <w:tcW w:w="193" w:type="pct"/>
                  <w:vMerge w:val="restart"/>
                  <w:tcBorders>
                    <w:top w:val="single" w:color="auto" w:sz="12" w:space="0"/>
                  </w:tcBorders>
                  <w:vAlign w:val="center"/>
                </w:tcPr>
                <w:p w14:paraId="03162622">
                  <w:pPr>
                    <w:adjustRightInd w:val="0"/>
                    <w:snapToGrid w:val="0"/>
                    <w:jc w:val="center"/>
                    <w:rPr>
                      <w:b/>
                      <w:bCs/>
                      <w:color w:val="auto"/>
                      <w:sz w:val="18"/>
                      <w:szCs w:val="18"/>
                      <w:lang w:val="zh-CN" w:bidi="zh-CN"/>
                    </w:rPr>
                  </w:pPr>
                  <w:r>
                    <w:rPr>
                      <w:b/>
                      <w:bCs/>
                      <w:color w:val="auto"/>
                      <w:sz w:val="18"/>
                      <w:szCs w:val="18"/>
                      <w:lang w:val="zh-CN" w:bidi="zh-CN"/>
                    </w:rPr>
                    <w:t>序号</w:t>
                  </w:r>
                </w:p>
              </w:tc>
              <w:tc>
                <w:tcPr>
                  <w:tcW w:w="331" w:type="pct"/>
                  <w:vMerge w:val="restart"/>
                  <w:tcBorders>
                    <w:top w:val="single" w:color="auto" w:sz="12" w:space="0"/>
                  </w:tcBorders>
                  <w:vAlign w:val="center"/>
                </w:tcPr>
                <w:p w14:paraId="25ED8DEF">
                  <w:pPr>
                    <w:adjustRightInd w:val="0"/>
                    <w:snapToGrid w:val="0"/>
                    <w:jc w:val="center"/>
                    <w:rPr>
                      <w:b/>
                      <w:bCs/>
                      <w:color w:val="auto"/>
                      <w:sz w:val="18"/>
                      <w:szCs w:val="18"/>
                      <w:lang w:val="zh-CN" w:bidi="zh-CN"/>
                    </w:rPr>
                  </w:pPr>
                  <w:r>
                    <w:rPr>
                      <w:b/>
                      <w:bCs/>
                      <w:color w:val="auto"/>
                      <w:sz w:val="18"/>
                      <w:szCs w:val="18"/>
                      <w:lang w:val="zh-CN" w:bidi="zh-CN"/>
                    </w:rPr>
                    <w:t>建筑物名称</w:t>
                  </w:r>
                </w:p>
              </w:tc>
              <w:tc>
                <w:tcPr>
                  <w:tcW w:w="251" w:type="pct"/>
                  <w:vMerge w:val="restart"/>
                  <w:tcBorders>
                    <w:top w:val="single" w:color="auto" w:sz="12" w:space="0"/>
                  </w:tcBorders>
                  <w:vAlign w:val="center"/>
                </w:tcPr>
                <w:p w14:paraId="1847BE2F">
                  <w:pPr>
                    <w:adjustRightInd w:val="0"/>
                    <w:snapToGrid w:val="0"/>
                    <w:jc w:val="center"/>
                    <w:rPr>
                      <w:b/>
                      <w:bCs/>
                      <w:color w:val="auto"/>
                      <w:sz w:val="18"/>
                      <w:szCs w:val="18"/>
                      <w:lang w:val="zh-CN" w:bidi="zh-CN"/>
                    </w:rPr>
                  </w:pPr>
                  <w:r>
                    <w:rPr>
                      <w:b/>
                      <w:bCs/>
                      <w:color w:val="auto"/>
                      <w:sz w:val="18"/>
                      <w:szCs w:val="18"/>
                      <w:lang w:val="zh-CN" w:bidi="zh-CN"/>
                    </w:rPr>
                    <w:t>声源名称</w:t>
                  </w:r>
                </w:p>
              </w:tc>
              <w:tc>
                <w:tcPr>
                  <w:tcW w:w="548" w:type="pct"/>
                  <w:tcBorders>
                    <w:top w:val="single" w:color="auto" w:sz="12" w:space="0"/>
                  </w:tcBorders>
                  <w:vAlign w:val="center"/>
                </w:tcPr>
                <w:p w14:paraId="13D47F85">
                  <w:pPr>
                    <w:adjustRightInd w:val="0"/>
                    <w:snapToGrid w:val="0"/>
                    <w:jc w:val="center"/>
                    <w:rPr>
                      <w:b/>
                      <w:bCs/>
                      <w:color w:val="auto"/>
                      <w:sz w:val="18"/>
                      <w:szCs w:val="18"/>
                      <w:lang w:val="zh-CN" w:bidi="zh-CN"/>
                    </w:rPr>
                  </w:pPr>
                  <w:r>
                    <w:rPr>
                      <w:b/>
                      <w:bCs/>
                      <w:color w:val="auto"/>
                      <w:sz w:val="18"/>
                      <w:szCs w:val="18"/>
                      <w:lang w:val="zh-CN" w:bidi="zh-CN"/>
                    </w:rPr>
                    <w:t>声源源强</w:t>
                  </w:r>
                </w:p>
              </w:tc>
              <w:tc>
                <w:tcPr>
                  <w:tcW w:w="490" w:type="pct"/>
                  <w:vMerge w:val="restart"/>
                  <w:tcBorders>
                    <w:top w:val="single" w:color="auto" w:sz="12" w:space="0"/>
                  </w:tcBorders>
                  <w:vAlign w:val="center"/>
                </w:tcPr>
                <w:p w14:paraId="6B8EE8BF">
                  <w:pPr>
                    <w:adjustRightInd w:val="0"/>
                    <w:snapToGrid w:val="0"/>
                    <w:jc w:val="center"/>
                    <w:rPr>
                      <w:b/>
                      <w:bCs/>
                      <w:color w:val="auto"/>
                      <w:sz w:val="18"/>
                      <w:szCs w:val="18"/>
                      <w:lang w:val="zh-CN" w:bidi="zh-CN"/>
                    </w:rPr>
                  </w:pPr>
                  <w:r>
                    <w:rPr>
                      <w:b/>
                      <w:bCs/>
                      <w:color w:val="auto"/>
                      <w:sz w:val="18"/>
                      <w:szCs w:val="18"/>
                      <w:lang w:val="zh-CN" w:bidi="zh-CN"/>
                    </w:rPr>
                    <w:t>声源控制措施</w:t>
                  </w:r>
                </w:p>
              </w:tc>
              <w:tc>
                <w:tcPr>
                  <w:tcW w:w="848" w:type="pct"/>
                  <w:gridSpan w:val="3"/>
                  <w:tcBorders>
                    <w:top w:val="single" w:color="auto" w:sz="12" w:space="0"/>
                  </w:tcBorders>
                  <w:vAlign w:val="center"/>
                </w:tcPr>
                <w:p w14:paraId="702B5B88">
                  <w:pPr>
                    <w:adjustRightInd w:val="0"/>
                    <w:snapToGrid w:val="0"/>
                    <w:jc w:val="center"/>
                    <w:rPr>
                      <w:b/>
                      <w:bCs/>
                      <w:color w:val="auto"/>
                      <w:sz w:val="18"/>
                      <w:szCs w:val="18"/>
                      <w:lang w:val="zh-CN" w:bidi="zh-CN"/>
                    </w:rPr>
                  </w:pPr>
                  <w:r>
                    <w:rPr>
                      <w:b/>
                      <w:bCs/>
                      <w:color w:val="auto"/>
                      <w:sz w:val="18"/>
                      <w:szCs w:val="18"/>
                      <w:lang w:val="zh-CN" w:bidi="zh-CN"/>
                    </w:rPr>
                    <w:t>空间相对位置/m</w:t>
                  </w:r>
                </w:p>
              </w:tc>
              <w:tc>
                <w:tcPr>
                  <w:tcW w:w="329" w:type="pct"/>
                  <w:vMerge w:val="restart"/>
                  <w:tcBorders>
                    <w:top w:val="single" w:color="auto" w:sz="12" w:space="0"/>
                  </w:tcBorders>
                  <w:vAlign w:val="center"/>
                </w:tcPr>
                <w:p w14:paraId="6D75AA75">
                  <w:pPr>
                    <w:adjustRightInd w:val="0"/>
                    <w:snapToGrid w:val="0"/>
                    <w:jc w:val="center"/>
                    <w:rPr>
                      <w:b/>
                      <w:bCs/>
                      <w:color w:val="auto"/>
                      <w:sz w:val="18"/>
                      <w:szCs w:val="18"/>
                      <w:lang w:val="zh-CN" w:bidi="zh-CN"/>
                    </w:rPr>
                  </w:pPr>
                  <w:r>
                    <w:rPr>
                      <w:b/>
                      <w:bCs/>
                      <w:color w:val="auto"/>
                      <w:sz w:val="18"/>
                      <w:szCs w:val="18"/>
                      <w:lang w:val="zh-CN" w:bidi="zh-CN"/>
                    </w:rPr>
                    <w:t>距室内边界距离/m</w:t>
                  </w:r>
                </w:p>
              </w:tc>
              <w:tc>
                <w:tcPr>
                  <w:tcW w:w="437" w:type="pct"/>
                  <w:vMerge w:val="restart"/>
                  <w:tcBorders>
                    <w:top w:val="single" w:color="auto" w:sz="12" w:space="0"/>
                  </w:tcBorders>
                  <w:vAlign w:val="center"/>
                </w:tcPr>
                <w:p w14:paraId="01F2D62A">
                  <w:pPr>
                    <w:adjustRightInd w:val="0"/>
                    <w:snapToGrid w:val="0"/>
                    <w:jc w:val="center"/>
                    <w:rPr>
                      <w:b/>
                      <w:bCs/>
                      <w:color w:val="auto"/>
                      <w:sz w:val="18"/>
                      <w:szCs w:val="18"/>
                      <w:lang w:val="zh-CN" w:bidi="zh-CN"/>
                    </w:rPr>
                  </w:pPr>
                  <w:r>
                    <w:rPr>
                      <w:b/>
                      <w:bCs/>
                      <w:color w:val="auto"/>
                      <w:spacing w:val="-5"/>
                      <w:sz w:val="18"/>
                      <w:szCs w:val="18"/>
                      <w:lang w:val="zh-CN" w:bidi="zh-CN"/>
                    </w:rPr>
                    <w:t>室内边界</w:t>
                  </w:r>
                  <w:r>
                    <w:rPr>
                      <w:b/>
                      <w:bCs/>
                      <w:color w:val="auto"/>
                      <w:sz w:val="18"/>
                      <w:szCs w:val="18"/>
                      <w:lang w:val="zh-CN" w:bidi="zh-CN"/>
                    </w:rPr>
                    <w:t>声级/dB(A)</w:t>
                  </w:r>
                </w:p>
              </w:tc>
              <w:tc>
                <w:tcPr>
                  <w:tcW w:w="362" w:type="pct"/>
                  <w:vMerge w:val="restart"/>
                  <w:tcBorders>
                    <w:top w:val="single" w:color="auto" w:sz="12" w:space="0"/>
                  </w:tcBorders>
                  <w:vAlign w:val="center"/>
                </w:tcPr>
                <w:p w14:paraId="54A686FC">
                  <w:pPr>
                    <w:adjustRightInd w:val="0"/>
                    <w:snapToGrid w:val="0"/>
                    <w:jc w:val="center"/>
                    <w:rPr>
                      <w:b/>
                      <w:bCs/>
                      <w:color w:val="auto"/>
                      <w:sz w:val="18"/>
                      <w:szCs w:val="18"/>
                      <w:lang w:val="zh-CN" w:bidi="zh-CN"/>
                    </w:rPr>
                  </w:pPr>
                  <w:r>
                    <w:rPr>
                      <w:b/>
                      <w:bCs/>
                      <w:color w:val="auto"/>
                      <w:sz w:val="18"/>
                      <w:szCs w:val="18"/>
                      <w:lang w:val="zh-CN" w:bidi="zh-CN"/>
                    </w:rPr>
                    <w:t>运行时段</w:t>
                  </w:r>
                </w:p>
              </w:tc>
              <w:tc>
                <w:tcPr>
                  <w:tcW w:w="404" w:type="pct"/>
                  <w:vMerge w:val="restart"/>
                  <w:tcBorders>
                    <w:top w:val="single" w:color="auto" w:sz="12" w:space="0"/>
                  </w:tcBorders>
                  <w:vAlign w:val="center"/>
                </w:tcPr>
                <w:p w14:paraId="1AA82375">
                  <w:pPr>
                    <w:adjustRightInd w:val="0"/>
                    <w:snapToGrid w:val="0"/>
                    <w:jc w:val="center"/>
                    <w:rPr>
                      <w:b/>
                      <w:bCs/>
                      <w:color w:val="auto"/>
                      <w:sz w:val="18"/>
                      <w:szCs w:val="18"/>
                      <w:lang w:val="zh-CN" w:bidi="zh-CN"/>
                    </w:rPr>
                  </w:pPr>
                  <w:r>
                    <w:rPr>
                      <w:b/>
                      <w:bCs/>
                      <w:color w:val="auto"/>
                      <w:sz w:val="18"/>
                      <w:szCs w:val="18"/>
                      <w:lang w:val="zh-CN" w:bidi="zh-CN"/>
                    </w:rPr>
                    <w:t>建筑物插入损失/dB(A)</w:t>
                  </w:r>
                </w:p>
              </w:tc>
              <w:tc>
                <w:tcPr>
                  <w:tcW w:w="802" w:type="pct"/>
                  <w:gridSpan w:val="2"/>
                  <w:tcBorders>
                    <w:top w:val="single" w:color="auto" w:sz="12" w:space="0"/>
                  </w:tcBorders>
                  <w:vAlign w:val="center"/>
                </w:tcPr>
                <w:p w14:paraId="2B731427">
                  <w:pPr>
                    <w:adjustRightInd w:val="0"/>
                    <w:snapToGrid w:val="0"/>
                    <w:jc w:val="center"/>
                    <w:rPr>
                      <w:b/>
                      <w:bCs/>
                      <w:color w:val="auto"/>
                      <w:sz w:val="18"/>
                      <w:szCs w:val="18"/>
                      <w:lang w:val="zh-CN" w:bidi="zh-CN"/>
                    </w:rPr>
                  </w:pPr>
                  <w:r>
                    <w:rPr>
                      <w:b/>
                      <w:bCs/>
                      <w:color w:val="auto"/>
                      <w:sz w:val="18"/>
                      <w:szCs w:val="18"/>
                      <w:lang w:val="zh-CN" w:bidi="zh-CN"/>
                    </w:rPr>
                    <w:t>建筑物外噪声</w:t>
                  </w:r>
                </w:p>
              </w:tc>
            </w:tr>
            <w:tr w14:paraId="346072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9" w:hRule="atLeast"/>
                <w:jc w:val="center"/>
              </w:trPr>
              <w:tc>
                <w:tcPr>
                  <w:tcW w:w="193" w:type="pct"/>
                  <w:vMerge w:val="continue"/>
                  <w:vAlign w:val="center"/>
                </w:tcPr>
                <w:p w14:paraId="7D63F551">
                  <w:pPr>
                    <w:adjustRightInd w:val="0"/>
                    <w:snapToGrid w:val="0"/>
                    <w:jc w:val="center"/>
                    <w:rPr>
                      <w:b/>
                      <w:bCs/>
                      <w:color w:val="auto"/>
                      <w:sz w:val="18"/>
                      <w:szCs w:val="18"/>
                    </w:rPr>
                  </w:pPr>
                </w:p>
              </w:tc>
              <w:tc>
                <w:tcPr>
                  <w:tcW w:w="331" w:type="pct"/>
                  <w:vMerge w:val="continue"/>
                  <w:vAlign w:val="center"/>
                </w:tcPr>
                <w:p w14:paraId="379A14FB">
                  <w:pPr>
                    <w:adjustRightInd w:val="0"/>
                    <w:snapToGrid w:val="0"/>
                    <w:jc w:val="center"/>
                    <w:rPr>
                      <w:b/>
                      <w:bCs/>
                      <w:color w:val="auto"/>
                      <w:sz w:val="18"/>
                      <w:szCs w:val="18"/>
                    </w:rPr>
                  </w:pPr>
                </w:p>
              </w:tc>
              <w:tc>
                <w:tcPr>
                  <w:tcW w:w="251" w:type="pct"/>
                  <w:vMerge w:val="continue"/>
                  <w:vAlign w:val="center"/>
                </w:tcPr>
                <w:p w14:paraId="100F36B0">
                  <w:pPr>
                    <w:adjustRightInd w:val="0"/>
                    <w:snapToGrid w:val="0"/>
                    <w:jc w:val="center"/>
                    <w:rPr>
                      <w:b/>
                      <w:bCs/>
                      <w:color w:val="auto"/>
                      <w:sz w:val="18"/>
                      <w:szCs w:val="18"/>
                    </w:rPr>
                  </w:pPr>
                </w:p>
              </w:tc>
              <w:tc>
                <w:tcPr>
                  <w:tcW w:w="548" w:type="pct"/>
                  <w:vAlign w:val="center"/>
                </w:tcPr>
                <w:p w14:paraId="3AA34F59">
                  <w:pPr>
                    <w:adjustRightInd w:val="0"/>
                    <w:snapToGrid w:val="0"/>
                    <w:jc w:val="center"/>
                    <w:rPr>
                      <w:b/>
                      <w:bCs/>
                      <w:color w:val="auto"/>
                      <w:sz w:val="18"/>
                      <w:szCs w:val="18"/>
                      <w:lang w:val="zh-CN" w:bidi="zh-CN"/>
                    </w:rPr>
                  </w:pPr>
                  <w:r>
                    <w:rPr>
                      <w:b/>
                      <w:bCs/>
                      <w:color w:val="auto"/>
                      <w:sz w:val="18"/>
                      <w:szCs w:val="18"/>
                      <w:lang w:val="zh-CN" w:bidi="zh-CN"/>
                    </w:rPr>
                    <w:t>声</w:t>
                  </w:r>
                  <w:r>
                    <w:rPr>
                      <w:rFonts w:hint="eastAsia"/>
                      <w:b/>
                      <w:bCs/>
                      <w:color w:val="auto"/>
                      <w:sz w:val="18"/>
                      <w:szCs w:val="18"/>
                      <w:lang w:val="zh-CN" w:bidi="zh-CN"/>
                    </w:rPr>
                    <w:t>压</w:t>
                  </w:r>
                  <w:r>
                    <w:rPr>
                      <w:b/>
                      <w:bCs/>
                      <w:color w:val="auto"/>
                      <w:sz w:val="18"/>
                      <w:szCs w:val="18"/>
                      <w:lang w:val="zh-CN" w:bidi="zh-CN"/>
                    </w:rPr>
                    <w:t>级</w:t>
                  </w:r>
                </w:p>
                <w:p w14:paraId="07F4701C">
                  <w:pPr>
                    <w:adjustRightInd w:val="0"/>
                    <w:snapToGrid w:val="0"/>
                    <w:jc w:val="center"/>
                    <w:rPr>
                      <w:b/>
                      <w:bCs/>
                      <w:color w:val="auto"/>
                      <w:sz w:val="18"/>
                      <w:szCs w:val="18"/>
                      <w:lang w:val="zh-CN" w:bidi="zh-CN"/>
                    </w:rPr>
                  </w:pPr>
                  <w:r>
                    <w:rPr>
                      <w:b/>
                      <w:bCs/>
                      <w:color w:val="auto"/>
                      <w:sz w:val="18"/>
                      <w:szCs w:val="18"/>
                      <w:lang w:val="zh-CN" w:bidi="zh-CN"/>
                    </w:rPr>
                    <w:t>/dB(A)</w:t>
                  </w:r>
                </w:p>
              </w:tc>
              <w:tc>
                <w:tcPr>
                  <w:tcW w:w="490" w:type="pct"/>
                  <w:vMerge w:val="continue"/>
                  <w:vAlign w:val="center"/>
                </w:tcPr>
                <w:p w14:paraId="0E77D8E0">
                  <w:pPr>
                    <w:adjustRightInd w:val="0"/>
                    <w:snapToGrid w:val="0"/>
                    <w:jc w:val="center"/>
                    <w:rPr>
                      <w:b/>
                      <w:bCs/>
                      <w:color w:val="auto"/>
                      <w:sz w:val="18"/>
                      <w:szCs w:val="18"/>
                    </w:rPr>
                  </w:pPr>
                </w:p>
              </w:tc>
              <w:tc>
                <w:tcPr>
                  <w:tcW w:w="291" w:type="pct"/>
                  <w:vAlign w:val="center"/>
                </w:tcPr>
                <w:p w14:paraId="5F29B277">
                  <w:pPr>
                    <w:adjustRightInd w:val="0"/>
                    <w:snapToGrid w:val="0"/>
                    <w:jc w:val="center"/>
                    <w:rPr>
                      <w:b/>
                      <w:bCs/>
                      <w:iCs/>
                      <w:color w:val="auto"/>
                      <w:sz w:val="18"/>
                      <w:szCs w:val="18"/>
                      <w:lang w:val="zh-CN" w:bidi="zh-CN"/>
                    </w:rPr>
                  </w:pPr>
                  <w:r>
                    <w:rPr>
                      <w:b/>
                      <w:bCs/>
                      <w:iCs/>
                      <w:color w:val="auto"/>
                      <w:sz w:val="18"/>
                      <w:szCs w:val="18"/>
                      <w:lang w:val="zh-CN" w:bidi="zh-CN"/>
                    </w:rPr>
                    <w:t>X</w:t>
                  </w:r>
                </w:p>
              </w:tc>
              <w:tc>
                <w:tcPr>
                  <w:tcW w:w="258" w:type="pct"/>
                  <w:vAlign w:val="center"/>
                </w:tcPr>
                <w:p w14:paraId="4FAE3FDE">
                  <w:pPr>
                    <w:adjustRightInd w:val="0"/>
                    <w:snapToGrid w:val="0"/>
                    <w:jc w:val="center"/>
                    <w:rPr>
                      <w:b/>
                      <w:bCs/>
                      <w:iCs/>
                      <w:color w:val="auto"/>
                      <w:sz w:val="18"/>
                      <w:szCs w:val="18"/>
                      <w:lang w:val="zh-CN" w:bidi="zh-CN"/>
                    </w:rPr>
                  </w:pPr>
                  <w:r>
                    <w:rPr>
                      <w:b/>
                      <w:bCs/>
                      <w:iCs/>
                      <w:color w:val="auto"/>
                      <w:sz w:val="18"/>
                      <w:szCs w:val="18"/>
                      <w:lang w:val="zh-CN" w:bidi="zh-CN"/>
                    </w:rPr>
                    <w:t>Y</w:t>
                  </w:r>
                </w:p>
              </w:tc>
              <w:tc>
                <w:tcPr>
                  <w:tcW w:w="298" w:type="pct"/>
                  <w:vAlign w:val="center"/>
                </w:tcPr>
                <w:p w14:paraId="0C848FA5">
                  <w:pPr>
                    <w:adjustRightInd w:val="0"/>
                    <w:snapToGrid w:val="0"/>
                    <w:jc w:val="center"/>
                    <w:rPr>
                      <w:b/>
                      <w:bCs/>
                      <w:iCs/>
                      <w:color w:val="auto"/>
                      <w:sz w:val="18"/>
                      <w:szCs w:val="18"/>
                      <w:lang w:val="zh-CN" w:bidi="zh-CN"/>
                    </w:rPr>
                  </w:pPr>
                  <w:r>
                    <w:rPr>
                      <w:b/>
                      <w:bCs/>
                      <w:iCs/>
                      <w:color w:val="auto"/>
                      <w:sz w:val="18"/>
                      <w:szCs w:val="18"/>
                      <w:lang w:val="zh-CN" w:bidi="zh-CN"/>
                    </w:rPr>
                    <w:t>Z</w:t>
                  </w:r>
                </w:p>
              </w:tc>
              <w:tc>
                <w:tcPr>
                  <w:tcW w:w="329" w:type="pct"/>
                  <w:vMerge w:val="continue"/>
                  <w:vAlign w:val="center"/>
                </w:tcPr>
                <w:p w14:paraId="5F17CBEB">
                  <w:pPr>
                    <w:adjustRightInd w:val="0"/>
                    <w:snapToGrid w:val="0"/>
                    <w:jc w:val="center"/>
                    <w:rPr>
                      <w:b/>
                      <w:bCs/>
                      <w:color w:val="auto"/>
                      <w:sz w:val="18"/>
                      <w:szCs w:val="18"/>
                    </w:rPr>
                  </w:pPr>
                </w:p>
              </w:tc>
              <w:tc>
                <w:tcPr>
                  <w:tcW w:w="437" w:type="pct"/>
                  <w:vMerge w:val="continue"/>
                  <w:vAlign w:val="center"/>
                </w:tcPr>
                <w:p w14:paraId="2BD51138">
                  <w:pPr>
                    <w:adjustRightInd w:val="0"/>
                    <w:snapToGrid w:val="0"/>
                    <w:jc w:val="center"/>
                    <w:rPr>
                      <w:b/>
                      <w:bCs/>
                      <w:color w:val="auto"/>
                      <w:sz w:val="18"/>
                      <w:szCs w:val="18"/>
                    </w:rPr>
                  </w:pPr>
                </w:p>
              </w:tc>
              <w:tc>
                <w:tcPr>
                  <w:tcW w:w="362" w:type="pct"/>
                  <w:vMerge w:val="continue"/>
                  <w:vAlign w:val="center"/>
                </w:tcPr>
                <w:p w14:paraId="416FA051">
                  <w:pPr>
                    <w:adjustRightInd w:val="0"/>
                    <w:snapToGrid w:val="0"/>
                    <w:jc w:val="center"/>
                    <w:rPr>
                      <w:b/>
                      <w:bCs/>
                      <w:color w:val="auto"/>
                      <w:sz w:val="18"/>
                      <w:szCs w:val="18"/>
                    </w:rPr>
                  </w:pPr>
                </w:p>
              </w:tc>
              <w:tc>
                <w:tcPr>
                  <w:tcW w:w="404" w:type="pct"/>
                  <w:vMerge w:val="continue"/>
                  <w:vAlign w:val="center"/>
                </w:tcPr>
                <w:p w14:paraId="65F233A0">
                  <w:pPr>
                    <w:adjustRightInd w:val="0"/>
                    <w:snapToGrid w:val="0"/>
                    <w:jc w:val="center"/>
                    <w:rPr>
                      <w:b/>
                      <w:bCs/>
                      <w:color w:val="auto"/>
                      <w:sz w:val="18"/>
                      <w:szCs w:val="18"/>
                    </w:rPr>
                  </w:pPr>
                </w:p>
              </w:tc>
              <w:tc>
                <w:tcPr>
                  <w:tcW w:w="434" w:type="pct"/>
                  <w:vAlign w:val="center"/>
                </w:tcPr>
                <w:p w14:paraId="4D4DCE52">
                  <w:pPr>
                    <w:adjustRightInd w:val="0"/>
                    <w:snapToGrid w:val="0"/>
                    <w:jc w:val="center"/>
                    <w:rPr>
                      <w:b/>
                      <w:bCs/>
                      <w:color w:val="auto"/>
                      <w:sz w:val="18"/>
                      <w:szCs w:val="18"/>
                      <w:lang w:val="zh-CN" w:bidi="zh-CN"/>
                    </w:rPr>
                  </w:pPr>
                  <w:r>
                    <w:rPr>
                      <w:b/>
                      <w:bCs/>
                      <w:color w:val="auto"/>
                      <w:sz w:val="18"/>
                      <w:szCs w:val="18"/>
                      <w:lang w:val="zh-CN" w:bidi="zh-CN"/>
                    </w:rPr>
                    <w:t>声压级</w:t>
                  </w:r>
                </w:p>
                <w:p w14:paraId="6D53C453">
                  <w:pPr>
                    <w:adjustRightInd w:val="0"/>
                    <w:snapToGrid w:val="0"/>
                    <w:jc w:val="center"/>
                    <w:rPr>
                      <w:b/>
                      <w:bCs/>
                      <w:color w:val="auto"/>
                      <w:sz w:val="18"/>
                      <w:szCs w:val="18"/>
                      <w:lang w:val="zh-CN" w:bidi="zh-CN"/>
                    </w:rPr>
                  </w:pPr>
                  <w:r>
                    <w:rPr>
                      <w:b/>
                      <w:bCs/>
                      <w:color w:val="auto"/>
                      <w:sz w:val="18"/>
                      <w:szCs w:val="18"/>
                      <w:lang w:val="zh-CN" w:bidi="zh-CN"/>
                    </w:rPr>
                    <w:t>/dB(A)</w:t>
                  </w:r>
                </w:p>
              </w:tc>
              <w:tc>
                <w:tcPr>
                  <w:tcW w:w="368" w:type="pct"/>
                  <w:vAlign w:val="center"/>
                </w:tcPr>
                <w:p w14:paraId="10705AC1">
                  <w:pPr>
                    <w:adjustRightInd w:val="0"/>
                    <w:snapToGrid w:val="0"/>
                    <w:jc w:val="center"/>
                    <w:rPr>
                      <w:b/>
                      <w:bCs/>
                      <w:color w:val="auto"/>
                      <w:sz w:val="18"/>
                      <w:szCs w:val="18"/>
                      <w:lang w:bidi="zh-CN"/>
                    </w:rPr>
                  </w:pPr>
                  <w:r>
                    <w:rPr>
                      <w:b/>
                      <w:bCs/>
                      <w:color w:val="auto"/>
                      <w:sz w:val="18"/>
                      <w:szCs w:val="18"/>
                      <w:lang w:val="zh-CN" w:bidi="zh-CN"/>
                    </w:rPr>
                    <w:t>建筑物外距离</w:t>
                  </w:r>
                  <w:r>
                    <w:rPr>
                      <w:b/>
                      <w:bCs/>
                      <w:color w:val="auto"/>
                      <w:sz w:val="18"/>
                      <w:szCs w:val="18"/>
                      <w:lang w:bidi="zh-CN"/>
                    </w:rPr>
                    <w:t>/m</w:t>
                  </w:r>
                </w:p>
              </w:tc>
            </w:tr>
            <w:tr w14:paraId="02D1C8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4" w:hRule="atLeast"/>
                <w:jc w:val="center"/>
              </w:trPr>
              <w:tc>
                <w:tcPr>
                  <w:tcW w:w="193" w:type="pct"/>
                  <w:vAlign w:val="center"/>
                </w:tcPr>
                <w:p w14:paraId="3ECAC679">
                  <w:pPr>
                    <w:adjustRightInd w:val="0"/>
                    <w:snapToGrid w:val="0"/>
                    <w:jc w:val="center"/>
                    <w:rPr>
                      <w:color w:val="auto"/>
                      <w:sz w:val="18"/>
                      <w:szCs w:val="18"/>
                      <w:lang w:val="zh-CN" w:bidi="zh-CN"/>
                    </w:rPr>
                  </w:pPr>
                  <w:r>
                    <w:rPr>
                      <w:rFonts w:hint="eastAsia"/>
                      <w:color w:val="auto"/>
                      <w:sz w:val="18"/>
                      <w:szCs w:val="18"/>
                      <w:lang w:bidi="zh-CN"/>
                    </w:rPr>
                    <w:t>1</w:t>
                  </w:r>
                </w:p>
              </w:tc>
              <w:tc>
                <w:tcPr>
                  <w:tcW w:w="331" w:type="pct"/>
                  <w:vAlign w:val="center"/>
                </w:tcPr>
                <w:p w14:paraId="7C5AB03C">
                  <w:pPr>
                    <w:adjustRightInd w:val="0"/>
                    <w:snapToGrid w:val="0"/>
                    <w:jc w:val="center"/>
                    <w:rPr>
                      <w:color w:val="auto"/>
                      <w:sz w:val="18"/>
                      <w:szCs w:val="18"/>
                      <w:lang w:bidi="zh-CN"/>
                    </w:rPr>
                  </w:pPr>
                  <w:r>
                    <w:rPr>
                      <w:rFonts w:hint="eastAsia"/>
                      <w:color w:val="auto"/>
                      <w:sz w:val="18"/>
                      <w:szCs w:val="18"/>
                      <w:lang w:bidi="zh-CN"/>
                    </w:rPr>
                    <w:t>污水处理</w:t>
                  </w:r>
                  <w:r>
                    <w:rPr>
                      <w:rFonts w:hint="eastAsia"/>
                      <w:color w:val="auto"/>
                      <w:sz w:val="18"/>
                      <w:szCs w:val="18"/>
                      <w:lang w:val="en-US" w:bidi="zh-CN"/>
                    </w:rPr>
                    <w:t>设备间</w:t>
                  </w:r>
                </w:p>
              </w:tc>
              <w:tc>
                <w:tcPr>
                  <w:tcW w:w="251" w:type="pct"/>
                  <w:vAlign w:val="center"/>
                </w:tcPr>
                <w:p w14:paraId="794105C7">
                  <w:pPr>
                    <w:jc w:val="center"/>
                    <w:rPr>
                      <w:color w:val="auto"/>
                      <w:sz w:val="18"/>
                      <w:szCs w:val="18"/>
                    </w:rPr>
                  </w:pPr>
                  <w:r>
                    <w:rPr>
                      <w:rFonts w:hint="eastAsia"/>
                      <w:color w:val="auto"/>
                      <w:sz w:val="18"/>
                      <w:szCs w:val="18"/>
                    </w:rPr>
                    <w:t>水泵</w:t>
                  </w:r>
                </w:p>
              </w:tc>
              <w:tc>
                <w:tcPr>
                  <w:tcW w:w="548" w:type="pct"/>
                  <w:vAlign w:val="center"/>
                </w:tcPr>
                <w:p w14:paraId="264C1ABF">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80</w:t>
                  </w:r>
                </w:p>
              </w:tc>
              <w:tc>
                <w:tcPr>
                  <w:tcW w:w="490" w:type="pct"/>
                  <w:vAlign w:val="center"/>
                </w:tcPr>
                <w:p w14:paraId="2CEB0AA6">
                  <w:pPr>
                    <w:adjustRightInd w:val="0"/>
                    <w:snapToGrid w:val="0"/>
                    <w:jc w:val="center"/>
                    <w:rPr>
                      <w:color w:val="auto"/>
                      <w:sz w:val="18"/>
                      <w:szCs w:val="18"/>
                      <w:lang w:bidi="zh-CN"/>
                    </w:rPr>
                  </w:pPr>
                  <w:r>
                    <w:rPr>
                      <w:rFonts w:hint="eastAsia"/>
                      <w:color w:val="auto"/>
                      <w:sz w:val="18"/>
                      <w:szCs w:val="18"/>
                      <w:lang w:bidi="zh-CN"/>
                    </w:rPr>
                    <w:t>减振、隔声</w:t>
                  </w:r>
                </w:p>
              </w:tc>
              <w:tc>
                <w:tcPr>
                  <w:tcW w:w="291" w:type="pct"/>
                  <w:vAlign w:val="center"/>
                </w:tcPr>
                <w:p w14:paraId="204AB296">
                  <w:pPr>
                    <w:adjustRightInd w:val="0"/>
                    <w:snapToGrid w:val="0"/>
                    <w:jc w:val="center"/>
                    <w:rPr>
                      <w:rFonts w:hint="default"/>
                      <w:color w:val="auto"/>
                      <w:sz w:val="18"/>
                      <w:szCs w:val="18"/>
                      <w:lang w:val="en-US" w:bidi="zh-CN"/>
                    </w:rPr>
                  </w:pPr>
                  <w:r>
                    <w:rPr>
                      <w:rFonts w:hint="eastAsia"/>
                      <w:color w:val="auto"/>
                      <w:sz w:val="18"/>
                      <w:szCs w:val="18"/>
                      <w:lang w:val="en-US" w:bidi="zh-CN"/>
                    </w:rPr>
                    <w:t>10</w:t>
                  </w:r>
                </w:p>
              </w:tc>
              <w:tc>
                <w:tcPr>
                  <w:tcW w:w="258" w:type="pct"/>
                  <w:vAlign w:val="center"/>
                </w:tcPr>
                <w:p w14:paraId="3974ED30">
                  <w:pPr>
                    <w:adjustRightInd w:val="0"/>
                    <w:snapToGrid w:val="0"/>
                    <w:jc w:val="center"/>
                    <w:rPr>
                      <w:rFonts w:hint="default"/>
                      <w:color w:val="auto"/>
                      <w:sz w:val="18"/>
                      <w:szCs w:val="18"/>
                      <w:lang w:val="en-US" w:bidi="zh-CN"/>
                    </w:rPr>
                  </w:pPr>
                  <w:r>
                    <w:rPr>
                      <w:rFonts w:hint="eastAsia"/>
                      <w:color w:val="auto"/>
                      <w:sz w:val="18"/>
                      <w:szCs w:val="18"/>
                      <w:lang w:val="en-US" w:bidi="zh-CN"/>
                    </w:rPr>
                    <w:t>10</w:t>
                  </w:r>
                </w:p>
              </w:tc>
              <w:tc>
                <w:tcPr>
                  <w:tcW w:w="298" w:type="pct"/>
                  <w:vAlign w:val="center"/>
                </w:tcPr>
                <w:p w14:paraId="261FCC08">
                  <w:pPr>
                    <w:adjustRightInd w:val="0"/>
                    <w:snapToGrid w:val="0"/>
                    <w:jc w:val="center"/>
                    <w:rPr>
                      <w:color w:val="auto"/>
                      <w:sz w:val="18"/>
                      <w:szCs w:val="18"/>
                      <w:lang w:bidi="zh-CN"/>
                    </w:rPr>
                  </w:pPr>
                  <w:r>
                    <w:rPr>
                      <w:rFonts w:hint="eastAsia"/>
                      <w:color w:val="auto"/>
                      <w:sz w:val="18"/>
                      <w:szCs w:val="18"/>
                      <w:lang w:val="en-US" w:bidi="zh-CN"/>
                    </w:rPr>
                    <w:t>1</w:t>
                  </w:r>
                </w:p>
              </w:tc>
              <w:tc>
                <w:tcPr>
                  <w:tcW w:w="329" w:type="pct"/>
                  <w:vAlign w:val="center"/>
                </w:tcPr>
                <w:p w14:paraId="5017F996">
                  <w:pPr>
                    <w:adjustRightInd w:val="0"/>
                    <w:snapToGrid w:val="0"/>
                    <w:jc w:val="center"/>
                    <w:rPr>
                      <w:color w:val="auto"/>
                      <w:sz w:val="18"/>
                      <w:szCs w:val="18"/>
                      <w:lang w:bidi="zh-CN"/>
                    </w:rPr>
                  </w:pPr>
                  <w:r>
                    <w:rPr>
                      <w:rFonts w:hint="eastAsia"/>
                      <w:color w:val="auto"/>
                      <w:sz w:val="18"/>
                      <w:szCs w:val="18"/>
                      <w:lang w:bidi="zh-CN"/>
                    </w:rPr>
                    <w:t>1</w:t>
                  </w:r>
                </w:p>
              </w:tc>
              <w:tc>
                <w:tcPr>
                  <w:tcW w:w="437" w:type="pct"/>
                  <w:vAlign w:val="center"/>
                </w:tcPr>
                <w:p w14:paraId="1218B9E4">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80</w:t>
                  </w:r>
                </w:p>
              </w:tc>
              <w:tc>
                <w:tcPr>
                  <w:tcW w:w="362" w:type="pct"/>
                  <w:vAlign w:val="center"/>
                </w:tcPr>
                <w:p w14:paraId="3AD1B2F1">
                  <w:pPr>
                    <w:adjustRightInd w:val="0"/>
                    <w:snapToGrid w:val="0"/>
                    <w:jc w:val="center"/>
                    <w:rPr>
                      <w:color w:val="auto"/>
                      <w:sz w:val="18"/>
                      <w:szCs w:val="18"/>
                      <w:lang w:bidi="zh-CN"/>
                    </w:rPr>
                  </w:pPr>
                  <w:r>
                    <w:rPr>
                      <w:rFonts w:hint="eastAsia"/>
                      <w:color w:val="auto"/>
                      <w:sz w:val="18"/>
                      <w:szCs w:val="18"/>
                      <w:lang w:bidi="zh-CN"/>
                    </w:rPr>
                    <w:t>连续</w:t>
                  </w:r>
                </w:p>
              </w:tc>
              <w:tc>
                <w:tcPr>
                  <w:tcW w:w="404" w:type="pct"/>
                  <w:vAlign w:val="center"/>
                </w:tcPr>
                <w:p w14:paraId="560657C7">
                  <w:pPr>
                    <w:adjustRightInd w:val="0"/>
                    <w:snapToGrid w:val="0"/>
                    <w:jc w:val="center"/>
                    <w:rPr>
                      <w:rFonts w:hint="default"/>
                      <w:color w:val="auto"/>
                      <w:sz w:val="18"/>
                      <w:szCs w:val="18"/>
                      <w:lang w:val="en-US" w:bidi="zh-CN"/>
                    </w:rPr>
                  </w:pPr>
                  <w:r>
                    <w:rPr>
                      <w:rFonts w:hint="eastAsia"/>
                      <w:color w:val="auto"/>
                      <w:sz w:val="18"/>
                      <w:szCs w:val="18"/>
                      <w:lang w:val="en-US" w:bidi="zh-CN"/>
                    </w:rPr>
                    <w:t>25</w:t>
                  </w:r>
                </w:p>
              </w:tc>
              <w:tc>
                <w:tcPr>
                  <w:tcW w:w="434" w:type="pct"/>
                  <w:vAlign w:val="center"/>
                </w:tcPr>
                <w:p w14:paraId="354B1F53">
                  <w:pPr>
                    <w:adjustRightInd w:val="0"/>
                    <w:snapToGrid w:val="0"/>
                    <w:jc w:val="center"/>
                    <w:rPr>
                      <w:rFonts w:hint="default"/>
                      <w:color w:val="auto"/>
                      <w:sz w:val="18"/>
                      <w:szCs w:val="18"/>
                      <w:lang w:val="en-US" w:bidi="zh-CN"/>
                    </w:rPr>
                  </w:pPr>
                  <w:r>
                    <w:rPr>
                      <w:rFonts w:hint="eastAsia"/>
                      <w:color w:val="auto"/>
                      <w:sz w:val="18"/>
                      <w:szCs w:val="18"/>
                      <w:lang w:val="en-US" w:bidi="zh-CN"/>
                    </w:rPr>
                    <w:t>55</w:t>
                  </w:r>
                </w:p>
              </w:tc>
              <w:tc>
                <w:tcPr>
                  <w:tcW w:w="368" w:type="pct"/>
                  <w:vAlign w:val="center"/>
                </w:tcPr>
                <w:p w14:paraId="6B50DAC4">
                  <w:pPr>
                    <w:adjustRightInd w:val="0"/>
                    <w:snapToGrid w:val="0"/>
                    <w:jc w:val="center"/>
                    <w:rPr>
                      <w:color w:val="auto"/>
                      <w:sz w:val="18"/>
                      <w:szCs w:val="18"/>
                      <w:lang w:bidi="zh-CN"/>
                    </w:rPr>
                  </w:pPr>
                  <w:r>
                    <w:rPr>
                      <w:rFonts w:hint="eastAsia"/>
                      <w:color w:val="auto"/>
                      <w:sz w:val="18"/>
                      <w:szCs w:val="18"/>
                      <w:lang w:bidi="zh-CN"/>
                    </w:rPr>
                    <w:t>1</w:t>
                  </w:r>
                </w:p>
              </w:tc>
            </w:tr>
            <w:tr w14:paraId="6826B4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4" w:hRule="atLeast"/>
                <w:jc w:val="center"/>
              </w:trPr>
              <w:tc>
                <w:tcPr>
                  <w:tcW w:w="193" w:type="pct"/>
                  <w:shd w:val="clear" w:color="auto" w:fill="auto"/>
                  <w:vAlign w:val="center"/>
                </w:tcPr>
                <w:p w14:paraId="0413D83D">
                  <w:pPr>
                    <w:adjustRightInd w:val="0"/>
                    <w:snapToGrid w:val="0"/>
                    <w:jc w:val="center"/>
                    <w:rPr>
                      <w:rFonts w:hint="eastAsia" w:ascii="Times New Roman" w:hAnsi="Times New Roman" w:eastAsia="宋体" w:cs="Times New Roman"/>
                      <w:color w:val="auto"/>
                      <w:kern w:val="2"/>
                      <w:sz w:val="18"/>
                      <w:szCs w:val="18"/>
                      <w:lang w:val="zh-CN" w:eastAsia="zh-CN" w:bidi="zh-CN"/>
                    </w:rPr>
                  </w:pPr>
                  <w:r>
                    <w:rPr>
                      <w:rFonts w:hint="eastAsia"/>
                      <w:color w:val="auto"/>
                      <w:sz w:val="18"/>
                      <w:szCs w:val="18"/>
                      <w:lang w:bidi="zh-CN"/>
                    </w:rPr>
                    <w:t>2</w:t>
                  </w:r>
                </w:p>
              </w:tc>
              <w:tc>
                <w:tcPr>
                  <w:tcW w:w="331" w:type="pct"/>
                  <w:vAlign w:val="center"/>
                </w:tcPr>
                <w:p w14:paraId="6CB56D5D">
                  <w:pPr>
                    <w:adjustRightInd w:val="0"/>
                    <w:snapToGrid w:val="0"/>
                    <w:jc w:val="center"/>
                    <w:rPr>
                      <w:rFonts w:hint="default"/>
                      <w:color w:val="auto"/>
                      <w:sz w:val="18"/>
                      <w:szCs w:val="18"/>
                      <w:lang w:val="en-US" w:bidi="zh-CN"/>
                    </w:rPr>
                  </w:pPr>
                  <w:r>
                    <w:rPr>
                      <w:rFonts w:hint="eastAsia"/>
                      <w:color w:val="auto"/>
                      <w:sz w:val="18"/>
                      <w:szCs w:val="18"/>
                      <w:lang w:val="en-US" w:bidi="zh-CN"/>
                    </w:rPr>
                    <w:t>食堂</w:t>
                  </w:r>
                </w:p>
              </w:tc>
              <w:tc>
                <w:tcPr>
                  <w:tcW w:w="251" w:type="pct"/>
                  <w:vAlign w:val="center"/>
                </w:tcPr>
                <w:p w14:paraId="5A91D64F">
                  <w:pPr>
                    <w:jc w:val="center"/>
                    <w:rPr>
                      <w:rFonts w:hint="eastAsia" w:eastAsia="宋体"/>
                      <w:color w:val="auto"/>
                      <w:sz w:val="18"/>
                      <w:szCs w:val="18"/>
                      <w:lang w:val="en-US" w:eastAsia="zh-CN"/>
                    </w:rPr>
                  </w:pPr>
                  <w:r>
                    <w:rPr>
                      <w:rFonts w:hint="eastAsia"/>
                      <w:color w:val="auto"/>
                      <w:sz w:val="18"/>
                      <w:szCs w:val="18"/>
                      <w:lang w:val="en-US" w:eastAsia="zh-CN"/>
                    </w:rPr>
                    <w:t>风机</w:t>
                  </w:r>
                </w:p>
              </w:tc>
              <w:tc>
                <w:tcPr>
                  <w:tcW w:w="548" w:type="pct"/>
                  <w:vAlign w:val="center"/>
                </w:tcPr>
                <w:p w14:paraId="148414E1">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80</w:t>
                  </w:r>
                </w:p>
              </w:tc>
              <w:tc>
                <w:tcPr>
                  <w:tcW w:w="490" w:type="pct"/>
                  <w:vAlign w:val="center"/>
                </w:tcPr>
                <w:p w14:paraId="2FCFFEC3">
                  <w:pPr>
                    <w:adjustRightInd w:val="0"/>
                    <w:snapToGrid w:val="0"/>
                    <w:jc w:val="center"/>
                    <w:rPr>
                      <w:rFonts w:hint="eastAsia"/>
                      <w:color w:val="auto"/>
                      <w:sz w:val="18"/>
                      <w:szCs w:val="18"/>
                      <w:lang w:bidi="zh-CN"/>
                    </w:rPr>
                  </w:pPr>
                  <w:r>
                    <w:rPr>
                      <w:rFonts w:hint="eastAsia"/>
                      <w:color w:val="auto"/>
                      <w:sz w:val="18"/>
                      <w:szCs w:val="18"/>
                      <w:lang w:bidi="zh-CN"/>
                    </w:rPr>
                    <w:t>减振、隔声</w:t>
                  </w:r>
                </w:p>
              </w:tc>
              <w:tc>
                <w:tcPr>
                  <w:tcW w:w="291" w:type="pct"/>
                  <w:vAlign w:val="center"/>
                </w:tcPr>
                <w:p w14:paraId="6BDE97A4">
                  <w:pPr>
                    <w:adjustRightInd w:val="0"/>
                    <w:snapToGrid w:val="0"/>
                    <w:jc w:val="center"/>
                    <w:rPr>
                      <w:rFonts w:hint="default"/>
                      <w:color w:val="auto"/>
                      <w:sz w:val="18"/>
                      <w:szCs w:val="18"/>
                      <w:lang w:val="en-US" w:bidi="zh-CN"/>
                    </w:rPr>
                  </w:pPr>
                  <w:r>
                    <w:rPr>
                      <w:rFonts w:hint="eastAsia"/>
                      <w:color w:val="auto"/>
                      <w:sz w:val="18"/>
                      <w:szCs w:val="18"/>
                      <w:lang w:val="en-US" w:bidi="zh-CN"/>
                    </w:rPr>
                    <w:t>10</w:t>
                  </w:r>
                </w:p>
              </w:tc>
              <w:tc>
                <w:tcPr>
                  <w:tcW w:w="258" w:type="pct"/>
                  <w:vAlign w:val="center"/>
                </w:tcPr>
                <w:p w14:paraId="2E47F262">
                  <w:pPr>
                    <w:adjustRightInd w:val="0"/>
                    <w:snapToGrid w:val="0"/>
                    <w:jc w:val="center"/>
                    <w:rPr>
                      <w:rFonts w:hint="default"/>
                      <w:color w:val="auto"/>
                      <w:sz w:val="18"/>
                      <w:szCs w:val="18"/>
                      <w:lang w:val="en-US" w:bidi="zh-CN"/>
                    </w:rPr>
                  </w:pPr>
                  <w:r>
                    <w:rPr>
                      <w:rFonts w:hint="eastAsia"/>
                      <w:color w:val="auto"/>
                      <w:sz w:val="18"/>
                      <w:szCs w:val="18"/>
                      <w:lang w:val="en-US" w:bidi="zh-CN"/>
                    </w:rPr>
                    <w:t>35</w:t>
                  </w:r>
                </w:p>
              </w:tc>
              <w:tc>
                <w:tcPr>
                  <w:tcW w:w="298" w:type="pct"/>
                  <w:vAlign w:val="center"/>
                </w:tcPr>
                <w:p w14:paraId="4435CDB0">
                  <w:pPr>
                    <w:adjustRightInd w:val="0"/>
                    <w:snapToGrid w:val="0"/>
                    <w:jc w:val="center"/>
                    <w:rPr>
                      <w:rFonts w:hint="default"/>
                      <w:color w:val="auto"/>
                      <w:sz w:val="18"/>
                      <w:szCs w:val="18"/>
                      <w:lang w:val="en-US" w:bidi="zh-CN"/>
                    </w:rPr>
                  </w:pPr>
                  <w:r>
                    <w:rPr>
                      <w:rFonts w:hint="eastAsia"/>
                      <w:color w:val="auto"/>
                      <w:sz w:val="18"/>
                      <w:szCs w:val="18"/>
                      <w:lang w:val="en-US" w:bidi="zh-CN"/>
                    </w:rPr>
                    <w:t>1</w:t>
                  </w:r>
                </w:p>
              </w:tc>
              <w:tc>
                <w:tcPr>
                  <w:tcW w:w="329" w:type="pct"/>
                  <w:vAlign w:val="center"/>
                </w:tcPr>
                <w:p w14:paraId="17C180B1">
                  <w:pPr>
                    <w:adjustRightInd w:val="0"/>
                    <w:snapToGrid w:val="0"/>
                    <w:jc w:val="center"/>
                    <w:rPr>
                      <w:rFonts w:hint="default"/>
                      <w:color w:val="auto"/>
                      <w:sz w:val="18"/>
                      <w:szCs w:val="18"/>
                      <w:lang w:val="en-US" w:bidi="zh-CN"/>
                    </w:rPr>
                  </w:pPr>
                  <w:r>
                    <w:rPr>
                      <w:rFonts w:hint="eastAsia"/>
                      <w:color w:val="auto"/>
                      <w:sz w:val="18"/>
                      <w:szCs w:val="18"/>
                      <w:lang w:val="en-US" w:bidi="zh-CN"/>
                    </w:rPr>
                    <w:t>1</w:t>
                  </w:r>
                </w:p>
              </w:tc>
              <w:tc>
                <w:tcPr>
                  <w:tcW w:w="437" w:type="pct"/>
                  <w:vAlign w:val="center"/>
                </w:tcPr>
                <w:p w14:paraId="5D636364">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80</w:t>
                  </w:r>
                </w:p>
              </w:tc>
              <w:tc>
                <w:tcPr>
                  <w:tcW w:w="362" w:type="pct"/>
                  <w:vAlign w:val="center"/>
                </w:tcPr>
                <w:p w14:paraId="71B25E5F">
                  <w:pPr>
                    <w:adjustRightInd w:val="0"/>
                    <w:snapToGrid w:val="0"/>
                    <w:jc w:val="center"/>
                    <w:rPr>
                      <w:rFonts w:hint="default"/>
                      <w:color w:val="auto"/>
                      <w:sz w:val="18"/>
                      <w:szCs w:val="18"/>
                      <w:lang w:val="en-US" w:bidi="zh-CN"/>
                    </w:rPr>
                  </w:pPr>
                  <w:r>
                    <w:rPr>
                      <w:rFonts w:hint="eastAsia"/>
                      <w:color w:val="auto"/>
                      <w:sz w:val="18"/>
                      <w:szCs w:val="18"/>
                      <w:lang w:val="en-US" w:bidi="zh-CN"/>
                    </w:rPr>
                    <w:t>间断</w:t>
                  </w:r>
                </w:p>
              </w:tc>
              <w:tc>
                <w:tcPr>
                  <w:tcW w:w="404" w:type="pct"/>
                  <w:vAlign w:val="center"/>
                </w:tcPr>
                <w:p w14:paraId="0F776008">
                  <w:pPr>
                    <w:adjustRightInd w:val="0"/>
                    <w:snapToGrid w:val="0"/>
                    <w:jc w:val="center"/>
                    <w:rPr>
                      <w:rFonts w:hint="default"/>
                      <w:color w:val="auto"/>
                      <w:sz w:val="18"/>
                      <w:szCs w:val="18"/>
                      <w:lang w:val="en-US" w:bidi="zh-CN"/>
                    </w:rPr>
                  </w:pPr>
                  <w:r>
                    <w:rPr>
                      <w:rFonts w:hint="eastAsia"/>
                      <w:color w:val="auto"/>
                      <w:sz w:val="18"/>
                      <w:szCs w:val="18"/>
                      <w:lang w:val="en-US" w:bidi="zh-CN"/>
                    </w:rPr>
                    <w:t>25</w:t>
                  </w:r>
                </w:p>
              </w:tc>
              <w:tc>
                <w:tcPr>
                  <w:tcW w:w="434" w:type="pct"/>
                  <w:vAlign w:val="center"/>
                </w:tcPr>
                <w:p w14:paraId="3ED3CC37">
                  <w:pPr>
                    <w:adjustRightInd w:val="0"/>
                    <w:snapToGrid w:val="0"/>
                    <w:jc w:val="center"/>
                    <w:rPr>
                      <w:rFonts w:hint="default"/>
                      <w:color w:val="auto"/>
                      <w:sz w:val="18"/>
                      <w:szCs w:val="18"/>
                      <w:lang w:val="en-US" w:bidi="zh-CN"/>
                    </w:rPr>
                  </w:pPr>
                  <w:r>
                    <w:rPr>
                      <w:rFonts w:hint="eastAsia"/>
                      <w:color w:val="auto"/>
                      <w:sz w:val="18"/>
                      <w:szCs w:val="18"/>
                      <w:lang w:val="en-US" w:bidi="zh-CN"/>
                    </w:rPr>
                    <w:t>55</w:t>
                  </w:r>
                </w:p>
              </w:tc>
              <w:tc>
                <w:tcPr>
                  <w:tcW w:w="368" w:type="pct"/>
                  <w:vAlign w:val="center"/>
                </w:tcPr>
                <w:p w14:paraId="42CE8FF4">
                  <w:pPr>
                    <w:adjustRightInd w:val="0"/>
                    <w:snapToGrid w:val="0"/>
                    <w:jc w:val="center"/>
                    <w:rPr>
                      <w:rFonts w:hint="default"/>
                      <w:color w:val="auto"/>
                      <w:sz w:val="18"/>
                      <w:szCs w:val="18"/>
                      <w:lang w:val="en-US" w:bidi="zh-CN"/>
                    </w:rPr>
                  </w:pPr>
                  <w:r>
                    <w:rPr>
                      <w:rFonts w:hint="eastAsia"/>
                      <w:color w:val="auto"/>
                      <w:sz w:val="18"/>
                      <w:szCs w:val="18"/>
                      <w:lang w:val="en-US" w:bidi="zh-CN"/>
                    </w:rPr>
                    <w:t>1</w:t>
                  </w:r>
                </w:p>
              </w:tc>
            </w:tr>
            <w:tr w14:paraId="3FB37D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193" w:type="pct"/>
                  <w:shd w:val="clear" w:color="auto" w:fill="auto"/>
                  <w:vAlign w:val="center"/>
                </w:tcPr>
                <w:p w14:paraId="408FFD67">
                  <w:pPr>
                    <w:adjustRightInd w:val="0"/>
                    <w:snapToGrid w:val="0"/>
                    <w:jc w:val="center"/>
                    <w:rPr>
                      <w:rFonts w:hint="default" w:ascii="Times New Roman" w:hAnsi="Times New Roman" w:eastAsia="宋体" w:cs="Times New Roman"/>
                      <w:color w:val="auto"/>
                      <w:kern w:val="2"/>
                      <w:sz w:val="18"/>
                      <w:szCs w:val="18"/>
                      <w:lang w:val="zh-CN" w:eastAsia="zh-CN" w:bidi="zh-CN"/>
                    </w:rPr>
                  </w:pPr>
                  <w:r>
                    <w:rPr>
                      <w:rFonts w:hint="eastAsia"/>
                      <w:color w:val="auto"/>
                      <w:sz w:val="18"/>
                      <w:szCs w:val="18"/>
                      <w:lang w:val="en-US" w:bidi="zh-CN"/>
                    </w:rPr>
                    <w:t>3</w:t>
                  </w:r>
                </w:p>
              </w:tc>
              <w:tc>
                <w:tcPr>
                  <w:tcW w:w="331" w:type="pct"/>
                  <w:vAlign w:val="center"/>
                </w:tcPr>
                <w:p w14:paraId="2FB7B62B">
                  <w:pPr>
                    <w:adjustRightInd w:val="0"/>
                    <w:snapToGrid w:val="0"/>
                    <w:jc w:val="center"/>
                    <w:rPr>
                      <w:color w:val="auto"/>
                      <w:sz w:val="18"/>
                      <w:szCs w:val="18"/>
                      <w:lang w:bidi="zh-CN"/>
                    </w:rPr>
                  </w:pPr>
                  <w:r>
                    <w:rPr>
                      <w:rFonts w:hint="eastAsia"/>
                      <w:color w:val="auto"/>
                      <w:sz w:val="18"/>
                      <w:szCs w:val="18"/>
                      <w:lang w:val="en-US" w:bidi="zh-CN"/>
                    </w:rPr>
                    <w:t>配电室</w:t>
                  </w:r>
                </w:p>
              </w:tc>
              <w:tc>
                <w:tcPr>
                  <w:tcW w:w="251" w:type="pct"/>
                  <w:vAlign w:val="center"/>
                </w:tcPr>
                <w:p w14:paraId="70136B03">
                  <w:pPr>
                    <w:jc w:val="center"/>
                    <w:rPr>
                      <w:rFonts w:hint="eastAsia" w:eastAsia="宋体"/>
                      <w:color w:val="auto"/>
                      <w:sz w:val="18"/>
                      <w:szCs w:val="18"/>
                      <w:lang w:eastAsia="zh-CN"/>
                    </w:rPr>
                  </w:pPr>
                  <w:r>
                    <w:rPr>
                      <w:rFonts w:hint="eastAsia"/>
                      <w:color w:val="auto"/>
                      <w:sz w:val="18"/>
                      <w:szCs w:val="18"/>
                    </w:rPr>
                    <w:t>配电</w:t>
                  </w:r>
                  <w:r>
                    <w:rPr>
                      <w:rFonts w:hint="eastAsia"/>
                      <w:color w:val="auto"/>
                      <w:sz w:val="18"/>
                      <w:szCs w:val="18"/>
                      <w:lang w:val="en-US" w:eastAsia="zh-CN"/>
                    </w:rPr>
                    <w:t>设备</w:t>
                  </w:r>
                </w:p>
              </w:tc>
              <w:tc>
                <w:tcPr>
                  <w:tcW w:w="548" w:type="pct"/>
                  <w:vAlign w:val="center"/>
                </w:tcPr>
                <w:p w14:paraId="5D00BAA6">
                  <w:pPr>
                    <w:adjustRightInd w:val="0"/>
                    <w:snapToGrid w:val="0"/>
                    <w:jc w:val="center"/>
                    <w:rPr>
                      <w:color w:val="auto"/>
                      <w:kern w:val="0"/>
                      <w:sz w:val="18"/>
                      <w:szCs w:val="18"/>
                    </w:rPr>
                  </w:pPr>
                  <w:r>
                    <w:rPr>
                      <w:color w:val="auto"/>
                      <w:kern w:val="0"/>
                      <w:sz w:val="18"/>
                      <w:szCs w:val="18"/>
                    </w:rPr>
                    <w:t>60</w:t>
                  </w:r>
                </w:p>
              </w:tc>
              <w:tc>
                <w:tcPr>
                  <w:tcW w:w="490" w:type="pct"/>
                  <w:vAlign w:val="center"/>
                </w:tcPr>
                <w:p w14:paraId="058338DC">
                  <w:pPr>
                    <w:adjustRightInd w:val="0"/>
                    <w:snapToGrid w:val="0"/>
                    <w:jc w:val="center"/>
                    <w:rPr>
                      <w:color w:val="auto"/>
                      <w:sz w:val="18"/>
                      <w:szCs w:val="18"/>
                      <w:lang w:bidi="zh-CN"/>
                    </w:rPr>
                  </w:pPr>
                  <w:r>
                    <w:rPr>
                      <w:rFonts w:hint="eastAsia"/>
                      <w:color w:val="auto"/>
                      <w:sz w:val="18"/>
                      <w:szCs w:val="18"/>
                      <w:lang w:bidi="zh-CN"/>
                    </w:rPr>
                    <w:t>减振、隔声</w:t>
                  </w:r>
                </w:p>
              </w:tc>
              <w:tc>
                <w:tcPr>
                  <w:tcW w:w="291" w:type="pct"/>
                  <w:vAlign w:val="center"/>
                </w:tcPr>
                <w:p w14:paraId="7E48C1C4">
                  <w:pPr>
                    <w:adjustRightInd w:val="0"/>
                    <w:snapToGrid w:val="0"/>
                    <w:jc w:val="center"/>
                    <w:rPr>
                      <w:rFonts w:hint="default"/>
                      <w:color w:val="auto"/>
                      <w:sz w:val="18"/>
                      <w:szCs w:val="18"/>
                      <w:lang w:val="en-US" w:bidi="zh-CN"/>
                    </w:rPr>
                  </w:pPr>
                  <w:r>
                    <w:rPr>
                      <w:rFonts w:hint="eastAsia"/>
                      <w:color w:val="auto"/>
                      <w:sz w:val="18"/>
                      <w:szCs w:val="18"/>
                      <w:lang w:val="en-US" w:bidi="zh-CN"/>
                    </w:rPr>
                    <w:t>45</w:t>
                  </w:r>
                </w:p>
              </w:tc>
              <w:tc>
                <w:tcPr>
                  <w:tcW w:w="258" w:type="pct"/>
                  <w:vAlign w:val="center"/>
                </w:tcPr>
                <w:p w14:paraId="1D62FDD0">
                  <w:pPr>
                    <w:adjustRightInd w:val="0"/>
                    <w:snapToGrid w:val="0"/>
                    <w:jc w:val="center"/>
                    <w:rPr>
                      <w:color w:val="auto"/>
                      <w:sz w:val="18"/>
                      <w:szCs w:val="18"/>
                      <w:lang w:bidi="zh-CN"/>
                    </w:rPr>
                  </w:pPr>
                  <w:r>
                    <w:rPr>
                      <w:rFonts w:hint="eastAsia"/>
                      <w:color w:val="auto"/>
                      <w:sz w:val="18"/>
                      <w:szCs w:val="18"/>
                      <w:lang w:bidi="zh-CN"/>
                    </w:rPr>
                    <w:t>35</w:t>
                  </w:r>
                </w:p>
              </w:tc>
              <w:tc>
                <w:tcPr>
                  <w:tcW w:w="298" w:type="pct"/>
                  <w:vAlign w:val="center"/>
                </w:tcPr>
                <w:p w14:paraId="6BAE6406">
                  <w:pPr>
                    <w:adjustRightInd w:val="0"/>
                    <w:snapToGrid w:val="0"/>
                    <w:jc w:val="center"/>
                    <w:rPr>
                      <w:color w:val="auto"/>
                      <w:sz w:val="18"/>
                      <w:szCs w:val="18"/>
                      <w:lang w:bidi="zh-CN"/>
                    </w:rPr>
                  </w:pPr>
                  <w:r>
                    <w:rPr>
                      <w:rFonts w:hint="eastAsia"/>
                      <w:color w:val="auto"/>
                      <w:sz w:val="18"/>
                      <w:szCs w:val="18"/>
                      <w:lang w:bidi="zh-CN"/>
                    </w:rPr>
                    <w:t>1</w:t>
                  </w:r>
                </w:p>
              </w:tc>
              <w:tc>
                <w:tcPr>
                  <w:tcW w:w="329" w:type="pct"/>
                  <w:vAlign w:val="center"/>
                </w:tcPr>
                <w:p w14:paraId="6ED45E81">
                  <w:pPr>
                    <w:adjustRightInd w:val="0"/>
                    <w:snapToGrid w:val="0"/>
                    <w:jc w:val="center"/>
                    <w:rPr>
                      <w:rFonts w:hint="default"/>
                      <w:color w:val="auto"/>
                      <w:sz w:val="18"/>
                      <w:szCs w:val="18"/>
                      <w:lang w:val="en-US" w:bidi="zh-CN"/>
                    </w:rPr>
                  </w:pPr>
                  <w:r>
                    <w:rPr>
                      <w:rFonts w:hint="eastAsia"/>
                      <w:color w:val="auto"/>
                      <w:sz w:val="18"/>
                      <w:szCs w:val="18"/>
                      <w:lang w:val="en-US" w:bidi="zh-CN"/>
                    </w:rPr>
                    <w:t>3</w:t>
                  </w:r>
                </w:p>
              </w:tc>
              <w:tc>
                <w:tcPr>
                  <w:tcW w:w="437" w:type="pct"/>
                  <w:vAlign w:val="center"/>
                </w:tcPr>
                <w:p w14:paraId="474D2C54">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50.46</w:t>
                  </w:r>
                </w:p>
              </w:tc>
              <w:tc>
                <w:tcPr>
                  <w:tcW w:w="362" w:type="pct"/>
                  <w:vAlign w:val="center"/>
                </w:tcPr>
                <w:p w14:paraId="495F1B89">
                  <w:pPr>
                    <w:adjustRightInd w:val="0"/>
                    <w:snapToGrid w:val="0"/>
                    <w:jc w:val="center"/>
                    <w:rPr>
                      <w:color w:val="auto"/>
                      <w:sz w:val="18"/>
                      <w:szCs w:val="18"/>
                      <w:lang w:bidi="zh-CN"/>
                    </w:rPr>
                  </w:pPr>
                  <w:r>
                    <w:rPr>
                      <w:rFonts w:hint="eastAsia"/>
                      <w:color w:val="auto"/>
                      <w:sz w:val="18"/>
                      <w:szCs w:val="18"/>
                      <w:lang w:bidi="zh-CN"/>
                    </w:rPr>
                    <w:t>连续</w:t>
                  </w:r>
                </w:p>
              </w:tc>
              <w:tc>
                <w:tcPr>
                  <w:tcW w:w="404" w:type="pct"/>
                  <w:vAlign w:val="center"/>
                </w:tcPr>
                <w:p w14:paraId="390BF614">
                  <w:pPr>
                    <w:adjustRightInd w:val="0"/>
                    <w:snapToGrid w:val="0"/>
                    <w:jc w:val="center"/>
                    <w:rPr>
                      <w:rFonts w:hint="default"/>
                      <w:color w:val="auto"/>
                      <w:sz w:val="18"/>
                      <w:szCs w:val="18"/>
                      <w:lang w:val="en-US" w:bidi="zh-CN"/>
                    </w:rPr>
                  </w:pPr>
                  <w:r>
                    <w:rPr>
                      <w:rFonts w:hint="eastAsia"/>
                      <w:color w:val="auto"/>
                      <w:sz w:val="18"/>
                      <w:szCs w:val="18"/>
                      <w:lang w:val="en-US" w:bidi="zh-CN"/>
                    </w:rPr>
                    <w:t>25</w:t>
                  </w:r>
                </w:p>
              </w:tc>
              <w:tc>
                <w:tcPr>
                  <w:tcW w:w="434" w:type="pct"/>
                  <w:vAlign w:val="center"/>
                </w:tcPr>
                <w:p w14:paraId="1B5159E1">
                  <w:pPr>
                    <w:adjustRightInd w:val="0"/>
                    <w:snapToGrid w:val="0"/>
                    <w:jc w:val="center"/>
                    <w:rPr>
                      <w:rFonts w:hint="default"/>
                      <w:color w:val="auto"/>
                      <w:sz w:val="18"/>
                      <w:szCs w:val="18"/>
                      <w:lang w:val="en-US" w:bidi="zh-CN"/>
                    </w:rPr>
                  </w:pPr>
                  <w:r>
                    <w:rPr>
                      <w:rFonts w:hint="eastAsia"/>
                      <w:color w:val="auto"/>
                      <w:sz w:val="18"/>
                      <w:szCs w:val="18"/>
                      <w:lang w:val="en-US" w:bidi="zh-CN"/>
                    </w:rPr>
                    <w:t>25.46</w:t>
                  </w:r>
                </w:p>
              </w:tc>
              <w:tc>
                <w:tcPr>
                  <w:tcW w:w="368" w:type="pct"/>
                  <w:vAlign w:val="center"/>
                </w:tcPr>
                <w:p w14:paraId="032FBAD2">
                  <w:pPr>
                    <w:adjustRightInd w:val="0"/>
                    <w:snapToGrid w:val="0"/>
                    <w:jc w:val="center"/>
                    <w:rPr>
                      <w:color w:val="auto"/>
                      <w:sz w:val="18"/>
                      <w:szCs w:val="18"/>
                      <w:lang w:bidi="zh-CN"/>
                    </w:rPr>
                  </w:pPr>
                  <w:r>
                    <w:rPr>
                      <w:rFonts w:hint="eastAsia"/>
                      <w:color w:val="auto"/>
                      <w:sz w:val="18"/>
                      <w:szCs w:val="18"/>
                      <w:lang w:bidi="zh-CN"/>
                    </w:rPr>
                    <w:t>1</w:t>
                  </w:r>
                </w:p>
              </w:tc>
            </w:tr>
            <w:tr w14:paraId="53C2C6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193" w:type="pct"/>
                  <w:shd w:val="clear" w:color="auto" w:fill="auto"/>
                  <w:vAlign w:val="center"/>
                </w:tcPr>
                <w:p w14:paraId="4A4B1D87">
                  <w:pPr>
                    <w:adjustRightInd w:val="0"/>
                    <w:snapToGrid w:val="0"/>
                    <w:jc w:val="center"/>
                    <w:rPr>
                      <w:rFonts w:hint="default"/>
                      <w:color w:val="auto"/>
                      <w:sz w:val="18"/>
                      <w:szCs w:val="18"/>
                      <w:lang w:val="en-US" w:bidi="zh-CN"/>
                    </w:rPr>
                  </w:pPr>
                  <w:r>
                    <w:rPr>
                      <w:rFonts w:hint="eastAsia"/>
                      <w:color w:val="auto"/>
                      <w:sz w:val="18"/>
                      <w:szCs w:val="18"/>
                      <w:lang w:val="en-US" w:bidi="zh-CN"/>
                    </w:rPr>
                    <w:t>4</w:t>
                  </w:r>
                </w:p>
              </w:tc>
              <w:tc>
                <w:tcPr>
                  <w:tcW w:w="331" w:type="pct"/>
                  <w:vAlign w:val="center"/>
                </w:tcPr>
                <w:p w14:paraId="6B268C80">
                  <w:pPr>
                    <w:adjustRightInd w:val="0"/>
                    <w:snapToGrid w:val="0"/>
                    <w:jc w:val="center"/>
                    <w:rPr>
                      <w:rFonts w:hint="default"/>
                      <w:color w:val="auto"/>
                      <w:sz w:val="18"/>
                      <w:szCs w:val="18"/>
                      <w:lang w:val="en-US" w:bidi="zh-CN"/>
                    </w:rPr>
                  </w:pPr>
                  <w:r>
                    <w:rPr>
                      <w:rFonts w:hint="eastAsia"/>
                      <w:color w:val="auto"/>
                      <w:sz w:val="18"/>
                      <w:szCs w:val="18"/>
                      <w:lang w:val="en-US" w:bidi="zh-CN"/>
                    </w:rPr>
                    <w:t>洗衣房</w:t>
                  </w:r>
                </w:p>
              </w:tc>
              <w:tc>
                <w:tcPr>
                  <w:tcW w:w="251" w:type="pct"/>
                  <w:vAlign w:val="center"/>
                </w:tcPr>
                <w:p w14:paraId="39EE99FA">
                  <w:pPr>
                    <w:jc w:val="center"/>
                    <w:rPr>
                      <w:rFonts w:hint="eastAsia" w:eastAsia="宋体"/>
                      <w:color w:val="auto"/>
                      <w:sz w:val="18"/>
                      <w:szCs w:val="18"/>
                      <w:lang w:val="en-US" w:eastAsia="zh-CN"/>
                    </w:rPr>
                  </w:pPr>
                  <w:r>
                    <w:rPr>
                      <w:rFonts w:hint="eastAsia"/>
                      <w:color w:val="auto"/>
                      <w:sz w:val="18"/>
                      <w:szCs w:val="18"/>
                      <w:lang w:val="en-US" w:eastAsia="zh-CN"/>
                    </w:rPr>
                    <w:t>洗衣机</w:t>
                  </w:r>
                </w:p>
              </w:tc>
              <w:tc>
                <w:tcPr>
                  <w:tcW w:w="548" w:type="pct"/>
                  <w:vAlign w:val="center"/>
                </w:tcPr>
                <w:p w14:paraId="73B69C16">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70</w:t>
                  </w:r>
                </w:p>
              </w:tc>
              <w:tc>
                <w:tcPr>
                  <w:tcW w:w="490" w:type="pct"/>
                  <w:vAlign w:val="center"/>
                </w:tcPr>
                <w:p w14:paraId="3C1EAB6B">
                  <w:pPr>
                    <w:adjustRightInd w:val="0"/>
                    <w:snapToGrid w:val="0"/>
                    <w:jc w:val="center"/>
                    <w:rPr>
                      <w:rFonts w:hint="eastAsia"/>
                      <w:color w:val="auto"/>
                      <w:sz w:val="18"/>
                      <w:szCs w:val="18"/>
                      <w:lang w:bidi="zh-CN"/>
                    </w:rPr>
                  </w:pPr>
                  <w:r>
                    <w:rPr>
                      <w:rFonts w:hint="eastAsia"/>
                      <w:color w:val="auto"/>
                      <w:sz w:val="18"/>
                      <w:szCs w:val="18"/>
                      <w:lang w:bidi="zh-CN"/>
                    </w:rPr>
                    <w:t>减振、隔声</w:t>
                  </w:r>
                </w:p>
              </w:tc>
              <w:tc>
                <w:tcPr>
                  <w:tcW w:w="291" w:type="pct"/>
                  <w:vAlign w:val="center"/>
                </w:tcPr>
                <w:p w14:paraId="774E138A">
                  <w:pPr>
                    <w:adjustRightInd w:val="0"/>
                    <w:snapToGrid w:val="0"/>
                    <w:jc w:val="center"/>
                    <w:rPr>
                      <w:rFonts w:hint="default"/>
                      <w:color w:val="auto"/>
                      <w:sz w:val="18"/>
                      <w:szCs w:val="18"/>
                      <w:lang w:val="en-US" w:bidi="zh-CN"/>
                    </w:rPr>
                  </w:pPr>
                  <w:r>
                    <w:rPr>
                      <w:rFonts w:hint="eastAsia"/>
                      <w:color w:val="auto"/>
                      <w:sz w:val="18"/>
                      <w:szCs w:val="18"/>
                      <w:lang w:val="en-US" w:bidi="zh-CN"/>
                    </w:rPr>
                    <w:t>48</w:t>
                  </w:r>
                </w:p>
              </w:tc>
              <w:tc>
                <w:tcPr>
                  <w:tcW w:w="258" w:type="pct"/>
                  <w:vAlign w:val="center"/>
                </w:tcPr>
                <w:p w14:paraId="316878F0">
                  <w:pPr>
                    <w:adjustRightInd w:val="0"/>
                    <w:snapToGrid w:val="0"/>
                    <w:jc w:val="center"/>
                    <w:rPr>
                      <w:rFonts w:hint="default"/>
                      <w:color w:val="auto"/>
                      <w:sz w:val="18"/>
                      <w:szCs w:val="18"/>
                      <w:lang w:val="en-US" w:bidi="zh-CN"/>
                    </w:rPr>
                  </w:pPr>
                  <w:r>
                    <w:rPr>
                      <w:rFonts w:hint="eastAsia"/>
                      <w:color w:val="auto"/>
                      <w:sz w:val="18"/>
                      <w:szCs w:val="18"/>
                      <w:lang w:val="en-US" w:bidi="zh-CN"/>
                    </w:rPr>
                    <w:t>35</w:t>
                  </w:r>
                </w:p>
              </w:tc>
              <w:tc>
                <w:tcPr>
                  <w:tcW w:w="298" w:type="pct"/>
                  <w:vAlign w:val="center"/>
                </w:tcPr>
                <w:p w14:paraId="57241290">
                  <w:pPr>
                    <w:adjustRightInd w:val="0"/>
                    <w:snapToGrid w:val="0"/>
                    <w:jc w:val="center"/>
                    <w:rPr>
                      <w:rFonts w:hint="default"/>
                      <w:color w:val="auto"/>
                      <w:sz w:val="18"/>
                      <w:szCs w:val="18"/>
                      <w:lang w:val="en-US" w:bidi="zh-CN"/>
                    </w:rPr>
                  </w:pPr>
                  <w:r>
                    <w:rPr>
                      <w:rFonts w:hint="eastAsia"/>
                      <w:color w:val="auto"/>
                      <w:sz w:val="18"/>
                      <w:szCs w:val="18"/>
                      <w:lang w:val="en-US" w:bidi="zh-CN"/>
                    </w:rPr>
                    <w:t>1</w:t>
                  </w:r>
                </w:p>
              </w:tc>
              <w:tc>
                <w:tcPr>
                  <w:tcW w:w="329" w:type="pct"/>
                  <w:vAlign w:val="center"/>
                </w:tcPr>
                <w:p w14:paraId="5C2736F2">
                  <w:pPr>
                    <w:adjustRightInd w:val="0"/>
                    <w:snapToGrid w:val="0"/>
                    <w:jc w:val="center"/>
                    <w:rPr>
                      <w:rFonts w:hint="default"/>
                      <w:color w:val="auto"/>
                      <w:sz w:val="18"/>
                      <w:szCs w:val="18"/>
                      <w:lang w:val="en-US" w:bidi="zh-CN"/>
                    </w:rPr>
                  </w:pPr>
                  <w:r>
                    <w:rPr>
                      <w:rFonts w:hint="eastAsia"/>
                      <w:color w:val="auto"/>
                      <w:sz w:val="18"/>
                      <w:szCs w:val="18"/>
                      <w:lang w:val="en-US" w:bidi="zh-CN"/>
                    </w:rPr>
                    <w:t>3</w:t>
                  </w:r>
                </w:p>
              </w:tc>
              <w:tc>
                <w:tcPr>
                  <w:tcW w:w="437" w:type="pct"/>
                  <w:vAlign w:val="center"/>
                </w:tcPr>
                <w:p w14:paraId="745613CA">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60.46</w:t>
                  </w:r>
                </w:p>
              </w:tc>
              <w:tc>
                <w:tcPr>
                  <w:tcW w:w="362" w:type="pct"/>
                  <w:vAlign w:val="center"/>
                </w:tcPr>
                <w:p w14:paraId="1534B682">
                  <w:pPr>
                    <w:adjustRightInd w:val="0"/>
                    <w:snapToGrid w:val="0"/>
                    <w:jc w:val="center"/>
                    <w:rPr>
                      <w:rFonts w:hint="eastAsia"/>
                      <w:color w:val="auto"/>
                      <w:sz w:val="18"/>
                      <w:szCs w:val="18"/>
                      <w:lang w:bidi="zh-CN"/>
                    </w:rPr>
                  </w:pPr>
                  <w:r>
                    <w:rPr>
                      <w:rFonts w:hint="eastAsia"/>
                      <w:color w:val="auto"/>
                      <w:sz w:val="18"/>
                      <w:szCs w:val="18"/>
                      <w:lang w:val="en-US" w:bidi="zh-CN"/>
                    </w:rPr>
                    <w:t>间断</w:t>
                  </w:r>
                </w:p>
              </w:tc>
              <w:tc>
                <w:tcPr>
                  <w:tcW w:w="404" w:type="pct"/>
                  <w:vAlign w:val="center"/>
                </w:tcPr>
                <w:p w14:paraId="7697AF1E">
                  <w:pPr>
                    <w:adjustRightInd w:val="0"/>
                    <w:snapToGrid w:val="0"/>
                    <w:jc w:val="center"/>
                    <w:rPr>
                      <w:rFonts w:hint="default"/>
                      <w:color w:val="auto"/>
                      <w:sz w:val="18"/>
                      <w:szCs w:val="18"/>
                      <w:lang w:val="en-US" w:bidi="zh-CN"/>
                    </w:rPr>
                  </w:pPr>
                  <w:r>
                    <w:rPr>
                      <w:rFonts w:hint="eastAsia"/>
                      <w:color w:val="auto"/>
                      <w:sz w:val="18"/>
                      <w:szCs w:val="18"/>
                      <w:lang w:val="en-US" w:bidi="zh-CN"/>
                    </w:rPr>
                    <w:t>25</w:t>
                  </w:r>
                </w:p>
              </w:tc>
              <w:tc>
                <w:tcPr>
                  <w:tcW w:w="434" w:type="pct"/>
                  <w:vAlign w:val="center"/>
                </w:tcPr>
                <w:p w14:paraId="5B1EC311">
                  <w:pPr>
                    <w:adjustRightInd w:val="0"/>
                    <w:snapToGrid w:val="0"/>
                    <w:jc w:val="center"/>
                    <w:rPr>
                      <w:rFonts w:hint="default"/>
                      <w:color w:val="auto"/>
                      <w:sz w:val="18"/>
                      <w:szCs w:val="18"/>
                      <w:lang w:val="en-US" w:bidi="zh-CN"/>
                    </w:rPr>
                  </w:pPr>
                  <w:r>
                    <w:rPr>
                      <w:rFonts w:hint="eastAsia"/>
                      <w:color w:val="auto"/>
                      <w:sz w:val="18"/>
                      <w:szCs w:val="18"/>
                      <w:lang w:val="en-US" w:bidi="zh-CN"/>
                    </w:rPr>
                    <w:t>35.46</w:t>
                  </w:r>
                </w:p>
              </w:tc>
              <w:tc>
                <w:tcPr>
                  <w:tcW w:w="368" w:type="pct"/>
                  <w:vAlign w:val="center"/>
                </w:tcPr>
                <w:p w14:paraId="1D2074E3">
                  <w:pPr>
                    <w:adjustRightInd w:val="0"/>
                    <w:snapToGrid w:val="0"/>
                    <w:jc w:val="center"/>
                    <w:rPr>
                      <w:rFonts w:hint="default"/>
                      <w:color w:val="auto"/>
                      <w:sz w:val="18"/>
                      <w:szCs w:val="18"/>
                      <w:lang w:val="en-US" w:bidi="zh-CN"/>
                    </w:rPr>
                  </w:pPr>
                  <w:r>
                    <w:rPr>
                      <w:rFonts w:hint="eastAsia"/>
                      <w:color w:val="auto"/>
                      <w:sz w:val="18"/>
                      <w:szCs w:val="18"/>
                      <w:lang w:val="en-US" w:bidi="zh-CN"/>
                    </w:rPr>
                    <w:t>1</w:t>
                  </w:r>
                </w:p>
              </w:tc>
            </w:tr>
            <w:tr w14:paraId="2BCA11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14"/>
                  <w:vAlign w:val="center"/>
                </w:tcPr>
                <w:p w14:paraId="7DC90314">
                  <w:pPr>
                    <w:adjustRightInd w:val="0"/>
                    <w:snapToGrid w:val="0"/>
                    <w:rPr>
                      <w:color w:val="auto"/>
                      <w:sz w:val="18"/>
                      <w:szCs w:val="18"/>
                      <w:lang w:bidi="zh-CN"/>
                    </w:rPr>
                  </w:pPr>
                  <w:r>
                    <w:rPr>
                      <w:rFonts w:hint="eastAsia"/>
                      <w:color w:val="auto"/>
                      <w:sz w:val="18"/>
                      <w:szCs w:val="18"/>
                      <w:lang w:bidi="zh-CN"/>
                    </w:rPr>
                    <w:t>注：</w:t>
                  </w:r>
                  <w:r>
                    <w:rPr>
                      <w:rFonts w:hint="eastAsia"/>
                      <w:color w:val="auto"/>
                      <w:sz w:val="18"/>
                      <w:szCs w:val="18"/>
                      <w:lang w:val="en-US" w:bidi="zh-CN"/>
                    </w:rPr>
                    <w:t>空间位置</w:t>
                  </w:r>
                  <w:r>
                    <w:rPr>
                      <w:rFonts w:hint="eastAsia"/>
                      <w:color w:val="auto"/>
                      <w:sz w:val="18"/>
                      <w:szCs w:val="18"/>
                      <w:lang w:bidi="zh-CN"/>
                    </w:rPr>
                    <w:t>以院区西南角为坐标原点（0,0,0）</w:t>
                  </w:r>
                </w:p>
              </w:tc>
            </w:tr>
          </w:tbl>
          <w:p w14:paraId="69B28368">
            <w:pPr>
              <w:pStyle w:val="47"/>
              <w:snapToGrid w:val="0"/>
              <w:ind w:firstLine="482"/>
              <w:rPr>
                <w:rFonts w:hint="default" w:ascii="Times New Roman" w:hAnsi="Times New Roman" w:cs="Times New Roman"/>
                <w:b/>
                <w:bCs/>
                <w:color w:val="auto"/>
              </w:rPr>
            </w:pPr>
            <w:r>
              <w:rPr>
                <w:rFonts w:hint="eastAsia"/>
                <w:b/>
                <w:color w:val="auto"/>
                <w:sz w:val="24"/>
                <w:lang w:val="en-US" w:eastAsia="zh-CN"/>
              </w:rPr>
              <w:t>2、</w:t>
            </w:r>
            <w:r>
              <w:rPr>
                <w:rFonts w:hint="default" w:ascii="Times New Roman" w:hAnsi="Times New Roman" w:cs="Times New Roman"/>
                <w:b/>
                <w:bCs/>
                <w:color w:val="auto"/>
              </w:rPr>
              <w:t>噪声预测</w:t>
            </w:r>
          </w:p>
          <w:p w14:paraId="3CCFCA8B">
            <w:pPr>
              <w:pStyle w:val="57"/>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声环境》（HJ2.4-2021）的技术要求，本次评价采用导则推荐的预测模式。</w:t>
            </w:r>
          </w:p>
          <w:p w14:paraId="425C62E8">
            <w:pPr>
              <w:pStyle w:val="57"/>
              <w:ind w:firstLine="480"/>
              <w:rPr>
                <w:rFonts w:hint="default" w:ascii="Times New Roman" w:hAnsi="Times New Roman" w:cs="Times New Roman"/>
                <w:color w:val="auto"/>
              </w:rPr>
            </w:pPr>
            <w:r>
              <w:rPr>
                <w:rFonts w:hint="default" w:ascii="Times New Roman" w:hAnsi="Times New Roman" w:cs="Times New Roman"/>
                <w:color w:val="auto"/>
              </w:rPr>
              <w:t>（1）等效室外声源计算</w:t>
            </w:r>
          </w:p>
          <w:p w14:paraId="70B4E861">
            <w:pPr>
              <w:numPr>
                <w:ilvl w:val="0"/>
                <w:numId w:val="0"/>
              </w:numPr>
              <w:spacing w:line="360" w:lineRule="auto"/>
              <w:ind w:leftChars="0" w:firstLine="480" w:firstLineChars="200"/>
              <w:jc w:val="left"/>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按下式计算出所有室内声源在围护结构处产生的i倍频带叠加声压级：</w:t>
            </w:r>
          </w:p>
          <w:p w14:paraId="7D793BE4">
            <w:pPr>
              <w:pStyle w:val="57"/>
              <w:ind w:firstLine="480"/>
              <w:jc w:val="center"/>
              <w:rPr>
                <w:rFonts w:hint="default" w:ascii="Times New Roman" w:hAnsi="Times New Roman" w:cs="Times New Roman"/>
                <w:color w:val="auto"/>
              </w:rPr>
            </w:pPr>
            <w:r>
              <w:rPr>
                <w:rFonts w:hint="default" w:ascii="Times New Roman" w:hAnsi="Times New Roman" w:cs="Times New Roman"/>
                <w:color w:val="auto"/>
                <w:position w:val="-32"/>
              </w:rPr>
              <w:object>
                <v:shape id="_x0000_i1025" o:spt="75" type="#_x0000_t75" style="height:36pt;width:132pt;" o:ole="t" filled="f" stroked="f" coordsize="21600,21600">
                  <v:path/>
                  <v:fill on="f" focussize="0,0"/>
                  <v:stroke on="f"/>
                  <v:imagedata r:id="rId14" o:title=""/>
                  <o:lock v:ext="edit" aspectratio="t"/>
                  <w10:wrap type="none"/>
                  <w10:anchorlock/>
                </v:shape>
                <o:OLEObject Type="Embed" ProgID="Equation.DSMT4" ShapeID="_x0000_i1025" DrawAspect="Content" ObjectID="_1468075725" r:id="rId13">
                  <o:LockedField>false</o:LockedField>
                </o:OLEObject>
              </w:object>
            </w:r>
          </w:p>
          <w:p w14:paraId="3D578445">
            <w:pPr>
              <w:pStyle w:val="57"/>
              <w:ind w:firstLine="480"/>
              <w:rPr>
                <w:rFonts w:hint="default" w:ascii="Times New Roman" w:hAnsi="Times New Roman" w:cs="Times New Roman"/>
                <w:color w:val="auto"/>
              </w:rPr>
            </w:pPr>
            <w:r>
              <w:rPr>
                <w:rFonts w:hint="default" w:ascii="Times New Roman" w:hAnsi="Times New Roman" w:cs="Times New Roman"/>
                <w:color w:val="auto"/>
              </w:rPr>
              <w:t>式中：L</w:t>
            </w:r>
            <w:r>
              <w:rPr>
                <w:rFonts w:hint="default" w:ascii="Times New Roman" w:hAnsi="Times New Roman" w:cs="Times New Roman"/>
                <w:color w:val="auto"/>
                <w:vertAlign w:val="subscript"/>
              </w:rPr>
              <w:t>pli</w:t>
            </w:r>
            <w:r>
              <w:rPr>
                <w:rFonts w:hint="default" w:ascii="Times New Roman" w:hAnsi="Times New Roman" w:cs="Times New Roman"/>
                <w:color w:val="auto"/>
              </w:rPr>
              <w:t>（T）——靠近围护结构处室内N个声源i倍频带的叠加声压级，dB；</w:t>
            </w:r>
          </w:p>
          <w:p w14:paraId="21BFECF1">
            <w:pPr>
              <w:pStyle w:val="57"/>
              <w:ind w:firstLine="1200" w:firstLineChars="500"/>
              <w:rPr>
                <w:rFonts w:hint="default" w:ascii="Times New Roman" w:hAnsi="Times New Roman" w:cs="Times New Roman"/>
                <w:color w:val="auto"/>
              </w:rPr>
            </w:pPr>
            <w:r>
              <w:rPr>
                <w:rFonts w:hint="default" w:ascii="Times New Roman" w:hAnsi="Times New Roman" w:cs="Times New Roman"/>
                <w:color w:val="auto"/>
                <w:vertAlign w:val="subscript"/>
              </w:rPr>
              <w:t>Lplij</w:t>
            </w:r>
            <w:r>
              <w:rPr>
                <w:rFonts w:hint="default" w:ascii="Times New Roman" w:hAnsi="Times New Roman" w:cs="Times New Roman"/>
                <w:color w:val="auto"/>
              </w:rPr>
              <w:t>——室内j声源i倍频带的声压级，dB；</w:t>
            </w:r>
          </w:p>
          <w:p w14:paraId="641CFDC2">
            <w:pPr>
              <w:pStyle w:val="57"/>
              <w:ind w:firstLine="1200" w:firstLineChars="500"/>
              <w:rPr>
                <w:rFonts w:hint="default" w:ascii="Times New Roman" w:hAnsi="Times New Roman" w:cs="Times New Roman"/>
                <w:color w:val="auto"/>
              </w:rPr>
            </w:pPr>
            <w:r>
              <w:rPr>
                <w:rFonts w:hint="default" w:ascii="Times New Roman" w:hAnsi="Times New Roman" w:cs="Times New Roman"/>
                <w:color w:val="auto"/>
              </w:rPr>
              <w:t>N——室内声源总数。</w:t>
            </w:r>
          </w:p>
          <w:p w14:paraId="36D7C9E9">
            <w:pPr>
              <w:pStyle w:val="57"/>
              <w:ind w:firstLine="480"/>
              <w:jc w:val="center"/>
              <w:rPr>
                <w:rFonts w:hint="default" w:ascii="Times New Roman" w:hAnsi="Times New Roman" w:cs="Times New Roman"/>
                <w:color w:val="auto"/>
                <w:position w:val="-14"/>
              </w:rPr>
            </w:pPr>
            <w:r>
              <w:rPr>
                <w:rFonts w:hint="default" w:ascii="Times New Roman" w:hAnsi="Times New Roman" w:cs="Times New Roman"/>
                <w:color w:val="auto"/>
              </w:rPr>
              <w:t>在室内近似为扩散声场时，按下算式计出靠近室外围护结构处的声压级：</w:t>
            </w:r>
          </w:p>
          <w:p w14:paraId="10BF7829">
            <w:pPr>
              <w:pStyle w:val="57"/>
              <w:ind w:firstLine="480"/>
              <w:jc w:val="center"/>
              <w:rPr>
                <w:rFonts w:hint="default" w:ascii="Times New Roman" w:hAnsi="Times New Roman" w:cs="Times New Roman"/>
                <w:color w:val="auto"/>
              </w:rPr>
            </w:pPr>
            <w:r>
              <w:rPr>
                <w:rFonts w:hint="default" w:ascii="Times New Roman" w:hAnsi="Times New Roman" w:cs="Times New Roman"/>
                <w:color w:val="auto"/>
                <w:position w:val="-14"/>
              </w:rPr>
              <w:object>
                <v:shape id="_x0000_i1026" o:spt="75" type="#_x0000_t75" style="height:18pt;width:144pt;" o:ole="t" filled="f" stroked="f" coordsize="21600,21600">
                  <v:path/>
                  <v:fill on="f" focussize="0,0"/>
                  <v:stroke on="f"/>
                  <v:imagedata r:id="rId16" o:title=""/>
                  <o:lock v:ext="edit" aspectratio="t"/>
                  <w10:wrap type="none"/>
                  <w10:anchorlock/>
                </v:shape>
                <o:OLEObject Type="Embed" ProgID="Equation.DSMT4" ShapeID="_x0000_i1026" DrawAspect="Content" ObjectID="_1468075726" r:id="rId15">
                  <o:LockedField>false</o:LockedField>
                </o:OLEObject>
              </w:object>
            </w:r>
          </w:p>
          <w:p w14:paraId="70FCC067">
            <w:pPr>
              <w:pStyle w:val="57"/>
              <w:ind w:firstLine="480"/>
              <w:rPr>
                <w:rFonts w:hint="default" w:ascii="Times New Roman" w:hAnsi="Times New Roman" w:cs="Times New Roman"/>
                <w:color w:val="auto"/>
              </w:rPr>
            </w:pPr>
            <w:r>
              <w:rPr>
                <w:rFonts w:hint="default" w:ascii="Times New Roman" w:hAnsi="Times New Roman" w:cs="Times New Roman"/>
                <w:color w:val="auto"/>
              </w:rPr>
              <w:t>式中：L</w:t>
            </w:r>
            <w:r>
              <w:rPr>
                <w:rFonts w:hint="default" w:ascii="Times New Roman" w:hAnsi="Times New Roman" w:cs="Times New Roman"/>
                <w:color w:val="auto"/>
                <w:vertAlign w:val="subscript"/>
              </w:rPr>
              <w:t>p2i</w:t>
            </w:r>
            <w:r>
              <w:rPr>
                <w:rFonts w:hint="default" w:ascii="Times New Roman" w:hAnsi="Times New Roman" w:cs="Times New Roman"/>
                <w:color w:val="auto"/>
              </w:rPr>
              <w:t>（T）——靠近围护结构处室内N个声源倍频带的叠加声压级，dB；</w:t>
            </w:r>
          </w:p>
          <w:p w14:paraId="40392B58">
            <w:pPr>
              <w:pStyle w:val="57"/>
              <w:ind w:firstLine="1200" w:firstLineChars="500"/>
              <w:rPr>
                <w:rFonts w:hint="default" w:ascii="Times New Roman" w:hAnsi="Times New Roman" w:cs="Times New Roman"/>
                <w:color w:val="auto"/>
              </w:rPr>
            </w:pPr>
            <w:r>
              <w:rPr>
                <w:rFonts w:hint="default" w:ascii="Times New Roman" w:hAnsi="Times New Roman" w:cs="Times New Roman"/>
                <w:color w:val="auto"/>
              </w:rPr>
              <w:t>Lp</w:t>
            </w:r>
            <w:r>
              <w:rPr>
                <w:rFonts w:hint="default" w:ascii="Times New Roman" w:hAnsi="Times New Roman" w:cs="Times New Roman"/>
                <w:color w:val="auto"/>
                <w:vertAlign w:val="subscript"/>
              </w:rPr>
              <w:t>2</w:t>
            </w:r>
            <w:r>
              <w:rPr>
                <w:rFonts w:hint="default" w:ascii="Times New Roman" w:hAnsi="Times New Roman" w:cs="Times New Roman"/>
                <w:color w:val="auto"/>
              </w:rPr>
              <w:t>——靠近围护结构处室外N 个声源倍频带的叠加声压级，dB；</w:t>
            </w:r>
          </w:p>
          <w:p w14:paraId="2A715295">
            <w:pPr>
              <w:pStyle w:val="57"/>
              <w:ind w:firstLine="1200" w:firstLineChars="500"/>
              <w:rPr>
                <w:rFonts w:hint="default" w:ascii="Times New Roman" w:hAnsi="Times New Roman" w:cs="Times New Roman"/>
                <w:color w:val="auto"/>
              </w:rPr>
            </w:pPr>
            <w:r>
              <w:rPr>
                <w:rFonts w:hint="default" w:ascii="Times New Roman" w:hAnsi="Times New Roman" w:cs="Times New Roman"/>
                <w:color w:val="auto"/>
              </w:rPr>
              <w:t>TL</w:t>
            </w:r>
            <w:r>
              <w:rPr>
                <w:rFonts w:hint="default" w:ascii="Times New Roman" w:hAnsi="Times New Roman" w:cs="Times New Roman"/>
                <w:color w:val="auto"/>
                <w:vertAlign w:val="subscript"/>
              </w:rPr>
              <w:t>i</w:t>
            </w:r>
            <w:r>
              <w:rPr>
                <w:rFonts w:hint="default" w:ascii="Times New Roman" w:hAnsi="Times New Roman" w:cs="Times New Roman"/>
                <w:color w:val="auto"/>
              </w:rPr>
              <w:t>——围护结构i 倍频带隔声量，dB。</w:t>
            </w:r>
          </w:p>
          <w:p w14:paraId="3D91FFBF">
            <w:pPr>
              <w:pStyle w:val="57"/>
              <w:ind w:firstLine="480"/>
              <w:rPr>
                <w:rFonts w:hint="default" w:ascii="Times New Roman" w:hAnsi="Times New Roman" w:cs="Times New Roman"/>
                <w:color w:val="auto"/>
              </w:rPr>
            </w:pPr>
            <w:r>
              <w:rPr>
                <w:rFonts w:hint="default" w:ascii="Times New Roman" w:hAnsi="Times New Roman" w:cs="Times New Roman"/>
                <w:color w:val="auto"/>
              </w:rPr>
              <w:t>（2）噪声衰减计算</w:t>
            </w:r>
          </w:p>
          <w:p w14:paraId="70C0BC91">
            <w:pPr>
              <w:pStyle w:val="57"/>
              <w:ind w:firstLine="480"/>
              <w:rPr>
                <w:rFonts w:hint="default" w:ascii="Times New Roman" w:hAnsi="Times New Roman" w:cs="Times New Roman"/>
                <w:color w:val="auto"/>
              </w:rPr>
            </w:pPr>
            <w:r>
              <w:rPr>
                <w:rFonts w:hint="default" w:ascii="Times New Roman" w:hAnsi="Times New Roman" w:cs="Times New Roman"/>
                <w:color w:val="auto"/>
              </w:rPr>
              <w:t>无指向性点声源几何发散衰减的基本公式是：</w:t>
            </w:r>
          </w:p>
          <w:p w14:paraId="2403C958">
            <w:pPr>
              <w:pStyle w:val="57"/>
              <w:ind w:firstLine="480"/>
              <w:jc w:val="center"/>
              <w:rPr>
                <w:rFonts w:hint="default" w:ascii="Times New Roman" w:hAnsi="Times New Roman" w:cs="Times New Roman"/>
                <w:color w:val="auto"/>
              </w:rPr>
            </w:pPr>
            <w:r>
              <w:rPr>
                <w:rFonts w:hint="default" w:ascii="Times New Roman" w:hAnsi="Times New Roman" w:cs="Times New Roman"/>
                <w:color w:val="auto"/>
                <w:position w:val="-14"/>
              </w:rPr>
              <w:object>
                <v:shape id="_x0000_i1027" o:spt="75" type="#_x0000_t75" style="height:18pt;width:138pt;" o:ole="t" filled="f" stroked="f" coordsize="21600,21600">
                  <v:path/>
                  <v:fill on="f" focussize="0,0"/>
                  <v:stroke on="f"/>
                  <v:imagedata r:id="rId18" o:title=""/>
                  <o:lock v:ext="edit" aspectratio="t"/>
                  <w10:wrap type="none"/>
                  <w10:anchorlock/>
                </v:shape>
                <o:OLEObject Type="Embed" ProgID="Equation.DSMT4" ShapeID="_x0000_i1027" DrawAspect="Content" ObjectID="_1468075727" r:id="rId17">
                  <o:LockedField>false</o:LockedField>
                </o:OLEObject>
              </w:object>
            </w:r>
          </w:p>
          <w:p w14:paraId="694F1CA6">
            <w:pPr>
              <w:pStyle w:val="57"/>
              <w:ind w:firstLine="480"/>
              <w:rPr>
                <w:rFonts w:hint="default" w:ascii="Times New Roman" w:hAnsi="Times New Roman" w:cs="Times New Roman"/>
                <w:color w:val="auto"/>
              </w:rPr>
            </w:pPr>
            <w:r>
              <w:rPr>
                <w:rFonts w:hint="default" w:ascii="Times New Roman" w:hAnsi="Times New Roman" w:cs="Times New Roman"/>
                <w:color w:val="auto"/>
              </w:rPr>
              <w:t>式中：L</w:t>
            </w:r>
            <w:r>
              <w:rPr>
                <w:rFonts w:hint="default" w:ascii="Times New Roman" w:hAnsi="Times New Roman" w:cs="Times New Roman"/>
                <w:color w:val="auto"/>
                <w:vertAlign w:val="subscript"/>
              </w:rPr>
              <w:t>p（r）</w:t>
            </w:r>
            <w:r>
              <w:rPr>
                <w:rFonts w:hint="default" w:ascii="Times New Roman" w:hAnsi="Times New Roman" w:cs="Times New Roman"/>
                <w:color w:val="auto"/>
              </w:rPr>
              <w:t>—预测点处声压级，dB；</w:t>
            </w:r>
          </w:p>
          <w:p w14:paraId="51B505AF">
            <w:pPr>
              <w:pStyle w:val="57"/>
              <w:ind w:firstLine="1200" w:firstLineChars="500"/>
              <w:rPr>
                <w:rFonts w:hint="default" w:ascii="Times New Roman" w:hAnsi="Times New Roman" w:cs="Times New Roman"/>
                <w:color w:val="auto"/>
              </w:rPr>
            </w:pPr>
            <w:r>
              <w:rPr>
                <w:rFonts w:hint="default" w:ascii="Times New Roman" w:hAnsi="Times New Roman" w:cs="Times New Roman"/>
                <w:color w:val="auto"/>
              </w:rPr>
              <w:t>L</w:t>
            </w:r>
            <w:r>
              <w:rPr>
                <w:rFonts w:hint="default" w:ascii="Times New Roman" w:hAnsi="Times New Roman" w:cs="Times New Roman"/>
                <w:color w:val="auto"/>
                <w:vertAlign w:val="subscript"/>
              </w:rPr>
              <w:t>p（r0）</w:t>
            </w:r>
            <w:r>
              <w:rPr>
                <w:rFonts w:hint="default" w:ascii="Times New Roman" w:hAnsi="Times New Roman" w:cs="Times New Roman"/>
                <w:color w:val="auto"/>
              </w:rPr>
              <w:t>—参考位置r0处的声压级，dB；</w:t>
            </w:r>
          </w:p>
          <w:p w14:paraId="6B84C5F7">
            <w:pPr>
              <w:pStyle w:val="57"/>
              <w:ind w:firstLine="1200" w:firstLineChars="500"/>
              <w:rPr>
                <w:rFonts w:hint="default" w:ascii="Times New Roman" w:hAnsi="Times New Roman" w:cs="Times New Roman"/>
                <w:color w:val="auto"/>
              </w:rPr>
            </w:pPr>
            <w:r>
              <w:rPr>
                <w:rFonts w:hint="default" w:ascii="Times New Roman" w:hAnsi="Times New Roman" w:cs="Times New Roman"/>
                <w:color w:val="auto"/>
              </w:rPr>
              <w:t>r—预测点距声源的距离，m；</w:t>
            </w:r>
          </w:p>
          <w:p w14:paraId="3A259D83">
            <w:pPr>
              <w:pStyle w:val="57"/>
              <w:ind w:firstLine="1200" w:firstLineChars="500"/>
              <w:rPr>
                <w:rFonts w:hint="default" w:ascii="Times New Roman" w:hAnsi="Times New Roman" w:cs="Times New Roman"/>
                <w:color w:val="auto"/>
              </w:rPr>
            </w:pPr>
            <w:r>
              <w:rPr>
                <w:rFonts w:hint="default" w:ascii="Times New Roman" w:hAnsi="Times New Roman" w:cs="Times New Roman"/>
                <w:color w:val="auto"/>
              </w:rPr>
              <w:t>r</w:t>
            </w:r>
            <w:r>
              <w:rPr>
                <w:rFonts w:hint="default" w:ascii="Times New Roman" w:hAnsi="Times New Roman" w:cs="Times New Roman"/>
                <w:color w:val="auto"/>
                <w:vertAlign w:val="subscript"/>
              </w:rPr>
              <w:t>0</w:t>
            </w:r>
            <w:r>
              <w:rPr>
                <w:rFonts w:hint="default" w:ascii="Times New Roman" w:hAnsi="Times New Roman" w:cs="Times New Roman"/>
                <w:color w:val="auto"/>
              </w:rPr>
              <w:t>—参考位置距声源的距离，m；</w:t>
            </w:r>
          </w:p>
          <w:p w14:paraId="7D443BBB">
            <w:pPr>
              <w:pStyle w:val="57"/>
              <w:ind w:firstLine="480"/>
              <w:rPr>
                <w:rFonts w:hint="default" w:ascii="Times New Roman" w:hAnsi="Times New Roman" w:cs="Times New Roman"/>
                <w:color w:val="auto"/>
              </w:rPr>
            </w:pPr>
            <w:r>
              <w:rPr>
                <w:rFonts w:hint="default" w:ascii="Times New Roman" w:hAnsi="Times New Roman" w:cs="Times New Roman"/>
                <w:color w:val="auto"/>
              </w:rPr>
              <w:t>（3）噪声贡献值计算</w:t>
            </w:r>
          </w:p>
          <w:p w14:paraId="4623DF9B">
            <w:pPr>
              <w:pStyle w:val="57"/>
              <w:ind w:firstLine="480"/>
              <w:rPr>
                <w:rFonts w:hint="default" w:ascii="Times New Roman" w:hAnsi="Times New Roman" w:cs="Times New Roman"/>
                <w:color w:val="auto"/>
              </w:rPr>
            </w:pPr>
            <w:r>
              <w:rPr>
                <w:rFonts w:hint="default" w:ascii="Times New Roman" w:hAnsi="Times New Roman" w:cs="Times New Roman"/>
                <w:color w:val="auto"/>
              </w:rPr>
              <w:t>第i个室外声源在预测点产生的A声级为LAi，在T时间内该声源工作时间为ti；第j个等效室外声源在预测点产生的A声级为LAj，在T时间内该声源工作时间为tj，则拟建工程声源对预测点产生的贡献值（Leqg）为：</w:t>
            </w:r>
          </w:p>
          <w:p w14:paraId="0D76AB4E">
            <w:pPr>
              <w:pStyle w:val="57"/>
              <w:ind w:firstLine="480"/>
              <w:jc w:val="center"/>
              <w:rPr>
                <w:rFonts w:hint="default" w:ascii="Times New Roman" w:hAnsi="Times New Roman" w:cs="Times New Roman"/>
                <w:color w:val="auto"/>
              </w:rPr>
            </w:pPr>
            <w:r>
              <w:rPr>
                <w:rFonts w:hint="default" w:ascii="Times New Roman" w:hAnsi="Times New Roman" w:cs="Times New Roman"/>
                <w:color w:val="auto"/>
                <w:position w:val="-30"/>
              </w:rPr>
              <w:object>
                <v:shape id="_x0000_i1028" o:spt="75" type="#_x0000_t75" style="height:36pt;width:198pt;" o:ole="t" filled="f" stroked="f" coordsize="21600,21600">
                  <v:path/>
                  <v:fill on="f" focussize="0,0"/>
                  <v:stroke on="f"/>
                  <v:imagedata r:id="rId20" o:title=""/>
                  <o:lock v:ext="edit" aspectratio="t"/>
                  <w10:wrap type="none"/>
                  <w10:anchorlock/>
                </v:shape>
                <o:OLEObject Type="Embed" ProgID="Equation.DSMT4" ShapeID="_x0000_i1028" DrawAspect="Content" ObjectID="_1468075728" r:id="rId19">
                  <o:LockedField>false</o:LockedField>
                </o:OLEObject>
              </w:object>
            </w:r>
          </w:p>
          <w:p w14:paraId="12962DE8">
            <w:pPr>
              <w:pStyle w:val="57"/>
              <w:ind w:firstLine="480"/>
              <w:rPr>
                <w:rFonts w:hint="default" w:ascii="Times New Roman" w:hAnsi="Times New Roman" w:cs="Times New Roman"/>
                <w:color w:val="auto"/>
              </w:rPr>
            </w:pPr>
            <w:r>
              <w:rPr>
                <w:rFonts w:hint="default" w:ascii="Times New Roman" w:hAnsi="Times New Roman" w:cs="Times New Roman"/>
                <w:color w:val="auto"/>
              </w:rPr>
              <w:t>式中：L</w:t>
            </w:r>
            <w:r>
              <w:rPr>
                <w:rFonts w:hint="default" w:ascii="Times New Roman" w:hAnsi="Times New Roman" w:cs="Times New Roman"/>
                <w:color w:val="auto"/>
                <w:vertAlign w:val="subscript"/>
              </w:rPr>
              <w:t>eqg</w:t>
            </w:r>
            <w:r>
              <w:rPr>
                <w:rFonts w:hint="default" w:ascii="Times New Roman" w:hAnsi="Times New Roman" w:cs="Times New Roman"/>
                <w:color w:val="auto"/>
              </w:rPr>
              <w:t>——建设项目声源在预测点产生的噪声贡献值，dB；</w:t>
            </w:r>
          </w:p>
          <w:p w14:paraId="29BB018A">
            <w:pPr>
              <w:pStyle w:val="57"/>
              <w:ind w:firstLine="1200" w:firstLineChars="500"/>
              <w:rPr>
                <w:rFonts w:hint="default" w:ascii="Times New Roman" w:hAnsi="Times New Roman" w:cs="Times New Roman"/>
                <w:color w:val="auto"/>
              </w:rPr>
            </w:pPr>
            <w:r>
              <w:rPr>
                <w:rFonts w:hint="default" w:ascii="Times New Roman" w:hAnsi="Times New Roman" w:cs="Times New Roman"/>
                <w:color w:val="auto"/>
              </w:rPr>
              <w:t>T ——用于计算等效声级的时间，s；</w:t>
            </w:r>
          </w:p>
          <w:p w14:paraId="0FEA0E69">
            <w:pPr>
              <w:pStyle w:val="57"/>
              <w:ind w:firstLine="1200" w:firstLineChars="500"/>
              <w:rPr>
                <w:rFonts w:hint="default" w:ascii="Times New Roman" w:hAnsi="Times New Roman" w:cs="Times New Roman"/>
                <w:color w:val="auto"/>
              </w:rPr>
            </w:pPr>
            <w:r>
              <w:rPr>
                <w:rFonts w:hint="default" w:ascii="Times New Roman" w:hAnsi="Times New Roman" w:cs="Times New Roman"/>
                <w:color w:val="auto"/>
              </w:rPr>
              <w:t>N ——室外声源个数；</w:t>
            </w:r>
          </w:p>
          <w:p w14:paraId="30B212D1">
            <w:pPr>
              <w:pStyle w:val="57"/>
              <w:ind w:firstLine="1200" w:firstLineChars="500"/>
              <w:rPr>
                <w:rFonts w:hint="default" w:ascii="Times New Roman" w:hAnsi="Times New Roman" w:cs="Times New Roman"/>
                <w:color w:val="auto"/>
              </w:rPr>
            </w:pPr>
            <w:r>
              <w:rPr>
                <w:rFonts w:hint="default" w:ascii="Times New Roman" w:hAnsi="Times New Roman" w:cs="Times New Roman"/>
                <w:color w:val="auto"/>
              </w:rPr>
              <w:t>t</w:t>
            </w:r>
            <w:r>
              <w:rPr>
                <w:rFonts w:hint="default" w:ascii="Times New Roman" w:hAnsi="Times New Roman" w:cs="Times New Roman"/>
                <w:color w:val="auto"/>
                <w:vertAlign w:val="subscript"/>
              </w:rPr>
              <w:t>i</w:t>
            </w:r>
            <w:r>
              <w:rPr>
                <w:rFonts w:hint="default" w:ascii="Times New Roman" w:hAnsi="Times New Roman" w:cs="Times New Roman"/>
                <w:color w:val="auto"/>
              </w:rPr>
              <w:t>——在T 时间内i 声源工作时间，s；</w:t>
            </w:r>
          </w:p>
          <w:p w14:paraId="7172D04D">
            <w:pPr>
              <w:pStyle w:val="57"/>
              <w:ind w:firstLine="1200" w:firstLineChars="500"/>
              <w:rPr>
                <w:rFonts w:hint="default" w:ascii="Times New Roman" w:hAnsi="Times New Roman" w:cs="Times New Roman"/>
                <w:color w:val="auto"/>
              </w:rPr>
            </w:pPr>
            <w:r>
              <w:rPr>
                <w:rFonts w:hint="default" w:ascii="Times New Roman" w:hAnsi="Times New Roman" w:cs="Times New Roman"/>
                <w:color w:val="auto"/>
              </w:rPr>
              <w:t>M ——等效室外声源个数；</w:t>
            </w:r>
          </w:p>
          <w:p w14:paraId="0A5DEB2A">
            <w:pPr>
              <w:pStyle w:val="57"/>
              <w:ind w:firstLine="1200" w:firstLineChars="500"/>
              <w:rPr>
                <w:rFonts w:hint="default" w:ascii="Times New Roman" w:hAnsi="Times New Roman" w:cs="Times New Roman"/>
                <w:color w:val="auto"/>
              </w:rPr>
            </w:pPr>
            <w:r>
              <w:rPr>
                <w:rFonts w:hint="default" w:ascii="Times New Roman" w:hAnsi="Times New Roman" w:cs="Times New Roman"/>
                <w:color w:val="auto"/>
              </w:rPr>
              <w:t>t</w:t>
            </w:r>
            <w:r>
              <w:rPr>
                <w:rFonts w:hint="default" w:ascii="Times New Roman" w:hAnsi="Times New Roman" w:cs="Times New Roman"/>
                <w:color w:val="auto"/>
                <w:vertAlign w:val="subscript"/>
              </w:rPr>
              <w:t>j</w:t>
            </w:r>
            <w:r>
              <w:rPr>
                <w:rFonts w:hint="default" w:ascii="Times New Roman" w:hAnsi="Times New Roman" w:cs="Times New Roman"/>
                <w:color w:val="auto"/>
              </w:rPr>
              <w:t>——在T 时间内j声源工作时间，s。</w:t>
            </w:r>
          </w:p>
          <w:p w14:paraId="3FCA4A7A">
            <w:pPr>
              <w:pStyle w:val="57"/>
              <w:ind w:firstLine="480"/>
              <w:rPr>
                <w:rFonts w:hint="default" w:ascii="Times New Roman" w:hAnsi="Times New Roman" w:cs="Times New Roman"/>
                <w:color w:val="auto"/>
              </w:rPr>
            </w:pPr>
            <w:r>
              <w:rPr>
                <w:rFonts w:hint="default" w:ascii="Times New Roman" w:hAnsi="Times New Roman" w:cs="Times New Roman"/>
                <w:color w:val="auto"/>
              </w:rPr>
              <w:t>（4）噪声预测值计算</w:t>
            </w:r>
          </w:p>
          <w:p w14:paraId="44915374">
            <w:pPr>
              <w:pStyle w:val="57"/>
              <w:ind w:firstLine="480"/>
              <w:rPr>
                <w:rFonts w:hint="default" w:ascii="Times New Roman" w:hAnsi="Times New Roman" w:cs="Times New Roman"/>
                <w:color w:val="auto"/>
              </w:rPr>
            </w:pPr>
            <w:r>
              <w:rPr>
                <w:rFonts w:hint="default" w:ascii="Times New Roman" w:hAnsi="Times New Roman" w:cs="Times New Roman"/>
                <w:color w:val="auto"/>
              </w:rPr>
              <w:t>预测点的贡献值和背景值按能量叠加方法计算得到的声级。</w:t>
            </w:r>
          </w:p>
          <w:p w14:paraId="1D8AEADF">
            <w:pPr>
              <w:pStyle w:val="57"/>
              <w:ind w:firstLine="480"/>
              <w:rPr>
                <w:rFonts w:hint="default" w:ascii="Times New Roman" w:hAnsi="Times New Roman" w:cs="Times New Roman"/>
                <w:color w:val="auto"/>
              </w:rPr>
            </w:pPr>
            <w:r>
              <w:rPr>
                <w:rFonts w:hint="default" w:ascii="Times New Roman" w:hAnsi="Times New Roman" w:cs="Times New Roman"/>
                <w:color w:val="auto"/>
              </w:rPr>
              <w:t>噪声预测值（Leq）计算公式为：</w:t>
            </w:r>
          </w:p>
          <w:p w14:paraId="3E62B59F">
            <w:pPr>
              <w:pStyle w:val="57"/>
              <w:ind w:firstLine="480"/>
              <w:jc w:val="center"/>
              <w:rPr>
                <w:rFonts w:hint="default" w:ascii="Times New Roman" w:hAnsi="Times New Roman" w:cs="Times New Roman"/>
                <w:color w:val="auto"/>
              </w:rPr>
            </w:pPr>
            <w:r>
              <w:rPr>
                <w:rFonts w:hint="default" w:ascii="Times New Roman" w:hAnsi="Times New Roman" w:cs="Times New Roman"/>
                <w:color w:val="auto"/>
                <w:position w:val="-14"/>
              </w:rPr>
              <w:object>
                <v:shape id="_x0000_i1029" o:spt="75" type="#_x0000_t75" style="height:24pt;width:138pt;" o:ole="t" filled="f" stroked="f" coordsize="21600,21600">
                  <v:path/>
                  <v:fill on="f" focussize="0,0"/>
                  <v:stroke on="f"/>
                  <v:imagedata r:id="rId22" o:title=""/>
                  <o:lock v:ext="edit" aspectratio="t"/>
                  <w10:wrap type="none"/>
                  <w10:anchorlock/>
                </v:shape>
                <o:OLEObject Type="Embed" ProgID="Equation.DSMT4" ShapeID="_x0000_i1029" DrawAspect="Content" ObjectID="_1468075729" r:id="rId21">
                  <o:LockedField>false</o:LockedField>
                </o:OLEObject>
              </w:object>
            </w:r>
          </w:p>
          <w:p w14:paraId="75BCCA7B">
            <w:pPr>
              <w:pStyle w:val="57"/>
              <w:ind w:firstLine="480"/>
              <w:rPr>
                <w:rFonts w:hint="default" w:ascii="Times New Roman" w:hAnsi="Times New Roman" w:cs="Times New Roman"/>
                <w:color w:val="auto"/>
              </w:rPr>
            </w:pPr>
            <w:r>
              <w:rPr>
                <w:rFonts w:hint="default" w:ascii="Times New Roman" w:hAnsi="Times New Roman" w:cs="Times New Roman"/>
                <w:color w:val="auto"/>
              </w:rPr>
              <w:t>式中：L</w:t>
            </w:r>
            <w:r>
              <w:rPr>
                <w:rFonts w:hint="default" w:ascii="Times New Roman" w:hAnsi="Times New Roman" w:cs="Times New Roman"/>
                <w:color w:val="auto"/>
                <w:vertAlign w:val="subscript"/>
              </w:rPr>
              <w:t>eq</w:t>
            </w:r>
            <w:r>
              <w:rPr>
                <w:rFonts w:hint="default" w:ascii="Times New Roman" w:hAnsi="Times New Roman" w:cs="Times New Roman"/>
                <w:color w:val="auto"/>
              </w:rPr>
              <w:t>——预测点的噪声预测值，dB；</w:t>
            </w:r>
          </w:p>
          <w:p w14:paraId="7E897ECD">
            <w:pPr>
              <w:pStyle w:val="57"/>
              <w:ind w:firstLine="1200" w:firstLineChars="500"/>
              <w:rPr>
                <w:rFonts w:hint="default" w:ascii="Times New Roman" w:hAnsi="Times New Roman" w:eastAsia="宋体" w:cs="Times New Roman"/>
                <w:color w:val="auto"/>
                <w:lang w:val="en-US" w:eastAsia="zh-CN"/>
              </w:rPr>
            </w:pPr>
            <w:r>
              <w:rPr>
                <w:rFonts w:hint="default" w:ascii="Times New Roman" w:hAnsi="Times New Roman" w:cs="Times New Roman"/>
                <w:color w:val="auto"/>
              </w:rPr>
              <w:t>L</w:t>
            </w:r>
            <w:r>
              <w:rPr>
                <w:rFonts w:hint="default" w:ascii="Times New Roman" w:hAnsi="Times New Roman" w:cs="Times New Roman"/>
                <w:color w:val="auto"/>
                <w:vertAlign w:val="subscript"/>
              </w:rPr>
              <w:t>eqg</w:t>
            </w:r>
            <w:r>
              <w:rPr>
                <w:rFonts w:hint="default" w:ascii="Times New Roman" w:hAnsi="Times New Roman" w:cs="Times New Roman"/>
                <w:color w:val="auto"/>
              </w:rPr>
              <w:t>——建设项目声源在预测点产生的噪声贡献值，dB；</w:t>
            </w:r>
            <w:r>
              <w:rPr>
                <w:rFonts w:hint="eastAsia" w:ascii="Times New Roman" w:hAnsi="Times New Roman" w:cs="Times New Roman"/>
                <w:color w:val="auto"/>
                <w:lang w:val="en-US" w:eastAsia="zh-CN"/>
              </w:rPr>
              <w:t xml:space="preserve">                                                                          </w:t>
            </w:r>
          </w:p>
          <w:p w14:paraId="668E2F1B">
            <w:pPr>
              <w:pStyle w:val="57"/>
              <w:ind w:firstLine="1200" w:firstLineChars="500"/>
              <w:rPr>
                <w:rFonts w:hint="default" w:ascii="Times New Roman" w:hAnsi="Times New Roman" w:cs="Times New Roman"/>
                <w:color w:val="auto"/>
              </w:rPr>
            </w:pPr>
            <w:r>
              <w:rPr>
                <w:rFonts w:hint="default" w:ascii="Times New Roman" w:hAnsi="Times New Roman" w:cs="Times New Roman"/>
                <w:color w:val="auto"/>
              </w:rPr>
              <w:t>L</w:t>
            </w:r>
            <w:r>
              <w:rPr>
                <w:rFonts w:hint="default" w:ascii="Times New Roman" w:hAnsi="Times New Roman" w:cs="Times New Roman"/>
                <w:color w:val="auto"/>
                <w:vertAlign w:val="subscript"/>
              </w:rPr>
              <w:t>eqb</w:t>
            </w:r>
            <w:r>
              <w:rPr>
                <w:rFonts w:hint="default" w:ascii="Times New Roman" w:hAnsi="Times New Roman" w:cs="Times New Roman"/>
                <w:color w:val="auto"/>
              </w:rPr>
              <w:t>——预测点的背景噪声值，dB。</w:t>
            </w:r>
          </w:p>
          <w:p w14:paraId="0B3E2733">
            <w:pPr>
              <w:spacing w:before="120" w:beforeLines="50"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（5）预测结果</w:t>
            </w:r>
          </w:p>
          <w:p w14:paraId="4ED7F82E">
            <w:pPr>
              <w:snapToGrid w:val="0"/>
              <w:spacing w:line="360" w:lineRule="auto"/>
              <w:ind w:firstLine="480"/>
              <w:jc w:val="left"/>
              <w:rPr>
                <w:rFonts w:hint="default" w:ascii="Times New Roman" w:hAnsi="Times New Roman" w:cs="Times New Roman"/>
                <w:bCs/>
                <w:color w:val="auto"/>
                <w:sz w:val="24"/>
              </w:rPr>
            </w:pPr>
            <w:r>
              <w:rPr>
                <w:rFonts w:hint="default" w:ascii="Times New Roman" w:hAnsi="Times New Roman" w:cs="Times New Roman"/>
                <w:bCs/>
                <w:color w:val="auto"/>
                <w:sz w:val="24"/>
              </w:rPr>
              <w:t>项目设备主要安装在</w:t>
            </w:r>
            <w:r>
              <w:rPr>
                <w:rFonts w:hint="eastAsia" w:ascii="Times New Roman" w:hAnsi="Times New Roman" w:cs="Times New Roman"/>
                <w:bCs/>
                <w:color w:val="auto"/>
                <w:sz w:val="24"/>
                <w:lang w:val="en-US" w:eastAsia="zh-CN"/>
              </w:rPr>
              <w:t>建筑物</w:t>
            </w:r>
            <w:r>
              <w:rPr>
                <w:rFonts w:hint="default" w:ascii="Times New Roman" w:hAnsi="Times New Roman" w:cs="Times New Roman"/>
                <w:bCs/>
                <w:color w:val="auto"/>
                <w:sz w:val="24"/>
              </w:rPr>
              <w:t>内，</w:t>
            </w:r>
            <w:r>
              <w:rPr>
                <w:rFonts w:hint="eastAsia" w:cs="Times New Roman"/>
                <w:bCs/>
                <w:color w:val="auto"/>
                <w:sz w:val="24"/>
                <w:lang w:val="en-US" w:eastAsia="zh-CN"/>
              </w:rPr>
              <w:t>配电室和洗衣房位于门诊大楼内，</w:t>
            </w:r>
            <w:r>
              <w:rPr>
                <w:rFonts w:hint="default" w:ascii="Times New Roman" w:hAnsi="Times New Roman" w:cs="Times New Roman"/>
                <w:color w:val="auto"/>
                <w:sz w:val="24"/>
              </w:rPr>
              <w:t>隔声较好，隔声量取2</w:t>
            </w:r>
            <w:r>
              <w:rPr>
                <w:rFonts w:hint="eastAsia" w:cs="Times New Roman"/>
                <w:color w:val="auto"/>
                <w:sz w:val="24"/>
                <w:lang w:val="en-US" w:eastAsia="zh-CN"/>
              </w:rPr>
              <w:t>5</w:t>
            </w:r>
            <w:r>
              <w:rPr>
                <w:rFonts w:hint="default" w:ascii="Times New Roman" w:hAnsi="Times New Roman" w:cs="Times New Roman"/>
                <w:color w:val="auto"/>
                <w:sz w:val="24"/>
              </w:rPr>
              <w:t>dB(A)，项目噪声</w:t>
            </w:r>
            <w:r>
              <w:rPr>
                <w:rFonts w:hint="default" w:ascii="Times New Roman" w:hAnsi="Times New Roman" w:cs="Times New Roman"/>
                <w:bCs/>
                <w:color w:val="auto"/>
                <w:sz w:val="24"/>
              </w:rPr>
              <w:t>预测结果见下表。</w:t>
            </w:r>
          </w:p>
          <w:p w14:paraId="04F69174">
            <w:pPr>
              <w:ind w:firstLine="482"/>
              <w:jc w:val="center"/>
              <w:rPr>
                <w:rFonts w:hint="default" w:ascii="Times New Roman" w:hAnsi="Times New Roman" w:cs="Times New Roman"/>
                <w:b/>
                <w:bCs/>
                <w:color w:val="auto"/>
              </w:rPr>
            </w:pPr>
            <w:r>
              <w:rPr>
                <w:rFonts w:hint="default" w:ascii="Times New Roman" w:hAnsi="Times New Roman" w:cs="Times New Roman"/>
                <w:b/>
                <w:bCs/>
                <w:color w:val="auto"/>
              </w:rPr>
              <w:t>表4-</w:t>
            </w:r>
            <w:r>
              <w:rPr>
                <w:rFonts w:hint="eastAsia" w:ascii="Times New Roman" w:hAnsi="Times New Roman" w:cs="Times New Roman"/>
                <w:b/>
                <w:bCs/>
                <w:color w:val="auto"/>
                <w:lang w:val="en-US" w:eastAsia="zh-CN"/>
              </w:rPr>
              <w:t>11</w:t>
            </w:r>
            <w:r>
              <w:rPr>
                <w:rFonts w:hint="default" w:ascii="Times New Roman" w:hAnsi="Times New Roman" w:cs="Times New Roman"/>
                <w:b/>
                <w:bCs/>
                <w:color w:val="auto"/>
              </w:rPr>
              <w:t xml:space="preserve">  本项目噪声预测结果一览表  单位：dB（A）</w:t>
            </w:r>
          </w:p>
          <w:tbl>
            <w:tblPr>
              <w:tblStyle w:val="17"/>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415"/>
              <w:gridCol w:w="1412"/>
              <w:gridCol w:w="1412"/>
              <w:gridCol w:w="1390"/>
              <w:gridCol w:w="1478"/>
            </w:tblGrid>
            <w:tr w14:paraId="667908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826" w:type="pct"/>
                  <w:vMerge w:val="restart"/>
                  <w:noWrap w:val="0"/>
                  <w:vAlign w:val="center"/>
                </w:tcPr>
                <w:p w14:paraId="6AAC7558">
                  <w:pPr>
                    <w:jc w:val="center"/>
                    <w:rPr>
                      <w:rFonts w:hint="default" w:ascii="Times New Roman" w:hAnsi="Times New Roman" w:cs="Times New Roman"/>
                      <w:b/>
                      <w:bCs/>
                      <w:color w:val="auto"/>
                    </w:rPr>
                  </w:pPr>
                  <w:r>
                    <w:rPr>
                      <w:rFonts w:hint="default" w:ascii="Times New Roman" w:hAnsi="Times New Roman" w:cs="Times New Roman"/>
                      <w:b/>
                      <w:bCs/>
                      <w:color w:val="auto"/>
                    </w:rPr>
                    <w:t>声源名称</w:t>
                  </w:r>
                </w:p>
              </w:tc>
              <w:tc>
                <w:tcPr>
                  <w:tcW w:w="831" w:type="pct"/>
                  <w:vMerge w:val="restart"/>
                  <w:noWrap w:val="0"/>
                  <w:vAlign w:val="center"/>
                </w:tcPr>
                <w:p w14:paraId="51A71F31">
                  <w:pPr>
                    <w:jc w:val="center"/>
                    <w:rPr>
                      <w:rFonts w:hint="default" w:ascii="Times New Roman" w:hAnsi="Times New Roman" w:cs="Times New Roman"/>
                      <w:b/>
                      <w:bCs/>
                      <w:color w:val="auto"/>
                    </w:rPr>
                  </w:pPr>
                  <w:r>
                    <w:rPr>
                      <w:rFonts w:hint="default" w:ascii="Times New Roman" w:hAnsi="Times New Roman" w:cs="Times New Roman"/>
                      <w:b/>
                      <w:bCs/>
                      <w:color w:val="auto"/>
                    </w:rPr>
                    <w:t>源强dB(A)</w:t>
                  </w:r>
                </w:p>
              </w:tc>
              <w:tc>
                <w:tcPr>
                  <w:tcW w:w="829" w:type="pct"/>
                  <w:noWrap w:val="0"/>
                  <w:vAlign w:val="center"/>
                </w:tcPr>
                <w:p w14:paraId="1205AEC0">
                  <w:pPr>
                    <w:jc w:val="center"/>
                    <w:rPr>
                      <w:rFonts w:hint="default" w:ascii="Times New Roman" w:hAnsi="Times New Roman" w:cs="Times New Roman"/>
                      <w:b/>
                      <w:bCs/>
                      <w:color w:val="auto"/>
                    </w:rPr>
                  </w:pPr>
                  <w:r>
                    <w:rPr>
                      <w:rFonts w:hint="default" w:ascii="Times New Roman" w:hAnsi="Times New Roman" w:cs="Times New Roman"/>
                      <w:b/>
                      <w:bCs/>
                      <w:color w:val="auto"/>
                    </w:rPr>
                    <w:t>东厂界</w:t>
                  </w:r>
                </w:p>
              </w:tc>
              <w:tc>
                <w:tcPr>
                  <w:tcW w:w="829" w:type="pct"/>
                  <w:noWrap w:val="0"/>
                  <w:vAlign w:val="center"/>
                </w:tcPr>
                <w:p w14:paraId="5FEF60F2">
                  <w:pPr>
                    <w:jc w:val="center"/>
                    <w:rPr>
                      <w:rFonts w:hint="default" w:ascii="Times New Roman" w:hAnsi="Times New Roman" w:cs="Times New Roman"/>
                      <w:b/>
                      <w:bCs/>
                      <w:color w:val="auto"/>
                    </w:rPr>
                  </w:pPr>
                  <w:r>
                    <w:rPr>
                      <w:rFonts w:hint="default" w:ascii="Times New Roman" w:hAnsi="Times New Roman" w:cs="Times New Roman"/>
                      <w:b/>
                      <w:bCs/>
                      <w:color w:val="auto"/>
                    </w:rPr>
                    <w:t>南厂界</w:t>
                  </w:r>
                </w:p>
              </w:tc>
              <w:tc>
                <w:tcPr>
                  <w:tcW w:w="816" w:type="pct"/>
                  <w:noWrap w:val="0"/>
                  <w:vAlign w:val="center"/>
                </w:tcPr>
                <w:p w14:paraId="66D39FE6">
                  <w:pPr>
                    <w:jc w:val="center"/>
                    <w:rPr>
                      <w:rFonts w:hint="default" w:ascii="Times New Roman" w:hAnsi="Times New Roman" w:cs="Times New Roman"/>
                      <w:b/>
                      <w:bCs/>
                      <w:color w:val="auto"/>
                    </w:rPr>
                  </w:pPr>
                  <w:r>
                    <w:rPr>
                      <w:rFonts w:hint="default" w:ascii="Times New Roman" w:hAnsi="Times New Roman" w:cs="Times New Roman"/>
                      <w:b/>
                      <w:bCs/>
                      <w:color w:val="auto"/>
                    </w:rPr>
                    <w:t>西厂界</w:t>
                  </w:r>
                </w:p>
              </w:tc>
              <w:tc>
                <w:tcPr>
                  <w:tcW w:w="866" w:type="pct"/>
                  <w:noWrap w:val="0"/>
                  <w:vAlign w:val="center"/>
                </w:tcPr>
                <w:p w14:paraId="3B746C79">
                  <w:pPr>
                    <w:jc w:val="center"/>
                    <w:rPr>
                      <w:rFonts w:hint="default" w:ascii="Times New Roman" w:hAnsi="Times New Roman" w:cs="Times New Roman"/>
                      <w:b/>
                      <w:bCs/>
                      <w:color w:val="auto"/>
                    </w:rPr>
                  </w:pPr>
                  <w:r>
                    <w:rPr>
                      <w:rFonts w:hint="default" w:ascii="Times New Roman" w:hAnsi="Times New Roman" w:cs="Times New Roman"/>
                      <w:b/>
                      <w:bCs/>
                      <w:color w:val="auto"/>
                    </w:rPr>
                    <w:t>北厂界</w:t>
                  </w:r>
                </w:p>
              </w:tc>
            </w:tr>
            <w:tr w14:paraId="660862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826" w:type="pct"/>
                  <w:vMerge w:val="continue"/>
                  <w:noWrap w:val="0"/>
                  <w:vAlign w:val="center"/>
                </w:tcPr>
                <w:p w14:paraId="64FA736D">
                  <w:pPr>
                    <w:jc w:val="center"/>
                    <w:rPr>
                      <w:rFonts w:hint="default" w:ascii="Times New Roman" w:hAnsi="Times New Roman" w:cs="Times New Roman"/>
                      <w:b/>
                      <w:bCs/>
                      <w:color w:val="auto"/>
                    </w:rPr>
                  </w:pPr>
                </w:p>
              </w:tc>
              <w:tc>
                <w:tcPr>
                  <w:tcW w:w="831" w:type="pct"/>
                  <w:vMerge w:val="continue"/>
                  <w:noWrap w:val="0"/>
                  <w:vAlign w:val="center"/>
                </w:tcPr>
                <w:p w14:paraId="6ADDFB78">
                  <w:pPr>
                    <w:jc w:val="center"/>
                    <w:rPr>
                      <w:rFonts w:hint="default" w:ascii="Times New Roman" w:hAnsi="Times New Roman" w:cs="Times New Roman"/>
                      <w:b/>
                      <w:bCs/>
                      <w:color w:val="auto"/>
                    </w:rPr>
                  </w:pPr>
                </w:p>
              </w:tc>
              <w:tc>
                <w:tcPr>
                  <w:tcW w:w="829" w:type="pct"/>
                  <w:noWrap w:val="0"/>
                  <w:vAlign w:val="center"/>
                </w:tcPr>
                <w:p w14:paraId="6510BF3B">
                  <w:pPr>
                    <w:jc w:val="center"/>
                    <w:rPr>
                      <w:rFonts w:hint="default" w:ascii="Times New Roman" w:hAnsi="Times New Roman" w:cs="Times New Roman"/>
                      <w:b/>
                      <w:bCs/>
                      <w:color w:val="auto"/>
                    </w:rPr>
                  </w:pPr>
                  <w:r>
                    <w:rPr>
                      <w:rFonts w:hint="default" w:ascii="Times New Roman" w:hAnsi="Times New Roman" w:cs="Times New Roman"/>
                      <w:b/>
                      <w:bCs/>
                      <w:color w:val="auto"/>
                    </w:rPr>
                    <w:t>最小距离（m）</w:t>
                  </w:r>
                </w:p>
              </w:tc>
              <w:tc>
                <w:tcPr>
                  <w:tcW w:w="829" w:type="pct"/>
                  <w:noWrap w:val="0"/>
                  <w:vAlign w:val="center"/>
                </w:tcPr>
                <w:p w14:paraId="6AACDE5B">
                  <w:pPr>
                    <w:jc w:val="center"/>
                    <w:rPr>
                      <w:rFonts w:hint="default" w:ascii="Times New Roman" w:hAnsi="Times New Roman" w:cs="Times New Roman"/>
                      <w:b/>
                      <w:bCs/>
                      <w:color w:val="auto"/>
                    </w:rPr>
                  </w:pPr>
                  <w:r>
                    <w:rPr>
                      <w:rFonts w:hint="default" w:ascii="Times New Roman" w:hAnsi="Times New Roman" w:cs="Times New Roman"/>
                      <w:b/>
                      <w:bCs/>
                      <w:color w:val="auto"/>
                    </w:rPr>
                    <w:t>最小距离（m）</w:t>
                  </w:r>
                </w:p>
              </w:tc>
              <w:tc>
                <w:tcPr>
                  <w:tcW w:w="816" w:type="pct"/>
                  <w:noWrap w:val="0"/>
                  <w:vAlign w:val="center"/>
                </w:tcPr>
                <w:p w14:paraId="1EAC5941">
                  <w:pPr>
                    <w:jc w:val="center"/>
                    <w:rPr>
                      <w:rFonts w:hint="default" w:ascii="Times New Roman" w:hAnsi="Times New Roman" w:cs="Times New Roman"/>
                      <w:b/>
                      <w:bCs/>
                      <w:color w:val="auto"/>
                    </w:rPr>
                  </w:pPr>
                  <w:r>
                    <w:rPr>
                      <w:rFonts w:hint="default" w:ascii="Times New Roman" w:hAnsi="Times New Roman" w:cs="Times New Roman"/>
                      <w:b/>
                      <w:bCs/>
                      <w:color w:val="auto"/>
                    </w:rPr>
                    <w:t>最小距离（m）</w:t>
                  </w:r>
                </w:p>
              </w:tc>
              <w:tc>
                <w:tcPr>
                  <w:tcW w:w="866" w:type="pct"/>
                  <w:noWrap w:val="0"/>
                  <w:vAlign w:val="center"/>
                </w:tcPr>
                <w:p w14:paraId="13973C9D">
                  <w:pPr>
                    <w:jc w:val="center"/>
                    <w:rPr>
                      <w:rFonts w:hint="default" w:ascii="Times New Roman" w:hAnsi="Times New Roman" w:cs="Times New Roman"/>
                      <w:b/>
                      <w:bCs/>
                      <w:color w:val="auto"/>
                    </w:rPr>
                  </w:pPr>
                  <w:r>
                    <w:rPr>
                      <w:rFonts w:hint="default" w:ascii="Times New Roman" w:hAnsi="Times New Roman" w:cs="Times New Roman"/>
                      <w:b/>
                      <w:bCs/>
                      <w:color w:val="auto"/>
                    </w:rPr>
                    <w:t>最小距离</w:t>
                  </w:r>
                </w:p>
                <w:p w14:paraId="0B15FCFB">
                  <w:pPr>
                    <w:jc w:val="center"/>
                    <w:rPr>
                      <w:rFonts w:hint="default" w:ascii="Times New Roman" w:hAnsi="Times New Roman" w:cs="Times New Roman"/>
                      <w:b/>
                      <w:bCs/>
                      <w:color w:val="auto"/>
                    </w:rPr>
                  </w:pPr>
                  <w:r>
                    <w:rPr>
                      <w:rFonts w:hint="default" w:ascii="Times New Roman" w:hAnsi="Times New Roman" w:cs="Times New Roman"/>
                      <w:b/>
                      <w:bCs/>
                      <w:color w:val="auto"/>
                    </w:rPr>
                    <w:t>（m）</w:t>
                  </w:r>
                </w:p>
              </w:tc>
            </w:tr>
            <w:tr w14:paraId="45E791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26" w:type="pct"/>
                  <w:noWrap w:val="0"/>
                  <w:vAlign w:val="center"/>
                </w:tcPr>
                <w:p w14:paraId="104FDE9B">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门诊大楼</w:t>
                  </w:r>
                </w:p>
              </w:tc>
              <w:tc>
                <w:tcPr>
                  <w:tcW w:w="831" w:type="pct"/>
                  <w:noWrap w:val="0"/>
                  <w:vAlign w:val="center"/>
                </w:tcPr>
                <w:p w14:paraId="39D368D9">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35.87</w:t>
                  </w:r>
                </w:p>
              </w:tc>
              <w:tc>
                <w:tcPr>
                  <w:tcW w:w="829" w:type="pct"/>
                  <w:noWrap w:val="0"/>
                  <w:vAlign w:val="center"/>
                </w:tcPr>
                <w:p w14:paraId="06C7FEC9">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5</w:t>
                  </w:r>
                </w:p>
              </w:tc>
              <w:tc>
                <w:tcPr>
                  <w:tcW w:w="829" w:type="pct"/>
                  <w:noWrap w:val="0"/>
                  <w:vAlign w:val="center"/>
                </w:tcPr>
                <w:p w14:paraId="2890F81B">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32</w:t>
                  </w:r>
                </w:p>
              </w:tc>
              <w:tc>
                <w:tcPr>
                  <w:tcW w:w="816" w:type="pct"/>
                  <w:noWrap w:val="0"/>
                  <w:vAlign w:val="center"/>
                </w:tcPr>
                <w:p w14:paraId="5DC571B3">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30</w:t>
                  </w:r>
                </w:p>
              </w:tc>
              <w:tc>
                <w:tcPr>
                  <w:tcW w:w="866" w:type="pct"/>
                  <w:noWrap w:val="0"/>
                  <w:vAlign w:val="center"/>
                </w:tcPr>
                <w:p w14:paraId="172D337E">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5</w:t>
                  </w:r>
                </w:p>
              </w:tc>
            </w:tr>
            <w:tr w14:paraId="4E421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26" w:type="pct"/>
                  <w:noWrap w:val="0"/>
                  <w:vAlign w:val="center"/>
                </w:tcPr>
                <w:p w14:paraId="0ADBFCA9">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门诊大楼</w:t>
                  </w:r>
                </w:p>
                <w:p w14:paraId="168C7A95">
                  <w:pPr>
                    <w:jc w:val="center"/>
                    <w:rPr>
                      <w:rFonts w:hint="default" w:ascii="Times New Roman" w:hAnsi="Times New Roman" w:cs="Times New Roman"/>
                      <w:color w:val="auto"/>
                    </w:rPr>
                  </w:pPr>
                  <w:r>
                    <w:rPr>
                      <w:rFonts w:hint="default" w:ascii="Times New Roman" w:hAnsi="Times New Roman" w:cs="Times New Roman"/>
                      <w:color w:val="auto"/>
                    </w:rPr>
                    <w:t>贡献值</w:t>
                  </w:r>
                </w:p>
              </w:tc>
              <w:tc>
                <w:tcPr>
                  <w:tcW w:w="831" w:type="pct"/>
                  <w:noWrap w:val="0"/>
                  <w:vAlign w:val="center"/>
                </w:tcPr>
                <w:p w14:paraId="74502FDC">
                  <w:pPr>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c>
                <w:tcPr>
                  <w:tcW w:w="829" w:type="pct"/>
                  <w:noWrap w:val="0"/>
                  <w:vAlign w:val="center"/>
                </w:tcPr>
                <w:p w14:paraId="6449394D">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21.89</w:t>
                  </w:r>
                </w:p>
              </w:tc>
              <w:tc>
                <w:tcPr>
                  <w:tcW w:w="829" w:type="pct"/>
                  <w:noWrap w:val="0"/>
                  <w:vAlign w:val="center"/>
                </w:tcPr>
                <w:p w14:paraId="5E2C9F60">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5.77</w:t>
                  </w:r>
                </w:p>
              </w:tc>
              <w:tc>
                <w:tcPr>
                  <w:tcW w:w="816" w:type="pct"/>
                  <w:noWrap w:val="0"/>
                  <w:vAlign w:val="center"/>
                </w:tcPr>
                <w:p w14:paraId="0AF45731">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6.32</w:t>
                  </w:r>
                </w:p>
              </w:tc>
              <w:tc>
                <w:tcPr>
                  <w:tcW w:w="866" w:type="pct"/>
                  <w:noWrap w:val="0"/>
                  <w:vAlign w:val="center"/>
                </w:tcPr>
                <w:p w14:paraId="68175B6A">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21.89</w:t>
                  </w:r>
                </w:p>
              </w:tc>
            </w:tr>
            <w:tr w14:paraId="47BDC8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26" w:type="pct"/>
                  <w:noWrap w:val="0"/>
                  <w:vAlign w:val="center"/>
                </w:tcPr>
                <w:p w14:paraId="5FD3993A">
                  <w:pPr>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食堂</w:t>
                  </w:r>
                </w:p>
              </w:tc>
              <w:tc>
                <w:tcPr>
                  <w:tcW w:w="831" w:type="pct"/>
                  <w:noWrap w:val="0"/>
                  <w:vAlign w:val="center"/>
                </w:tcPr>
                <w:p w14:paraId="046DFA5C">
                  <w:pPr>
                    <w:jc w:val="center"/>
                    <w:rPr>
                      <w:rFonts w:hint="default" w:ascii="Times New Roman" w:hAnsi="Times New Roman" w:cs="Times New Roman"/>
                      <w:color w:val="auto"/>
                      <w:lang w:val="en-US" w:eastAsia="zh-CN"/>
                    </w:rPr>
                  </w:pPr>
                  <w:r>
                    <w:rPr>
                      <w:rFonts w:hint="eastAsia" w:cs="Times New Roman"/>
                      <w:color w:val="auto"/>
                      <w:lang w:val="en-US" w:eastAsia="zh-CN"/>
                    </w:rPr>
                    <w:t>55</w:t>
                  </w:r>
                </w:p>
              </w:tc>
              <w:tc>
                <w:tcPr>
                  <w:tcW w:w="829" w:type="pct"/>
                  <w:noWrap w:val="0"/>
                  <w:vAlign w:val="center"/>
                </w:tcPr>
                <w:p w14:paraId="051307BF">
                  <w:pPr>
                    <w:jc w:val="center"/>
                    <w:rPr>
                      <w:rFonts w:hint="default" w:cs="Times New Roman"/>
                      <w:color w:val="auto"/>
                      <w:lang w:val="en-US" w:eastAsia="zh-CN"/>
                    </w:rPr>
                  </w:pPr>
                  <w:r>
                    <w:rPr>
                      <w:rFonts w:hint="eastAsia" w:cs="Times New Roman"/>
                      <w:color w:val="auto"/>
                      <w:lang w:val="en-US" w:eastAsia="zh-CN"/>
                    </w:rPr>
                    <w:t>44</w:t>
                  </w:r>
                </w:p>
              </w:tc>
              <w:tc>
                <w:tcPr>
                  <w:tcW w:w="829" w:type="pct"/>
                  <w:noWrap w:val="0"/>
                  <w:vAlign w:val="center"/>
                </w:tcPr>
                <w:p w14:paraId="04D9318C">
                  <w:pPr>
                    <w:jc w:val="center"/>
                    <w:rPr>
                      <w:rFonts w:hint="default" w:cs="Times New Roman"/>
                      <w:color w:val="auto"/>
                      <w:lang w:val="en-US" w:eastAsia="zh-CN"/>
                    </w:rPr>
                  </w:pPr>
                  <w:r>
                    <w:rPr>
                      <w:rFonts w:hint="eastAsia" w:cs="Times New Roman"/>
                      <w:color w:val="auto"/>
                      <w:lang w:val="en-US" w:eastAsia="zh-CN"/>
                    </w:rPr>
                    <w:t>30</w:t>
                  </w:r>
                </w:p>
              </w:tc>
              <w:tc>
                <w:tcPr>
                  <w:tcW w:w="816" w:type="pct"/>
                  <w:noWrap w:val="0"/>
                  <w:vAlign w:val="center"/>
                </w:tcPr>
                <w:p w14:paraId="177EB777">
                  <w:pPr>
                    <w:jc w:val="center"/>
                    <w:rPr>
                      <w:rFonts w:hint="default" w:cs="Times New Roman"/>
                      <w:color w:val="auto"/>
                      <w:lang w:val="en-US" w:eastAsia="zh-CN"/>
                    </w:rPr>
                  </w:pPr>
                  <w:r>
                    <w:rPr>
                      <w:rFonts w:hint="eastAsia" w:cs="Times New Roman"/>
                      <w:color w:val="auto"/>
                      <w:lang w:val="en-US" w:eastAsia="zh-CN"/>
                    </w:rPr>
                    <w:t>10</w:t>
                  </w:r>
                </w:p>
              </w:tc>
              <w:tc>
                <w:tcPr>
                  <w:tcW w:w="866" w:type="pct"/>
                  <w:noWrap w:val="0"/>
                  <w:vAlign w:val="center"/>
                </w:tcPr>
                <w:p w14:paraId="5020E602">
                  <w:pPr>
                    <w:jc w:val="center"/>
                    <w:rPr>
                      <w:rFonts w:hint="default" w:cs="Times New Roman"/>
                      <w:color w:val="auto"/>
                      <w:lang w:val="en-US" w:eastAsia="zh-CN"/>
                    </w:rPr>
                  </w:pPr>
                  <w:r>
                    <w:rPr>
                      <w:rFonts w:hint="eastAsia" w:cs="Times New Roman"/>
                      <w:color w:val="auto"/>
                      <w:lang w:val="en-US" w:eastAsia="zh-CN"/>
                    </w:rPr>
                    <w:t>5</w:t>
                  </w:r>
                </w:p>
              </w:tc>
            </w:tr>
            <w:tr w14:paraId="60D1FF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826" w:type="pct"/>
                  <w:noWrap w:val="0"/>
                  <w:vAlign w:val="center"/>
                </w:tcPr>
                <w:p w14:paraId="0FCA6079">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食堂贡献值</w:t>
                  </w:r>
                </w:p>
              </w:tc>
              <w:tc>
                <w:tcPr>
                  <w:tcW w:w="831" w:type="pct"/>
                  <w:noWrap w:val="0"/>
                  <w:vAlign w:val="center"/>
                </w:tcPr>
                <w:p w14:paraId="286944C7">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829" w:type="pct"/>
                  <w:noWrap w:val="0"/>
                  <w:vAlign w:val="center"/>
                </w:tcPr>
                <w:p w14:paraId="3E65C383">
                  <w:pPr>
                    <w:jc w:val="center"/>
                    <w:rPr>
                      <w:rFonts w:hint="default" w:cs="Times New Roman"/>
                      <w:color w:val="auto"/>
                      <w:lang w:val="en-US" w:eastAsia="zh-CN"/>
                    </w:rPr>
                  </w:pPr>
                  <w:r>
                    <w:rPr>
                      <w:rFonts w:hint="eastAsia" w:cs="Times New Roman"/>
                      <w:color w:val="auto"/>
                      <w:lang w:val="en-US" w:eastAsia="zh-CN"/>
                    </w:rPr>
                    <w:t>22.13</w:t>
                  </w:r>
                </w:p>
              </w:tc>
              <w:tc>
                <w:tcPr>
                  <w:tcW w:w="829" w:type="pct"/>
                  <w:noWrap w:val="0"/>
                  <w:vAlign w:val="center"/>
                </w:tcPr>
                <w:p w14:paraId="79D5ED32">
                  <w:pPr>
                    <w:jc w:val="center"/>
                    <w:rPr>
                      <w:rFonts w:hint="default" w:cs="Times New Roman"/>
                      <w:color w:val="auto"/>
                      <w:lang w:val="en-US" w:eastAsia="zh-CN"/>
                    </w:rPr>
                  </w:pPr>
                  <w:r>
                    <w:rPr>
                      <w:rFonts w:hint="eastAsia" w:cs="Times New Roman"/>
                      <w:color w:val="auto"/>
                      <w:lang w:val="en-US" w:eastAsia="zh-CN"/>
                    </w:rPr>
                    <w:t>25.46</w:t>
                  </w:r>
                </w:p>
              </w:tc>
              <w:tc>
                <w:tcPr>
                  <w:tcW w:w="816" w:type="pct"/>
                  <w:noWrap w:val="0"/>
                  <w:vAlign w:val="center"/>
                </w:tcPr>
                <w:p w14:paraId="73E8A83D">
                  <w:pPr>
                    <w:jc w:val="center"/>
                    <w:rPr>
                      <w:rFonts w:hint="default" w:cs="Times New Roman"/>
                      <w:color w:val="auto"/>
                      <w:lang w:val="en-US" w:eastAsia="zh-CN"/>
                    </w:rPr>
                  </w:pPr>
                  <w:r>
                    <w:rPr>
                      <w:rFonts w:hint="eastAsia" w:cs="Times New Roman"/>
                      <w:color w:val="auto"/>
                      <w:lang w:val="en-US" w:eastAsia="zh-CN"/>
                    </w:rPr>
                    <w:t>35</w:t>
                  </w:r>
                </w:p>
              </w:tc>
              <w:tc>
                <w:tcPr>
                  <w:tcW w:w="866" w:type="pct"/>
                  <w:noWrap w:val="0"/>
                  <w:vAlign w:val="center"/>
                </w:tcPr>
                <w:p w14:paraId="3FB4648F">
                  <w:pPr>
                    <w:jc w:val="center"/>
                    <w:rPr>
                      <w:rFonts w:hint="default" w:cs="Times New Roman"/>
                      <w:color w:val="auto"/>
                      <w:lang w:val="en-US" w:eastAsia="zh-CN"/>
                    </w:rPr>
                  </w:pPr>
                  <w:r>
                    <w:rPr>
                      <w:rFonts w:hint="eastAsia" w:cs="Times New Roman"/>
                      <w:color w:val="auto"/>
                      <w:lang w:val="en-US" w:eastAsia="zh-CN"/>
                    </w:rPr>
                    <w:t>41.02</w:t>
                  </w:r>
                </w:p>
              </w:tc>
            </w:tr>
            <w:tr w14:paraId="5BC763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26" w:type="pct"/>
                  <w:noWrap w:val="0"/>
                  <w:vAlign w:val="center"/>
                </w:tcPr>
                <w:p w14:paraId="6D7E82E3">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污水处理</w:t>
                  </w:r>
                  <w:r>
                    <w:rPr>
                      <w:rFonts w:hint="eastAsia" w:cs="Times New Roman"/>
                      <w:color w:val="auto"/>
                      <w:lang w:val="en-US" w:eastAsia="zh-CN"/>
                    </w:rPr>
                    <w:t>设备间</w:t>
                  </w:r>
                </w:p>
              </w:tc>
              <w:tc>
                <w:tcPr>
                  <w:tcW w:w="831" w:type="pct"/>
                  <w:noWrap w:val="0"/>
                  <w:vAlign w:val="center"/>
                </w:tcPr>
                <w:p w14:paraId="55BB5ECD">
                  <w:pPr>
                    <w:jc w:val="center"/>
                    <w:rPr>
                      <w:rFonts w:hint="default" w:ascii="Times New Roman" w:hAnsi="Times New Roman" w:cs="Times New Roman"/>
                      <w:color w:val="auto"/>
                      <w:lang w:val="en-US" w:eastAsia="zh-CN"/>
                    </w:rPr>
                  </w:pPr>
                  <w:r>
                    <w:rPr>
                      <w:rFonts w:hint="eastAsia" w:cs="Times New Roman"/>
                      <w:color w:val="auto"/>
                      <w:lang w:val="en-US" w:eastAsia="zh-CN"/>
                    </w:rPr>
                    <w:t>55</w:t>
                  </w:r>
                </w:p>
              </w:tc>
              <w:tc>
                <w:tcPr>
                  <w:tcW w:w="829" w:type="pct"/>
                  <w:noWrap w:val="0"/>
                  <w:vAlign w:val="center"/>
                </w:tcPr>
                <w:p w14:paraId="08A769E4">
                  <w:pPr>
                    <w:jc w:val="center"/>
                    <w:rPr>
                      <w:rFonts w:hint="default" w:ascii="Times New Roman" w:hAnsi="Times New Roman" w:cs="Times New Roman"/>
                      <w:color w:val="auto"/>
                      <w:lang w:val="en-US" w:eastAsia="zh-CN"/>
                    </w:rPr>
                  </w:pPr>
                  <w:r>
                    <w:rPr>
                      <w:rFonts w:hint="eastAsia" w:cs="Times New Roman"/>
                      <w:color w:val="auto"/>
                      <w:lang w:val="en-US" w:eastAsia="zh-CN"/>
                    </w:rPr>
                    <w:t>45</w:t>
                  </w:r>
                </w:p>
              </w:tc>
              <w:tc>
                <w:tcPr>
                  <w:tcW w:w="829" w:type="pct"/>
                  <w:noWrap w:val="0"/>
                  <w:vAlign w:val="center"/>
                </w:tcPr>
                <w:p w14:paraId="708F5117">
                  <w:pPr>
                    <w:jc w:val="center"/>
                    <w:rPr>
                      <w:rFonts w:hint="default" w:ascii="Times New Roman" w:hAnsi="Times New Roman" w:cs="Times New Roman"/>
                      <w:color w:val="auto"/>
                      <w:lang w:val="en-US" w:eastAsia="zh-CN"/>
                    </w:rPr>
                  </w:pPr>
                  <w:r>
                    <w:rPr>
                      <w:rFonts w:hint="eastAsia" w:cs="Times New Roman"/>
                      <w:color w:val="auto"/>
                      <w:lang w:val="en-US" w:eastAsia="zh-CN"/>
                    </w:rPr>
                    <w:t>10</w:t>
                  </w:r>
                </w:p>
              </w:tc>
              <w:tc>
                <w:tcPr>
                  <w:tcW w:w="816" w:type="pct"/>
                  <w:noWrap w:val="0"/>
                  <w:vAlign w:val="center"/>
                </w:tcPr>
                <w:p w14:paraId="5578E65D">
                  <w:pPr>
                    <w:jc w:val="center"/>
                    <w:rPr>
                      <w:rFonts w:hint="default" w:ascii="Times New Roman" w:hAnsi="Times New Roman" w:cs="Times New Roman"/>
                      <w:color w:val="auto"/>
                      <w:lang w:val="en-US" w:eastAsia="zh-CN"/>
                    </w:rPr>
                  </w:pPr>
                  <w:r>
                    <w:rPr>
                      <w:rFonts w:hint="eastAsia" w:cs="Times New Roman"/>
                      <w:color w:val="auto"/>
                      <w:lang w:val="en-US" w:eastAsia="zh-CN"/>
                    </w:rPr>
                    <w:t>10</w:t>
                  </w:r>
                </w:p>
              </w:tc>
              <w:tc>
                <w:tcPr>
                  <w:tcW w:w="866" w:type="pct"/>
                  <w:noWrap w:val="0"/>
                  <w:vAlign w:val="center"/>
                </w:tcPr>
                <w:p w14:paraId="1CC98F3C">
                  <w:pPr>
                    <w:jc w:val="center"/>
                    <w:rPr>
                      <w:rFonts w:hint="default" w:ascii="Times New Roman" w:hAnsi="Times New Roman" w:cs="Times New Roman"/>
                      <w:color w:val="auto"/>
                      <w:lang w:val="en-US" w:eastAsia="zh-CN"/>
                    </w:rPr>
                  </w:pPr>
                  <w:r>
                    <w:rPr>
                      <w:rFonts w:hint="eastAsia" w:cs="Times New Roman"/>
                      <w:color w:val="auto"/>
                      <w:lang w:val="en-US" w:eastAsia="zh-CN"/>
                    </w:rPr>
                    <w:t>3</w:t>
                  </w:r>
                  <w:r>
                    <w:rPr>
                      <w:rFonts w:hint="eastAsia" w:ascii="Times New Roman" w:hAnsi="Times New Roman" w:cs="Times New Roman"/>
                      <w:color w:val="auto"/>
                      <w:lang w:val="en-US" w:eastAsia="zh-CN"/>
                    </w:rPr>
                    <w:t>0</w:t>
                  </w:r>
                </w:p>
              </w:tc>
            </w:tr>
            <w:tr w14:paraId="0BDAAB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6" w:type="pct"/>
                  <w:noWrap w:val="0"/>
                  <w:vAlign w:val="center"/>
                </w:tcPr>
                <w:p w14:paraId="20694189">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污水处理</w:t>
                  </w:r>
                  <w:r>
                    <w:rPr>
                      <w:rFonts w:hint="eastAsia" w:cs="Times New Roman"/>
                      <w:color w:val="auto"/>
                      <w:lang w:val="en-US" w:eastAsia="zh-CN"/>
                    </w:rPr>
                    <w:t>设备间</w:t>
                  </w:r>
                  <w:r>
                    <w:rPr>
                      <w:rFonts w:hint="eastAsia" w:ascii="Times New Roman" w:hAnsi="Times New Roman" w:cs="Times New Roman"/>
                      <w:color w:val="auto"/>
                      <w:lang w:val="en-US" w:eastAsia="zh-CN"/>
                    </w:rPr>
                    <w:t>贡献值</w:t>
                  </w:r>
                </w:p>
              </w:tc>
              <w:tc>
                <w:tcPr>
                  <w:tcW w:w="831" w:type="pct"/>
                  <w:noWrap w:val="0"/>
                  <w:vAlign w:val="center"/>
                </w:tcPr>
                <w:p w14:paraId="1A7659EF">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c>
                <w:tcPr>
                  <w:tcW w:w="829" w:type="pct"/>
                  <w:noWrap w:val="0"/>
                  <w:vAlign w:val="center"/>
                </w:tcPr>
                <w:p w14:paraId="4BF600DA">
                  <w:pPr>
                    <w:jc w:val="center"/>
                    <w:rPr>
                      <w:rFonts w:hint="default" w:ascii="Times New Roman" w:hAnsi="Times New Roman" w:cs="Times New Roman"/>
                      <w:color w:val="auto"/>
                      <w:lang w:val="en-US" w:eastAsia="zh-CN"/>
                    </w:rPr>
                  </w:pPr>
                  <w:r>
                    <w:rPr>
                      <w:rFonts w:hint="eastAsia" w:cs="Times New Roman"/>
                      <w:color w:val="auto"/>
                      <w:lang w:val="en-US" w:eastAsia="zh-CN"/>
                    </w:rPr>
                    <w:t>21.94</w:t>
                  </w:r>
                </w:p>
              </w:tc>
              <w:tc>
                <w:tcPr>
                  <w:tcW w:w="829" w:type="pct"/>
                  <w:noWrap w:val="0"/>
                  <w:vAlign w:val="center"/>
                </w:tcPr>
                <w:p w14:paraId="2F4F5FC3">
                  <w:pPr>
                    <w:jc w:val="center"/>
                    <w:rPr>
                      <w:rFonts w:hint="default" w:ascii="Times New Roman" w:hAnsi="Times New Roman" w:cs="Times New Roman"/>
                      <w:color w:val="auto"/>
                      <w:lang w:val="en-US" w:eastAsia="zh-CN"/>
                    </w:rPr>
                  </w:pPr>
                  <w:r>
                    <w:rPr>
                      <w:rFonts w:hint="eastAsia" w:cs="Times New Roman"/>
                      <w:color w:val="auto"/>
                      <w:lang w:val="en-US" w:eastAsia="zh-CN"/>
                    </w:rPr>
                    <w:t>35</w:t>
                  </w:r>
                </w:p>
              </w:tc>
              <w:tc>
                <w:tcPr>
                  <w:tcW w:w="816" w:type="pct"/>
                  <w:noWrap w:val="0"/>
                  <w:vAlign w:val="center"/>
                </w:tcPr>
                <w:p w14:paraId="456150FC">
                  <w:pPr>
                    <w:jc w:val="center"/>
                    <w:rPr>
                      <w:rFonts w:hint="default" w:ascii="Times New Roman" w:hAnsi="Times New Roman" w:cs="Times New Roman"/>
                      <w:color w:val="auto"/>
                      <w:lang w:val="en-US" w:eastAsia="zh-CN"/>
                    </w:rPr>
                  </w:pPr>
                  <w:r>
                    <w:rPr>
                      <w:rFonts w:hint="eastAsia" w:cs="Times New Roman"/>
                      <w:color w:val="auto"/>
                      <w:lang w:val="en-US" w:eastAsia="zh-CN"/>
                    </w:rPr>
                    <w:t>35</w:t>
                  </w:r>
                </w:p>
              </w:tc>
              <w:tc>
                <w:tcPr>
                  <w:tcW w:w="866" w:type="pct"/>
                  <w:noWrap w:val="0"/>
                  <w:vAlign w:val="center"/>
                </w:tcPr>
                <w:p w14:paraId="2BD44647">
                  <w:pPr>
                    <w:jc w:val="center"/>
                    <w:rPr>
                      <w:rFonts w:hint="default" w:ascii="Times New Roman" w:hAnsi="Times New Roman" w:cs="Times New Roman"/>
                      <w:color w:val="auto"/>
                      <w:lang w:val="en-US" w:eastAsia="zh-CN"/>
                    </w:rPr>
                  </w:pPr>
                  <w:r>
                    <w:rPr>
                      <w:rFonts w:hint="eastAsia" w:cs="Times New Roman"/>
                      <w:color w:val="auto"/>
                      <w:lang w:val="en-US" w:eastAsia="zh-CN"/>
                    </w:rPr>
                    <w:t>25.46</w:t>
                  </w:r>
                </w:p>
              </w:tc>
            </w:tr>
            <w:tr w14:paraId="5F69A5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26" w:type="pct"/>
                  <w:noWrap w:val="0"/>
                  <w:vAlign w:val="center"/>
                </w:tcPr>
                <w:p w14:paraId="2623F4FE">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厂界</w:t>
                  </w:r>
                </w:p>
              </w:tc>
              <w:tc>
                <w:tcPr>
                  <w:tcW w:w="831" w:type="pct"/>
                  <w:noWrap w:val="0"/>
                  <w:vAlign w:val="center"/>
                </w:tcPr>
                <w:p w14:paraId="1350C70D">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829" w:type="pct"/>
                  <w:noWrap w:val="0"/>
                  <w:vAlign w:val="center"/>
                </w:tcPr>
                <w:p w14:paraId="4DC68158">
                  <w:pPr>
                    <w:jc w:val="center"/>
                    <w:rPr>
                      <w:rFonts w:hint="default" w:ascii="Times New Roman" w:hAnsi="Times New Roman" w:cs="Times New Roman"/>
                      <w:color w:val="auto"/>
                      <w:lang w:val="en-US" w:eastAsia="zh-CN"/>
                    </w:rPr>
                  </w:pPr>
                  <w:r>
                    <w:rPr>
                      <w:rFonts w:hint="eastAsia" w:cs="Times New Roman"/>
                      <w:color w:val="auto"/>
                      <w:lang w:val="en-US" w:eastAsia="zh-CN"/>
                    </w:rPr>
                    <w:t>26.76</w:t>
                  </w:r>
                </w:p>
              </w:tc>
              <w:tc>
                <w:tcPr>
                  <w:tcW w:w="829" w:type="pct"/>
                  <w:noWrap w:val="0"/>
                  <w:vAlign w:val="center"/>
                </w:tcPr>
                <w:p w14:paraId="53E3304D">
                  <w:pPr>
                    <w:jc w:val="center"/>
                    <w:rPr>
                      <w:rFonts w:hint="default" w:ascii="Times New Roman" w:hAnsi="Times New Roman" w:cs="Times New Roman"/>
                      <w:color w:val="auto"/>
                      <w:lang w:val="en-US" w:eastAsia="zh-CN"/>
                    </w:rPr>
                  </w:pPr>
                  <w:r>
                    <w:rPr>
                      <w:rFonts w:hint="eastAsia" w:cs="Times New Roman"/>
                      <w:color w:val="auto"/>
                      <w:lang w:val="en-US" w:eastAsia="zh-CN"/>
                    </w:rPr>
                    <w:t>35.46</w:t>
                  </w:r>
                </w:p>
              </w:tc>
              <w:tc>
                <w:tcPr>
                  <w:tcW w:w="816" w:type="pct"/>
                  <w:noWrap w:val="0"/>
                  <w:vAlign w:val="center"/>
                </w:tcPr>
                <w:p w14:paraId="2E6D34EB">
                  <w:pPr>
                    <w:jc w:val="center"/>
                    <w:rPr>
                      <w:rFonts w:hint="default" w:ascii="Times New Roman" w:hAnsi="Times New Roman" w:cs="Times New Roman"/>
                      <w:color w:val="auto"/>
                      <w:lang w:val="en-US" w:eastAsia="zh-CN"/>
                    </w:rPr>
                  </w:pPr>
                  <w:r>
                    <w:rPr>
                      <w:rFonts w:hint="eastAsia" w:cs="Times New Roman"/>
                      <w:color w:val="auto"/>
                      <w:lang w:val="en-US" w:eastAsia="zh-CN"/>
                    </w:rPr>
                    <w:t>38.01</w:t>
                  </w:r>
                </w:p>
              </w:tc>
              <w:tc>
                <w:tcPr>
                  <w:tcW w:w="866" w:type="pct"/>
                  <w:noWrap w:val="0"/>
                  <w:vAlign w:val="center"/>
                </w:tcPr>
                <w:p w14:paraId="5BE8F0AD">
                  <w:pPr>
                    <w:jc w:val="center"/>
                    <w:rPr>
                      <w:rFonts w:hint="default" w:ascii="Times New Roman" w:hAnsi="Times New Roman" w:cs="Times New Roman"/>
                      <w:color w:val="auto"/>
                      <w:lang w:val="en-US" w:eastAsia="zh-CN"/>
                    </w:rPr>
                  </w:pPr>
                  <w:r>
                    <w:rPr>
                      <w:rFonts w:hint="eastAsia" w:cs="Times New Roman"/>
                      <w:color w:val="auto"/>
                      <w:lang w:val="en-US" w:eastAsia="zh-CN"/>
                    </w:rPr>
                    <w:t>41.19</w:t>
                  </w:r>
                </w:p>
              </w:tc>
            </w:tr>
            <w:tr w14:paraId="6EADB6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826" w:type="pct"/>
                  <w:noWrap w:val="0"/>
                  <w:vAlign w:val="center"/>
                </w:tcPr>
                <w:p w14:paraId="532009D6">
                  <w:pPr>
                    <w:jc w:val="center"/>
                    <w:rPr>
                      <w:rFonts w:hint="default" w:ascii="Times New Roman" w:hAnsi="Times New Roman" w:cs="Times New Roman"/>
                      <w:color w:val="auto"/>
                    </w:rPr>
                  </w:pPr>
                  <w:r>
                    <w:rPr>
                      <w:rFonts w:hint="default" w:ascii="Times New Roman" w:hAnsi="Times New Roman" w:cs="Times New Roman"/>
                      <w:color w:val="auto"/>
                    </w:rPr>
                    <w:t>标准</w:t>
                  </w:r>
                </w:p>
              </w:tc>
              <w:tc>
                <w:tcPr>
                  <w:tcW w:w="4173" w:type="pct"/>
                  <w:gridSpan w:val="5"/>
                  <w:noWrap w:val="0"/>
                  <w:vAlign w:val="center"/>
                </w:tcPr>
                <w:p w14:paraId="12C668BB">
                  <w:pPr>
                    <w:jc w:val="center"/>
                    <w:rPr>
                      <w:rFonts w:hint="default" w:eastAsia="宋体"/>
                      <w:color w:val="auto"/>
                      <w:lang w:val="en-US" w:eastAsia="zh-CN"/>
                    </w:rPr>
                  </w:pPr>
                  <w:r>
                    <w:rPr>
                      <w:rFonts w:hint="default" w:ascii="Times New Roman" w:hAnsi="Times New Roman" w:cs="Times New Roman"/>
                      <w:color w:val="auto"/>
                    </w:rPr>
                    <w:t>昼间</w:t>
                  </w:r>
                  <w:r>
                    <w:rPr>
                      <w:rFonts w:hint="eastAsia" w:ascii="Times New Roman" w:hAnsi="Times New Roman" w:cs="Times New Roman"/>
                      <w:color w:val="auto"/>
                      <w:lang w:val="en-US" w:eastAsia="zh-CN"/>
                    </w:rPr>
                    <w:t>55</w:t>
                  </w:r>
                  <w:r>
                    <w:rPr>
                      <w:rFonts w:hint="default" w:ascii="Times New Roman" w:hAnsi="Times New Roman" w:cs="Times New Roman"/>
                      <w:color w:val="auto"/>
                    </w:rPr>
                    <w:t>，夜间</w:t>
                  </w:r>
                  <w:r>
                    <w:rPr>
                      <w:rFonts w:hint="eastAsia" w:ascii="Times New Roman" w:hAnsi="Times New Roman" w:cs="Times New Roman"/>
                      <w:color w:val="auto"/>
                      <w:lang w:val="en-US" w:eastAsia="zh-CN"/>
                    </w:rPr>
                    <w:t>45</w:t>
                  </w:r>
                </w:p>
              </w:tc>
            </w:tr>
          </w:tbl>
          <w:p w14:paraId="69B5E40A">
            <w:pPr>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sz w:val="24"/>
              </w:rPr>
              <w:t>由上表可知，正常工况下，项目厂界噪声满足《工业企业厂界环境噪声排放标准》(GB12348</w:t>
            </w:r>
            <w:r>
              <w:rPr>
                <w:rFonts w:hint="eastAsia" w:cs="Times New Roman"/>
                <w:color w:val="auto"/>
                <w:sz w:val="24"/>
                <w:lang w:val="en-US" w:eastAsia="zh-CN"/>
              </w:rPr>
              <w:t>-</w:t>
            </w:r>
            <w:r>
              <w:rPr>
                <w:rFonts w:hint="default" w:ascii="Times New Roman" w:hAnsi="Times New Roman" w:cs="Times New Roman"/>
                <w:color w:val="auto"/>
                <w:sz w:val="24"/>
              </w:rPr>
              <w:t xml:space="preserve">2008) </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类标准。</w:t>
            </w:r>
          </w:p>
          <w:p w14:paraId="24596A05">
            <w:pPr>
              <w:numPr>
                <w:ilvl w:val="0"/>
                <w:numId w:val="0"/>
              </w:numPr>
              <w:spacing w:line="360" w:lineRule="auto"/>
              <w:ind w:leftChars="0" w:firstLine="482" w:firstLineChars="200"/>
              <w:jc w:val="left"/>
              <w:rPr>
                <w:rFonts w:hint="eastAsia"/>
                <w:b/>
                <w:color w:val="auto"/>
                <w:sz w:val="24"/>
                <w:lang w:val="en-US" w:eastAsia="zh-CN"/>
              </w:rPr>
            </w:pPr>
            <w:r>
              <w:rPr>
                <w:rFonts w:hint="eastAsia"/>
                <w:b/>
                <w:color w:val="auto"/>
                <w:sz w:val="24"/>
                <w:lang w:val="en-US" w:eastAsia="zh-CN"/>
              </w:rPr>
              <w:t>3、</w:t>
            </w:r>
            <w:r>
              <w:rPr>
                <w:rFonts w:hint="eastAsia"/>
                <w:b/>
                <w:color w:val="auto"/>
                <w:sz w:val="24"/>
              </w:rPr>
              <w:t>噪声</w:t>
            </w:r>
            <w:r>
              <w:rPr>
                <w:rFonts w:hint="eastAsia"/>
                <w:b/>
                <w:color w:val="auto"/>
                <w:sz w:val="24"/>
                <w:lang w:val="en-US" w:eastAsia="zh-CN"/>
              </w:rPr>
              <w:t>实测结果</w:t>
            </w:r>
          </w:p>
          <w:p w14:paraId="7BA3E84D">
            <w:pPr>
              <w:pStyle w:val="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color w:val="auto"/>
                <w:lang w:val="en-US" w:eastAsia="zh-CN"/>
              </w:rPr>
            </w:pPr>
            <w:r>
              <w:rPr>
                <w:rFonts w:hint="eastAsia"/>
                <w:color w:val="auto"/>
                <w:lang w:val="en-US" w:eastAsia="zh-CN"/>
              </w:rPr>
              <w:t>目前处于停业状态，</w:t>
            </w:r>
            <w:r>
              <w:rPr>
                <w:rFonts w:hint="eastAsia" w:ascii="Times New Roman" w:hAnsi="Times New Roman"/>
                <w:b w:val="0"/>
                <w:bCs w:val="0"/>
                <w:color w:val="auto"/>
                <w:sz w:val="24"/>
                <w:lang w:val="en-US" w:eastAsia="zh-CN"/>
              </w:rPr>
              <w:t>江西九环检测有限</w:t>
            </w:r>
            <w:r>
              <w:rPr>
                <w:rFonts w:hint="eastAsia"/>
                <w:color w:val="auto"/>
                <w:lang w:val="en-US" w:eastAsia="zh-CN"/>
              </w:rPr>
              <w:t>公司于2024年10月14日对项目周围敏感点进行了监测，监测期间项目未运行，结果见下表。</w:t>
            </w:r>
          </w:p>
          <w:p w14:paraId="77FDB41C">
            <w:pPr>
              <w:adjustRightInd w:val="0"/>
              <w:snapToGrid w:val="0"/>
              <w:jc w:val="center"/>
              <w:rPr>
                <w:rFonts w:hint="eastAsia"/>
                <w:b/>
                <w:bCs/>
                <w:color w:val="auto"/>
                <w:szCs w:val="21"/>
                <w:lang w:val="en-US" w:eastAsia="zh-CN"/>
              </w:rPr>
            </w:pPr>
            <w:r>
              <w:rPr>
                <w:rFonts w:hint="eastAsia"/>
                <w:b/>
                <w:bCs/>
                <w:color w:val="auto"/>
                <w:szCs w:val="21"/>
              </w:rPr>
              <w:t>表4-</w:t>
            </w:r>
            <w:r>
              <w:rPr>
                <w:rFonts w:hint="eastAsia"/>
                <w:b/>
                <w:bCs/>
                <w:color w:val="auto"/>
                <w:szCs w:val="21"/>
                <w:lang w:val="en-US" w:eastAsia="zh-CN"/>
              </w:rPr>
              <w:t>12</w:t>
            </w:r>
            <w:r>
              <w:rPr>
                <w:rFonts w:hint="eastAsia"/>
                <w:b/>
                <w:bCs/>
                <w:color w:val="auto"/>
                <w:szCs w:val="21"/>
              </w:rPr>
              <w:t xml:space="preserve">  </w:t>
            </w:r>
            <w:r>
              <w:rPr>
                <w:rFonts w:hint="eastAsia"/>
                <w:b/>
                <w:bCs/>
                <w:color w:val="auto"/>
                <w:szCs w:val="21"/>
                <w:lang w:val="en-US" w:eastAsia="zh-CN"/>
              </w:rPr>
              <w:t>声环境监测表</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03"/>
              <w:gridCol w:w="1754"/>
              <w:gridCol w:w="1828"/>
              <w:gridCol w:w="1908"/>
              <w:gridCol w:w="1328"/>
            </w:tblGrid>
            <w:tr w14:paraId="696169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1" w:hRule="atLeast"/>
                <w:jc w:val="center"/>
              </w:trPr>
              <w:tc>
                <w:tcPr>
                  <w:tcW w:w="999" w:type="pct"/>
                  <w:vMerge w:val="restart"/>
                  <w:tcBorders>
                    <w:top w:val="single" w:color="auto" w:sz="12" w:space="0"/>
                    <w:left w:val="nil"/>
                    <w:right w:val="single" w:color="auto" w:sz="4" w:space="0"/>
                  </w:tcBorders>
                  <w:vAlign w:val="center"/>
                </w:tcPr>
                <w:p w14:paraId="79C0DC8D">
                  <w:pPr>
                    <w:adjustRightInd w:val="0"/>
                    <w:snapToGrid w:val="0"/>
                    <w:jc w:val="center"/>
                    <w:rPr>
                      <w:rFonts w:hint="default" w:ascii="Times New Roman" w:hAnsi="Times New Roman" w:eastAsia="宋体" w:cs="Times New Roman"/>
                      <w:b/>
                      <w:bCs/>
                      <w:color w:val="auto"/>
                      <w:kern w:val="2"/>
                      <w:sz w:val="21"/>
                      <w:szCs w:val="20"/>
                      <w:vertAlign w:val="baseline"/>
                      <w:lang w:val="en-US" w:eastAsia="zh-CN" w:bidi="ar-SA"/>
                    </w:rPr>
                  </w:pPr>
                  <w:r>
                    <w:rPr>
                      <w:rFonts w:hint="eastAsia" w:ascii="Times New Roman" w:hAnsi="Times New Roman" w:eastAsia="宋体" w:cs="Times New Roman"/>
                      <w:b/>
                      <w:bCs/>
                      <w:color w:val="auto"/>
                      <w:kern w:val="2"/>
                      <w:sz w:val="21"/>
                      <w:szCs w:val="20"/>
                      <w:vertAlign w:val="baseline"/>
                      <w:lang w:val="en-US" w:eastAsia="zh-CN" w:bidi="ar-SA"/>
                    </w:rPr>
                    <w:t>点位名称</w:t>
                  </w:r>
                </w:p>
              </w:tc>
              <w:tc>
                <w:tcPr>
                  <w:tcW w:w="1029" w:type="pct"/>
                  <w:vMerge w:val="restart"/>
                  <w:tcBorders>
                    <w:top w:val="single" w:color="auto" w:sz="12" w:space="0"/>
                    <w:left w:val="single" w:color="auto" w:sz="4" w:space="0"/>
                    <w:right w:val="single" w:color="auto" w:sz="4" w:space="0"/>
                  </w:tcBorders>
                  <w:vAlign w:val="center"/>
                </w:tcPr>
                <w:p w14:paraId="0564CF67">
                  <w:pPr>
                    <w:adjustRightInd w:val="0"/>
                    <w:snapToGrid w:val="0"/>
                    <w:jc w:val="center"/>
                    <w:rPr>
                      <w:rFonts w:hint="default" w:ascii="Times New Roman" w:hAnsi="Times New Roman" w:eastAsia="宋体" w:cs="Times New Roman"/>
                      <w:b/>
                      <w:bCs/>
                      <w:color w:val="auto"/>
                      <w:kern w:val="2"/>
                      <w:sz w:val="21"/>
                      <w:szCs w:val="20"/>
                      <w:vertAlign w:val="baseline"/>
                      <w:lang w:val="en-US" w:eastAsia="zh-CN" w:bidi="ar-SA"/>
                    </w:rPr>
                  </w:pPr>
                  <w:r>
                    <w:rPr>
                      <w:rFonts w:hint="eastAsia" w:ascii="Times New Roman" w:hAnsi="Times New Roman" w:eastAsia="宋体" w:cs="Times New Roman"/>
                      <w:b/>
                      <w:bCs/>
                      <w:color w:val="auto"/>
                      <w:kern w:val="2"/>
                      <w:sz w:val="21"/>
                      <w:szCs w:val="20"/>
                      <w:vertAlign w:val="baseline"/>
                      <w:lang w:val="en-US" w:eastAsia="zh-CN" w:bidi="ar-SA"/>
                    </w:rPr>
                    <w:t>监测内容</w:t>
                  </w:r>
                </w:p>
              </w:tc>
              <w:tc>
                <w:tcPr>
                  <w:tcW w:w="2191" w:type="pct"/>
                  <w:gridSpan w:val="2"/>
                  <w:tcBorders>
                    <w:top w:val="single" w:color="auto" w:sz="12" w:space="0"/>
                    <w:left w:val="single" w:color="auto" w:sz="4" w:space="0"/>
                    <w:bottom w:val="single" w:color="auto" w:sz="4" w:space="0"/>
                    <w:right w:val="single" w:color="auto" w:sz="4" w:space="0"/>
                  </w:tcBorders>
                  <w:vAlign w:val="center"/>
                </w:tcPr>
                <w:p w14:paraId="71838B0F">
                  <w:pPr>
                    <w:adjustRightInd w:val="0"/>
                    <w:snapToGrid w:val="0"/>
                    <w:jc w:val="center"/>
                    <w:rPr>
                      <w:rFonts w:hint="eastAsia" w:ascii="Times New Roman" w:hAnsi="Times New Roman" w:eastAsia="宋体" w:cs="Times New Roman"/>
                      <w:b/>
                      <w:bCs/>
                      <w:color w:val="auto"/>
                      <w:kern w:val="2"/>
                      <w:sz w:val="21"/>
                      <w:szCs w:val="20"/>
                      <w:vertAlign w:val="baseline"/>
                      <w:lang w:val="en-US" w:eastAsia="zh-CN" w:bidi="ar-SA"/>
                    </w:rPr>
                  </w:pPr>
                  <w:r>
                    <w:rPr>
                      <w:rFonts w:hint="eastAsia" w:ascii="Times New Roman" w:hAnsi="Times New Roman" w:eastAsia="宋体" w:cs="Times New Roman"/>
                      <w:b/>
                      <w:bCs/>
                      <w:color w:val="auto"/>
                      <w:kern w:val="2"/>
                      <w:sz w:val="21"/>
                      <w:szCs w:val="20"/>
                      <w:vertAlign w:val="baseline"/>
                      <w:lang w:val="en-US" w:eastAsia="zh-CN" w:bidi="ar-SA"/>
                    </w:rPr>
                    <w:t>检测结果</w:t>
                  </w:r>
                </w:p>
              </w:tc>
              <w:tc>
                <w:tcPr>
                  <w:tcW w:w="779" w:type="pct"/>
                  <w:vMerge w:val="restart"/>
                  <w:tcBorders>
                    <w:top w:val="single" w:color="auto" w:sz="12" w:space="0"/>
                    <w:left w:val="single" w:color="auto" w:sz="4" w:space="0"/>
                    <w:right w:val="nil"/>
                  </w:tcBorders>
                  <w:vAlign w:val="center"/>
                </w:tcPr>
                <w:p w14:paraId="0CB249F8">
                  <w:pPr>
                    <w:adjustRightInd w:val="0"/>
                    <w:snapToGrid w:val="0"/>
                    <w:jc w:val="center"/>
                    <w:rPr>
                      <w:rFonts w:hint="eastAsia" w:ascii="Times New Roman" w:hAnsi="Times New Roman" w:eastAsia="宋体" w:cs="Times New Roman"/>
                      <w:b/>
                      <w:bCs/>
                      <w:color w:val="auto"/>
                      <w:kern w:val="2"/>
                      <w:sz w:val="21"/>
                      <w:szCs w:val="20"/>
                      <w:vertAlign w:val="baseline"/>
                      <w:lang w:val="en-US" w:eastAsia="zh-CN" w:bidi="ar-SA"/>
                    </w:rPr>
                  </w:pPr>
                  <w:r>
                    <w:rPr>
                      <w:rFonts w:hint="eastAsia" w:ascii="Times New Roman" w:hAnsi="Times New Roman" w:eastAsia="宋体" w:cs="Times New Roman"/>
                      <w:b/>
                      <w:bCs/>
                      <w:color w:val="auto"/>
                      <w:kern w:val="2"/>
                      <w:sz w:val="21"/>
                      <w:szCs w:val="20"/>
                      <w:vertAlign w:val="baseline"/>
                      <w:lang w:val="en-US" w:eastAsia="zh-CN" w:bidi="ar-SA"/>
                    </w:rPr>
                    <w:t>标准值</w:t>
                  </w:r>
                </w:p>
              </w:tc>
            </w:tr>
            <w:tr w14:paraId="19DB99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4" w:hRule="atLeast"/>
                <w:jc w:val="center"/>
              </w:trPr>
              <w:tc>
                <w:tcPr>
                  <w:tcW w:w="999" w:type="pct"/>
                  <w:vMerge w:val="continue"/>
                  <w:tcBorders>
                    <w:left w:val="nil"/>
                    <w:bottom w:val="single" w:color="auto" w:sz="4" w:space="0"/>
                    <w:right w:val="single" w:color="auto" w:sz="4" w:space="0"/>
                  </w:tcBorders>
                  <w:shd w:val="clear" w:color="auto" w:fill="auto"/>
                  <w:vAlign w:val="center"/>
                </w:tcPr>
                <w:p w14:paraId="1E12C347">
                  <w:pPr>
                    <w:adjustRightInd w:val="0"/>
                    <w:snapToGrid w:val="0"/>
                    <w:jc w:val="center"/>
                    <w:rPr>
                      <w:rFonts w:hint="eastAsia" w:ascii="Times New Roman" w:hAnsi="Times New Roman" w:eastAsia="宋体" w:cs="Times New Roman"/>
                      <w:b/>
                      <w:bCs/>
                      <w:color w:val="auto"/>
                      <w:kern w:val="2"/>
                      <w:sz w:val="21"/>
                      <w:szCs w:val="20"/>
                      <w:vertAlign w:val="baseline"/>
                      <w:lang w:val="en-US" w:eastAsia="zh-CN" w:bidi="ar-SA"/>
                    </w:rPr>
                  </w:pPr>
                </w:p>
              </w:tc>
              <w:tc>
                <w:tcPr>
                  <w:tcW w:w="1029" w:type="pct"/>
                  <w:vMerge w:val="continue"/>
                  <w:tcBorders>
                    <w:left w:val="single" w:color="auto" w:sz="4" w:space="0"/>
                    <w:bottom w:val="single" w:color="auto" w:sz="4" w:space="0"/>
                    <w:right w:val="single" w:color="auto" w:sz="4" w:space="0"/>
                  </w:tcBorders>
                  <w:vAlign w:val="center"/>
                </w:tcPr>
                <w:p w14:paraId="168E3BAF">
                  <w:pPr>
                    <w:adjustRightInd w:val="0"/>
                    <w:snapToGrid w:val="0"/>
                    <w:jc w:val="center"/>
                    <w:rPr>
                      <w:rFonts w:hint="default" w:ascii="Times New Roman" w:hAnsi="Times New Roman" w:eastAsia="宋体" w:cs="Times New Roman"/>
                      <w:b/>
                      <w:bCs/>
                      <w:color w:val="auto"/>
                      <w:kern w:val="2"/>
                      <w:sz w:val="21"/>
                      <w:szCs w:val="20"/>
                      <w:vertAlign w:val="baseline"/>
                      <w:lang w:val="en-US" w:eastAsia="zh-CN" w:bidi="ar-SA"/>
                    </w:rPr>
                  </w:pPr>
                </w:p>
              </w:tc>
              <w:tc>
                <w:tcPr>
                  <w:tcW w:w="1072" w:type="pct"/>
                  <w:tcBorders>
                    <w:top w:val="single" w:color="auto" w:sz="4" w:space="0"/>
                    <w:left w:val="single" w:color="auto" w:sz="4" w:space="0"/>
                    <w:bottom w:val="single" w:color="auto" w:sz="4" w:space="0"/>
                    <w:right w:val="single" w:color="auto" w:sz="4" w:space="0"/>
                  </w:tcBorders>
                  <w:vAlign w:val="center"/>
                </w:tcPr>
                <w:p w14:paraId="5620014F">
                  <w:pPr>
                    <w:adjustRightInd w:val="0"/>
                    <w:snapToGrid w:val="0"/>
                    <w:jc w:val="center"/>
                    <w:rPr>
                      <w:rFonts w:hint="default" w:ascii="Times New Roman" w:hAnsi="Times New Roman" w:eastAsia="宋体" w:cs="Times New Roman"/>
                      <w:b/>
                      <w:bCs/>
                      <w:color w:val="auto"/>
                      <w:kern w:val="2"/>
                      <w:sz w:val="21"/>
                      <w:szCs w:val="20"/>
                      <w:vertAlign w:val="baseline"/>
                      <w:lang w:val="en-US" w:eastAsia="zh-CN" w:bidi="ar-SA"/>
                    </w:rPr>
                  </w:pPr>
                  <w:r>
                    <w:rPr>
                      <w:rFonts w:hint="eastAsia" w:ascii="Times New Roman" w:hAnsi="Times New Roman" w:eastAsia="宋体" w:cs="Times New Roman"/>
                      <w:b/>
                      <w:bCs/>
                      <w:color w:val="auto"/>
                      <w:kern w:val="2"/>
                      <w:sz w:val="21"/>
                      <w:szCs w:val="20"/>
                      <w:vertAlign w:val="baseline"/>
                      <w:lang w:val="en-US" w:eastAsia="zh-CN" w:bidi="ar-SA"/>
                    </w:rPr>
                    <w:t>昼间</w:t>
                  </w:r>
                </w:p>
              </w:tc>
              <w:tc>
                <w:tcPr>
                  <w:tcW w:w="1119" w:type="pct"/>
                  <w:tcBorders>
                    <w:top w:val="single" w:color="auto" w:sz="4" w:space="0"/>
                    <w:left w:val="single" w:color="auto" w:sz="4" w:space="0"/>
                    <w:bottom w:val="single" w:color="auto" w:sz="4" w:space="0"/>
                    <w:right w:val="single" w:color="auto" w:sz="4" w:space="0"/>
                  </w:tcBorders>
                  <w:vAlign w:val="center"/>
                </w:tcPr>
                <w:p w14:paraId="5CB3D69D">
                  <w:pPr>
                    <w:adjustRightInd w:val="0"/>
                    <w:snapToGrid w:val="0"/>
                    <w:jc w:val="center"/>
                    <w:rPr>
                      <w:rFonts w:hint="eastAsia" w:ascii="Times New Roman" w:hAnsi="Times New Roman" w:eastAsia="宋体" w:cs="Times New Roman"/>
                      <w:b/>
                      <w:bCs/>
                      <w:color w:val="auto"/>
                      <w:kern w:val="2"/>
                      <w:sz w:val="21"/>
                      <w:szCs w:val="20"/>
                      <w:vertAlign w:val="baseline"/>
                      <w:lang w:val="en-US" w:eastAsia="zh-CN" w:bidi="ar-SA"/>
                    </w:rPr>
                  </w:pPr>
                  <w:r>
                    <w:rPr>
                      <w:rFonts w:hint="eastAsia" w:ascii="Times New Roman" w:hAnsi="Times New Roman" w:eastAsia="宋体" w:cs="Times New Roman"/>
                      <w:b/>
                      <w:bCs/>
                      <w:color w:val="auto"/>
                      <w:kern w:val="2"/>
                      <w:sz w:val="21"/>
                      <w:szCs w:val="20"/>
                      <w:vertAlign w:val="baseline"/>
                      <w:lang w:val="en-US" w:eastAsia="zh-CN" w:bidi="ar-SA"/>
                    </w:rPr>
                    <w:t>夜间</w:t>
                  </w:r>
                </w:p>
              </w:tc>
              <w:tc>
                <w:tcPr>
                  <w:tcW w:w="779" w:type="pct"/>
                  <w:vMerge w:val="continue"/>
                  <w:tcBorders>
                    <w:left w:val="single" w:color="auto" w:sz="4" w:space="0"/>
                    <w:bottom w:val="single" w:color="auto" w:sz="4" w:space="0"/>
                    <w:right w:val="nil"/>
                  </w:tcBorders>
                  <w:vAlign w:val="center"/>
                </w:tcPr>
                <w:p w14:paraId="58CAAF77">
                  <w:pPr>
                    <w:adjustRightInd w:val="0"/>
                    <w:snapToGrid w:val="0"/>
                    <w:jc w:val="center"/>
                    <w:rPr>
                      <w:rFonts w:hint="eastAsia" w:ascii="Times New Roman" w:hAnsi="Times New Roman" w:eastAsia="宋体" w:cs="Times New Roman"/>
                      <w:b/>
                      <w:bCs/>
                      <w:color w:val="auto"/>
                      <w:kern w:val="2"/>
                      <w:sz w:val="21"/>
                      <w:szCs w:val="20"/>
                      <w:vertAlign w:val="baseline"/>
                      <w:lang w:val="en-US" w:eastAsia="zh-CN" w:bidi="ar-SA"/>
                    </w:rPr>
                  </w:pPr>
                </w:p>
              </w:tc>
            </w:tr>
            <w:tr w14:paraId="340F23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2" w:hRule="atLeast"/>
                <w:jc w:val="center"/>
              </w:trPr>
              <w:tc>
                <w:tcPr>
                  <w:tcW w:w="999" w:type="pct"/>
                  <w:tcBorders>
                    <w:top w:val="single" w:color="auto" w:sz="4" w:space="0"/>
                    <w:left w:val="nil"/>
                    <w:bottom w:val="single" w:color="auto" w:sz="4" w:space="0"/>
                    <w:right w:val="single" w:color="auto" w:sz="4" w:space="0"/>
                  </w:tcBorders>
                  <w:shd w:val="clear" w:color="auto" w:fill="auto"/>
                  <w:vAlign w:val="center"/>
                </w:tcPr>
                <w:p w14:paraId="09296E66">
                  <w:pPr>
                    <w:adjustRightInd w:val="0"/>
                    <w:snapToGrid w:val="0"/>
                    <w:jc w:val="center"/>
                    <w:rPr>
                      <w:rFonts w:hint="eastAsia" w:ascii="Times New Roman" w:hAnsi="Times New Roman" w:eastAsia="宋体" w:cs="Times New Roman"/>
                      <w:b w:val="0"/>
                      <w:bCs w:val="0"/>
                      <w:color w:val="auto"/>
                      <w:kern w:val="2"/>
                      <w:sz w:val="21"/>
                      <w:szCs w:val="20"/>
                      <w:vertAlign w:val="baseline"/>
                      <w:lang w:val="en-US" w:eastAsia="zh-CN" w:bidi="ar-SA"/>
                    </w:rPr>
                  </w:pPr>
                  <w:r>
                    <w:rPr>
                      <w:rFonts w:hint="eastAsia" w:ascii="Times New Roman" w:hAnsi="Times New Roman" w:eastAsia="宋体" w:cs="Times New Roman"/>
                      <w:b w:val="0"/>
                      <w:bCs w:val="0"/>
                      <w:color w:val="auto"/>
                      <w:kern w:val="2"/>
                      <w:sz w:val="21"/>
                      <w:szCs w:val="20"/>
                      <w:vertAlign w:val="baseline"/>
                      <w:lang w:val="en-US" w:eastAsia="zh-CN" w:bidi="ar-SA"/>
                    </w:rPr>
                    <w:t>北侧</w:t>
                  </w:r>
                  <w:r>
                    <w:rPr>
                      <w:rFonts w:hint="eastAsia" w:cs="Times New Roman"/>
                      <w:b w:val="0"/>
                      <w:bCs w:val="0"/>
                      <w:color w:val="auto"/>
                      <w:kern w:val="2"/>
                      <w:sz w:val="21"/>
                      <w:szCs w:val="20"/>
                      <w:vertAlign w:val="baseline"/>
                      <w:lang w:val="en-US" w:eastAsia="zh-CN" w:bidi="ar-SA"/>
                    </w:rPr>
                    <w:t>最近</w:t>
                  </w:r>
                  <w:r>
                    <w:rPr>
                      <w:rFonts w:hint="eastAsia" w:ascii="Times New Roman" w:hAnsi="Times New Roman" w:eastAsia="宋体" w:cs="Times New Roman"/>
                      <w:b w:val="0"/>
                      <w:bCs w:val="0"/>
                      <w:color w:val="auto"/>
                      <w:kern w:val="2"/>
                      <w:sz w:val="21"/>
                      <w:szCs w:val="20"/>
                      <w:vertAlign w:val="baseline"/>
                      <w:lang w:val="en-US" w:eastAsia="zh-CN" w:bidi="ar-SA"/>
                    </w:rPr>
                    <w:t>民房</w:t>
                  </w:r>
                </w:p>
              </w:tc>
              <w:tc>
                <w:tcPr>
                  <w:tcW w:w="1029" w:type="pct"/>
                  <w:vMerge w:val="restart"/>
                  <w:tcBorders>
                    <w:top w:val="single" w:color="auto" w:sz="4" w:space="0"/>
                    <w:left w:val="single" w:color="auto" w:sz="4" w:space="0"/>
                    <w:right w:val="single" w:color="auto" w:sz="4" w:space="0"/>
                  </w:tcBorders>
                </w:tcPr>
                <w:p w14:paraId="4F10040D">
                  <w:pPr>
                    <w:adjustRightInd w:val="0"/>
                    <w:snapToGrid w:val="0"/>
                    <w:jc w:val="center"/>
                    <w:rPr>
                      <w:rFonts w:hint="eastAsia" w:ascii="Times New Roman" w:hAnsi="Times New Roman" w:eastAsia="宋体" w:cs="Times New Roman"/>
                      <w:b/>
                      <w:bCs/>
                      <w:color w:val="auto"/>
                      <w:kern w:val="2"/>
                      <w:sz w:val="21"/>
                      <w:szCs w:val="20"/>
                      <w:vertAlign w:val="baseline"/>
                      <w:lang w:val="en-US" w:eastAsia="zh-CN" w:bidi="ar-SA"/>
                    </w:rPr>
                  </w:pPr>
                </w:p>
                <w:p w14:paraId="6701635E">
                  <w:pPr>
                    <w:adjustRightInd w:val="0"/>
                    <w:snapToGrid w:val="0"/>
                    <w:jc w:val="center"/>
                    <w:rPr>
                      <w:rFonts w:hint="eastAsia" w:ascii="Times New Roman" w:hAnsi="Times New Roman" w:eastAsia="宋体" w:cs="Times New Roman"/>
                      <w:b/>
                      <w:bCs/>
                      <w:color w:val="auto"/>
                      <w:kern w:val="2"/>
                      <w:sz w:val="21"/>
                      <w:szCs w:val="20"/>
                      <w:vertAlign w:val="baseline"/>
                      <w:lang w:val="en-US" w:eastAsia="zh-CN" w:bidi="ar-SA"/>
                    </w:rPr>
                  </w:pPr>
                </w:p>
                <w:p w14:paraId="1AE6072D">
                  <w:pPr>
                    <w:adjustRightInd w:val="0"/>
                    <w:snapToGrid w:val="0"/>
                    <w:jc w:val="center"/>
                    <w:rPr>
                      <w:rFonts w:hint="eastAsia" w:ascii="Times New Roman" w:hAnsi="Times New Roman" w:eastAsia="宋体" w:cs="Times New Roman"/>
                      <w:b/>
                      <w:bCs/>
                      <w:color w:val="auto"/>
                      <w:kern w:val="2"/>
                      <w:sz w:val="21"/>
                      <w:szCs w:val="20"/>
                      <w:vertAlign w:val="baseline"/>
                      <w:lang w:val="en-US" w:eastAsia="zh-CN" w:bidi="ar-SA"/>
                    </w:rPr>
                  </w:pPr>
                </w:p>
                <w:p w14:paraId="56C4610E">
                  <w:pPr>
                    <w:adjustRightInd w:val="0"/>
                    <w:snapToGrid w:val="0"/>
                    <w:jc w:val="center"/>
                    <w:rPr>
                      <w:rFonts w:hint="default" w:ascii="Times New Roman" w:hAnsi="Times New Roman" w:eastAsia="宋体" w:cs="Times New Roman"/>
                      <w:b/>
                      <w:bCs/>
                      <w:color w:val="auto"/>
                      <w:kern w:val="2"/>
                      <w:sz w:val="21"/>
                      <w:szCs w:val="20"/>
                      <w:vertAlign w:val="baseline"/>
                      <w:lang w:val="en-US" w:eastAsia="zh-CN" w:bidi="ar-SA"/>
                    </w:rPr>
                  </w:pPr>
                  <w:r>
                    <w:rPr>
                      <w:rFonts w:hint="eastAsia" w:ascii="Times New Roman" w:hAnsi="Times New Roman" w:eastAsia="宋体" w:cs="Times New Roman"/>
                      <w:b/>
                      <w:bCs/>
                      <w:color w:val="auto"/>
                      <w:kern w:val="2"/>
                      <w:sz w:val="21"/>
                      <w:szCs w:val="20"/>
                      <w:vertAlign w:val="baseline"/>
                      <w:lang w:val="en-US" w:eastAsia="zh-CN" w:bidi="ar-SA"/>
                    </w:rPr>
                    <w:t>环境噪声</w:t>
                  </w:r>
                </w:p>
              </w:tc>
              <w:tc>
                <w:tcPr>
                  <w:tcW w:w="1072" w:type="pct"/>
                  <w:tcBorders>
                    <w:top w:val="single" w:color="auto" w:sz="4" w:space="0"/>
                    <w:left w:val="single" w:color="auto" w:sz="4" w:space="0"/>
                    <w:bottom w:val="single" w:color="auto" w:sz="4" w:space="0"/>
                    <w:right w:val="single" w:color="auto" w:sz="4" w:space="0"/>
                  </w:tcBorders>
                  <w:vAlign w:val="center"/>
                </w:tcPr>
                <w:p w14:paraId="332C5ADC">
                  <w:pPr>
                    <w:adjustRightInd w:val="0"/>
                    <w:snapToGrid w:val="0"/>
                    <w:jc w:val="center"/>
                    <w:rPr>
                      <w:rFonts w:hint="default" w:ascii="Times New Roman" w:hAnsi="Times New Roman" w:eastAsia="宋体" w:cs="Times New Roman"/>
                      <w:b w:val="0"/>
                      <w:bCs w:val="0"/>
                      <w:color w:val="auto"/>
                      <w:kern w:val="2"/>
                      <w:sz w:val="21"/>
                      <w:szCs w:val="20"/>
                      <w:vertAlign w:val="baseline"/>
                      <w:lang w:val="en-US" w:eastAsia="zh-CN" w:bidi="ar-SA"/>
                    </w:rPr>
                  </w:pPr>
                  <w:r>
                    <w:rPr>
                      <w:rFonts w:hint="eastAsia" w:cs="Times New Roman"/>
                      <w:b w:val="0"/>
                      <w:bCs w:val="0"/>
                      <w:color w:val="auto"/>
                      <w:kern w:val="2"/>
                      <w:sz w:val="21"/>
                      <w:szCs w:val="20"/>
                      <w:vertAlign w:val="baseline"/>
                      <w:lang w:val="en-US" w:eastAsia="zh-CN" w:bidi="ar-SA"/>
                    </w:rPr>
                    <w:t>45.2</w:t>
                  </w:r>
                </w:p>
              </w:tc>
              <w:tc>
                <w:tcPr>
                  <w:tcW w:w="1119" w:type="pct"/>
                  <w:tcBorders>
                    <w:top w:val="single" w:color="auto" w:sz="4" w:space="0"/>
                    <w:left w:val="single" w:color="auto" w:sz="4" w:space="0"/>
                    <w:bottom w:val="single" w:color="auto" w:sz="4" w:space="0"/>
                    <w:right w:val="single" w:color="auto" w:sz="4" w:space="0"/>
                  </w:tcBorders>
                  <w:vAlign w:val="center"/>
                </w:tcPr>
                <w:p w14:paraId="46886604">
                  <w:pPr>
                    <w:adjustRightInd w:val="0"/>
                    <w:snapToGrid w:val="0"/>
                    <w:jc w:val="center"/>
                    <w:rPr>
                      <w:rFonts w:hint="default" w:ascii="Times New Roman" w:hAnsi="Times New Roman" w:eastAsia="宋体" w:cs="Times New Roman"/>
                      <w:b w:val="0"/>
                      <w:bCs w:val="0"/>
                      <w:color w:val="auto"/>
                      <w:kern w:val="2"/>
                      <w:sz w:val="21"/>
                      <w:szCs w:val="20"/>
                      <w:vertAlign w:val="baseline"/>
                      <w:lang w:val="en-US" w:eastAsia="zh-CN" w:bidi="ar-SA"/>
                    </w:rPr>
                  </w:pPr>
                  <w:r>
                    <w:rPr>
                      <w:rFonts w:hint="eastAsia" w:cs="Times New Roman"/>
                      <w:b w:val="0"/>
                      <w:bCs w:val="0"/>
                      <w:color w:val="auto"/>
                      <w:kern w:val="2"/>
                      <w:sz w:val="21"/>
                      <w:szCs w:val="20"/>
                      <w:vertAlign w:val="baseline"/>
                      <w:lang w:val="en-US" w:eastAsia="zh-CN" w:bidi="ar-SA"/>
                    </w:rPr>
                    <w:t>38.1</w:t>
                  </w:r>
                </w:p>
              </w:tc>
              <w:tc>
                <w:tcPr>
                  <w:tcW w:w="779" w:type="pct"/>
                  <w:vMerge w:val="restart"/>
                  <w:tcBorders>
                    <w:top w:val="single" w:color="auto" w:sz="4" w:space="0"/>
                    <w:left w:val="single" w:color="auto" w:sz="4" w:space="0"/>
                    <w:right w:val="nil"/>
                  </w:tcBorders>
                </w:tcPr>
                <w:p w14:paraId="124C9BDC">
                  <w:pPr>
                    <w:adjustRightInd w:val="0"/>
                    <w:snapToGrid w:val="0"/>
                    <w:jc w:val="center"/>
                    <w:rPr>
                      <w:rFonts w:hint="eastAsia" w:ascii="Times New Roman" w:hAnsi="Times New Roman" w:eastAsia="宋体" w:cs="Times New Roman"/>
                      <w:b w:val="0"/>
                      <w:bCs w:val="0"/>
                      <w:color w:val="auto"/>
                      <w:kern w:val="2"/>
                      <w:sz w:val="21"/>
                      <w:szCs w:val="20"/>
                      <w:vertAlign w:val="baseline"/>
                      <w:lang w:val="en-US" w:eastAsia="zh-CN" w:bidi="ar-SA"/>
                    </w:rPr>
                  </w:pPr>
                </w:p>
                <w:p w14:paraId="0E14E420">
                  <w:pPr>
                    <w:adjustRightInd w:val="0"/>
                    <w:snapToGrid w:val="0"/>
                    <w:jc w:val="center"/>
                    <w:rPr>
                      <w:rFonts w:hint="eastAsia" w:ascii="Times New Roman" w:hAnsi="Times New Roman" w:eastAsia="宋体" w:cs="Times New Roman"/>
                      <w:b w:val="0"/>
                      <w:bCs w:val="0"/>
                      <w:color w:val="auto"/>
                      <w:kern w:val="2"/>
                      <w:sz w:val="21"/>
                      <w:szCs w:val="20"/>
                      <w:vertAlign w:val="baseline"/>
                      <w:lang w:val="en-US" w:eastAsia="zh-CN" w:bidi="ar-SA"/>
                    </w:rPr>
                  </w:pPr>
                  <w:r>
                    <w:rPr>
                      <w:rFonts w:hint="eastAsia" w:ascii="Times New Roman" w:hAnsi="Times New Roman" w:eastAsia="宋体" w:cs="Times New Roman"/>
                      <w:b w:val="0"/>
                      <w:bCs w:val="0"/>
                      <w:color w:val="auto"/>
                      <w:kern w:val="2"/>
                      <w:sz w:val="21"/>
                      <w:szCs w:val="20"/>
                      <w:vertAlign w:val="baseline"/>
                      <w:lang w:val="en-US" w:eastAsia="zh-CN" w:bidi="ar-SA"/>
                    </w:rPr>
                    <w:t>昼间：55dB（A）</w:t>
                  </w:r>
                </w:p>
                <w:p w14:paraId="391A83E4">
                  <w:pPr>
                    <w:adjustRightInd w:val="0"/>
                    <w:snapToGrid w:val="0"/>
                    <w:jc w:val="center"/>
                    <w:rPr>
                      <w:rFonts w:hint="default"/>
                      <w:color w:val="auto"/>
                      <w:lang w:val="en-US" w:eastAsia="zh-CN"/>
                    </w:rPr>
                  </w:pPr>
                  <w:r>
                    <w:rPr>
                      <w:rFonts w:hint="eastAsia" w:ascii="Times New Roman" w:hAnsi="Times New Roman" w:eastAsia="宋体" w:cs="Times New Roman"/>
                      <w:b w:val="0"/>
                      <w:bCs w:val="0"/>
                      <w:color w:val="auto"/>
                      <w:kern w:val="2"/>
                      <w:sz w:val="21"/>
                      <w:szCs w:val="20"/>
                      <w:vertAlign w:val="baseline"/>
                      <w:lang w:val="en-US" w:eastAsia="zh-CN" w:bidi="ar-SA"/>
                    </w:rPr>
                    <w:t>夜间：45dB（A）</w:t>
                  </w:r>
                </w:p>
              </w:tc>
            </w:tr>
            <w:tr w14:paraId="2E3B60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999" w:type="pct"/>
                  <w:tcBorders>
                    <w:top w:val="single" w:color="auto" w:sz="4" w:space="0"/>
                    <w:left w:val="nil"/>
                    <w:bottom w:val="single" w:color="auto" w:sz="4" w:space="0"/>
                    <w:right w:val="single" w:color="auto" w:sz="4" w:space="0"/>
                  </w:tcBorders>
                  <w:shd w:val="clear" w:color="auto" w:fill="auto"/>
                  <w:vAlign w:val="center"/>
                </w:tcPr>
                <w:p w14:paraId="1A124423">
                  <w:pPr>
                    <w:adjustRightInd w:val="0"/>
                    <w:snapToGrid w:val="0"/>
                    <w:jc w:val="center"/>
                    <w:rPr>
                      <w:rFonts w:hint="default" w:ascii="Times New Roman" w:hAnsi="Times New Roman" w:eastAsia="宋体" w:cs="Times New Roman"/>
                      <w:b w:val="0"/>
                      <w:bCs w:val="0"/>
                      <w:color w:val="auto"/>
                      <w:kern w:val="2"/>
                      <w:sz w:val="21"/>
                      <w:szCs w:val="20"/>
                      <w:vertAlign w:val="baseline"/>
                      <w:lang w:val="en-US" w:eastAsia="zh-CN" w:bidi="ar-SA"/>
                    </w:rPr>
                  </w:pPr>
                  <w:r>
                    <w:rPr>
                      <w:rFonts w:hint="eastAsia" w:cs="Times New Roman"/>
                      <w:b w:val="0"/>
                      <w:bCs w:val="0"/>
                      <w:color w:val="auto"/>
                      <w:kern w:val="2"/>
                      <w:sz w:val="21"/>
                      <w:szCs w:val="20"/>
                      <w:vertAlign w:val="baseline"/>
                      <w:lang w:val="en-US" w:eastAsia="zh-CN" w:bidi="ar-SA"/>
                    </w:rPr>
                    <w:t>西</w:t>
                  </w:r>
                  <w:r>
                    <w:rPr>
                      <w:rFonts w:hint="eastAsia" w:ascii="Times New Roman" w:hAnsi="Times New Roman" w:eastAsia="宋体" w:cs="Times New Roman"/>
                      <w:b w:val="0"/>
                      <w:bCs w:val="0"/>
                      <w:color w:val="auto"/>
                      <w:kern w:val="2"/>
                      <w:sz w:val="21"/>
                      <w:szCs w:val="20"/>
                      <w:vertAlign w:val="baseline"/>
                      <w:lang w:val="en-US" w:eastAsia="zh-CN" w:bidi="ar-SA"/>
                    </w:rPr>
                    <w:t>侧</w:t>
                  </w:r>
                  <w:r>
                    <w:rPr>
                      <w:rFonts w:hint="eastAsia" w:cs="Times New Roman"/>
                      <w:b w:val="0"/>
                      <w:bCs w:val="0"/>
                      <w:color w:val="auto"/>
                      <w:kern w:val="2"/>
                      <w:sz w:val="21"/>
                      <w:szCs w:val="20"/>
                      <w:vertAlign w:val="baseline"/>
                      <w:lang w:val="en-US" w:eastAsia="zh-CN" w:bidi="ar-SA"/>
                    </w:rPr>
                    <w:t>最近</w:t>
                  </w:r>
                  <w:r>
                    <w:rPr>
                      <w:rFonts w:hint="eastAsia" w:ascii="Times New Roman" w:hAnsi="Times New Roman" w:eastAsia="宋体" w:cs="Times New Roman"/>
                      <w:b w:val="0"/>
                      <w:bCs w:val="0"/>
                      <w:color w:val="auto"/>
                      <w:kern w:val="2"/>
                      <w:sz w:val="21"/>
                      <w:szCs w:val="20"/>
                      <w:vertAlign w:val="baseline"/>
                      <w:lang w:val="en-US" w:eastAsia="zh-CN" w:bidi="ar-SA"/>
                    </w:rPr>
                    <w:t>民房</w:t>
                  </w:r>
                </w:p>
              </w:tc>
              <w:tc>
                <w:tcPr>
                  <w:tcW w:w="1029" w:type="pct"/>
                  <w:vMerge w:val="continue"/>
                  <w:tcBorders>
                    <w:left w:val="single" w:color="auto" w:sz="4" w:space="0"/>
                    <w:right w:val="single" w:color="auto" w:sz="4" w:space="0"/>
                  </w:tcBorders>
                </w:tcPr>
                <w:p w14:paraId="0884BE09">
                  <w:pPr>
                    <w:adjustRightInd w:val="0"/>
                    <w:snapToGrid w:val="0"/>
                    <w:jc w:val="center"/>
                    <w:rPr>
                      <w:rFonts w:hint="default" w:ascii="Times New Roman" w:hAnsi="Times New Roman" w:eastAsia="宋体" w:cs="Times New Roman"/>
                      <w:b/>
                      <w:bCs/>
                      <w:color w:val="auto"/>
                      <w:kern w:val="2"/>
                      <w:sz w:val="21"/>
                      <w:szCs w:val="20"/>
                      <w:vertAlign w:val="baseline"/>
                      <w:lang w:val="en-US" w:eastAsia="zh-CN" w:bidi="ar-SA"/>
                    </w:rPr>
                  </w:pPr>
                </w:p>
              </w:tc>
              <w:tc>
                <w:tcPr>
                  <w:tcW w:w="1072" w:type="pct"/>
                  <w:tcBorders>
                    <w:top w:val="single" w:color="auto" w:sz="4" w:space="0"/>
                    <w:left w:val="single" w:color="auto" w:sz="4" w:space="0"/>
                    <w:bottom w:val="single" w:color="auto" w:sz="4" w:space="0"/>
                    <w:right w:val="single" w:color="auto" w:sz="4" w:space="0"/>
                  </w:tcBorders>
                  <w:vAlign w:val="center"/>
                </w:tcPr>
                <w:p w14:paraId="0189B1C4">
                  <w:pPr>
                    <w:adjustRightInd w:val="0"/>
                    <w:snapToGrid w:val="0"/>
                    <w:jc w:val="center"/>
                    <w:rPr>
                      <w:rFonts w:hint="default" w:ascii="Times New Roman" w:hAnsi="Times New Roman" w:eastAsia="宋体" w:cs="Times New Roman"/>
                      <w:b w:val="0"/>
                      <w:bCs w:val="0"/>
                      <w:color w:val="auto"/>
                      <w:kern w:val="2"/>
                      <w:sz w:val="21"/>
                      <w:szCs w:val="20"/>
                      <w:vertAlign w:val="baseline"/>
                      <w:lang w:val="en-US" w:eastAsia="zh-CN" w:bidi="ar-SA"/>
                    </w:rPr>
                  </w:pPr>
                  <w:r>
                    <w:rPr>
                      <w:rFonts w:hint="eastAsia" w:cs="Times New Roman"/>
                      <w:b w:val="0"/>
                      <w:bCs w:val="0"/>
                      <w:color w:val="auto"/>
                      <w:kern w:val="2"/>
                      <w:sz w:val="21"/>
                      <w:szCs w:val="20"/>
                      <w:vertAlign w:val="baseline"/>
                      <w:lang w:val="en-US" w:eastAsia="zh-CN" w:bidi="ar-SA"/>
                    </w:rPr>
                    <w:t>46.7</w:t>
                  </w:r>
                </w:p>
              </w:tc>
              <w:tc>
                <w:tcPr>
                  <w:tcW w:w="1119" w:type="pct"/>
                  <w:tcBorders>
                    <w:top w:val="single" w:color="auto" w:sz="4" w:space="0"/>
                    <w:left w:val="single" w:color="auto" w:sz="4" w:space="0"/>
                    <w:bottom w:val="single" w:color="auto" w:sz="4" w:space="0"/>
                    <w:right w:val="single" w:color="auto" w:sz="4" w:space="0"/>
                  </w:tcBorders>
                  <w:vAlign w:val="center"/>
                </w:tcPr>
                <w:p w14:paraId="47C1AAEF">
                  <w:pPr>
                    <w:adjustRightInd w:val="0"/>
                    <w:snapToGrid w:val="0"/>
                    <w:jc w:val="center"/>
                    <w:rPr>
                      <w:rFonts w:hint="default" w:ascii="Times New Roman" w:hAnsi="Times New Roman" w:eastAsia="宋体" w:cs="Times New Roman"/>
                      <w:b w:val="0"/>
                      <w:bCs w:val="0"/>
                      <w:color w:val="auto"/>
                      <w:kern w:val="2"/>
                      <w:sz w:val="21"/>
                      <w:szCs w:val="20"/>
                      <w:vertAlign w:val="baseline"/>
                      <w:lang w:val="en-US" w:eastAsia="zh-CN" w:bidi="ar-SA"/>
                    </w:rPr>
                  </w:pPr>
                  <w:r>
                    <w:rPr>
                      <w:rFonts w:hint="eastAsia" w:cs="Times New Roman"/>
                      <w:b w:val="0"/>
                      <w:bCs w:val="0"/>
                      <w:color w:val="auto"/>
                      <w:kern w:val="2"/>
                      <w:sz w:val="21"/>
                      <w:szCs w:val="20"/>
                      <w:vertAlign w:val="baseline"/>
                      <w:lang w:val="en-US" w:eastAsia="zh-CN" w:bidi="ar-SA"/>
                    </w:rPr>
                    <w:t>42.4</w:t>
                  </w:r>
                </w:p>
              </w:tc>
              <w:tc>
                <w:tcPr>
                  <w:tcW w:w="779" w:type="pct"/>
                  <w:vMerge w:val="continue"/>
                  <w:tcBorders>
                    <w:left w:val="single" w:color="auto" w:sz="4" w:space="0"/>
                    <w:right w:val="nil"/>
                  </w:tcBorders>
                </w:tcPr>
                <w:p w14:paraId="6BB7DCB8">
                  <w:pPr>
                    <w:adjustRightInd w:val="0"/>
                    <w:snapToGrid w:val="0"/>
                    <w:jc w:val="center"/>
                    <w:rPr>
                      <w:rFonts w:hint="eastAsia" w:ascii="Times New Roman" w:hAnsi="Times New Roman" w:eastAsia="宋体" w:cs="Times New Roman"/>
                      <w:b/>
                      <w:bCs/>
                      <w:color w:val="auto"/>
                      <w:kern w:val="2"/>
                      <w:sz w:val="21"/>
                      <w:szCs w:val="20"/>
                      <w:vertAlign w:val="baseline"/>
                      <w:lang w:val="en-US" w:eastAsia="zh-CN" w:bidi="ar-SA"/>
                    </w:rPr>
                  </w:pPr>
                </w:p>
              </w:tc>
            </w:tr>
            <w:tr w14:paraId="393982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999" w:type="pct"/>
                  <w:tcBorders>
                    <w:top w:val="single" w:color="auto" w:sz="4" w:space="0"/>
                    <w:left w:val="nil"/>
                    <w:bottom w:val="single" w:color="auto" w:sz="4" w:space="0"/>
                    <w:right w:val="single" w:color="auto" w:sz="4" w:space="0"/>
                  </w:tcBorders>
                  <w:shd w:val="clear" w:color="auto" w:fill="auto"/>
                  <w:vAlign w:val="center"/>
                </w:tcPr>
                <w:p w14:paraId="13316E56">
                  <w:pPr>
                    <w:adjustRightInd w:val="0"/>
                    <w:snapToGrid w:val="0"/>
                    <w:jc w:val="center"/>
                    <w:rPr>
                      <w:rFonts w:hint="eastAsia" w:ascii="Times New Roman" w:hAnsi="Times New Roman" w:eastAsia="宋体" w:cs="Times New Roman"/>
                      <w:b w:val="0"/>
                      <w:bCs w:val="0"/>
                      <w:color w:val="auto"/>
                      <w:kern w:val="2"/>
                      <w:sz w:val="21"/>
                      <w:szCs w:val="20"/>
                      <w:vertAlign w:val="baseline"/>
                      <w:lang w:val="en-US" w:eastAsia="zh-CN" w:bidi="ar-SA"/>
                    </w:rPr>
                  </w:pPr>
                  <w:r>
                    <w:rPr>
                      <w:rFonts w:hint="eastAsia" w:ascii="Times New Roman" w:hAnsi="Times New Roman" w:eastAsia="宋体" w:cs="Times New Roman"/>
                      <w:b w:val="0"/>
                      <w:bCs w:val="0"/>
                      <w:color w:val="auto"/>
                      <w:kern w:val="2"/>
                      <w:sz w:val="21"/>
                      <w:szCs w:val="20"/>
                      <w:vertAlign w:val="baseline"/>
                      <w:lang w:val="en-US" w:eastAsia="zh-CN" w:bidi="ar-SA"/>
                    </w:rPr>
                    <w:t>南侧华林小学</w:t>
                  </w:r>
                </w:p>
              </w:tc>
              <w:tc>
                <w:tcPr>
                  <w:tcW w:w="1029" w:type="pct"/>
                  <w:vMerge w:val="continue"/>
                  <w:tcBorders>
                    <w:left w:val="single" w:color="auto" w:sz="4" w:space="0"/>
                    <w:right w:val="single" w:color="auto" w:sz="4" w:space="0"/>
                  </w:tcBorders>
                </w:tcPr>
                <w:p w14:paraId="4347A1C2">
                  <w:pPr>
                    <w:adjustRightInd w:val="0"/>
                    <w:snapToGrid w:val="0"/>
                    <w:jc w:val="center"/>
                    <w:rPr>
                      <w:rFonts w:hint="default" w:ascii="Times New Roman" w:hAnsi="Times New Roman" w:eastAsia="宋体" w:cs="Times New Roman"/>
                      <w:b/>
                      <w:bCs/>
                      <w:color w:val="auto"/>
                      <w:kern w:val="2"/>
                      <w:sz w:val="21"/>
                      <w:szCs w:val="20"/>
                      <w:vertAlign w:val="baseline"/>
                      <w:lang w:val="en-US" w:eastAsia="zh-CN" w:bidi="ar-SA"/>
                    </w:rPr>
                  </w:pPr>
                </w:p>
              </w:tc>
              <w:tc>
                <w:tcPr>
                  <w:tcW w:w="1072" w:type="pct"/>
                  <w:tcBorders>
                    <w:top w:val="single" w:color="auto" w:sz="4" w:space="0"/>
                    <w:left w:val="single" w:color="auto" w:sz="4" w:space="0"/>
                    <w:bottom w:val="single" w:color="auto" w:sz="4" w:space="0"/>
                    <w:right w:val="single" w:color="auto" w:sz="4" w:space="0"/>
                  </w:tcBorders>
                  <w:vAlign w:val="center"/>
                </w:tcPr>
                <w:p w14:paraId="34358640">
                  <w:pPr>
                    <w:adjustRightInd w:val="0"/>
                    <w:snapToGrid w:val="0"/>
                    <w:jc w:val="center"/>
                    <w:rPr>
                      <w:rFonts w:hint="default" w:ascii="Times New Roman" w:hAnsi="Times New Roman" w:eastAsia="宋体" w:cs="Times New Roman"/>
                      <w:b w:val="0"/>
                      <w:bCs w:val="0"/>
                      <w:color w:val="auto"/>
                      <w:kern w:val="2"/>
                      <w:sz w:val="21"/>
                      <w:szCs w:val="20"/>
                      <w:vertAlign w:val="baseline"/>
                      <w:lang w:val="en-US" w:eastAsia="zh-CN" w:bidi="ar-SA"/>
                    </w:rPr>
                  </w:pPr>
                  <w:r>
                    <w:rPr>
                      <w:rFonts w:hint="eastAsia" w:cs="Times New Roman"/>
                      <w:b w:val="0"/>
                      <w:bCs w:val="0"/>
                      <w:color w:val="auto"/>
                      <w:kern w:val="2"/>
                      <w:sz w:val="21"/>
                      <w:szCs w:val="20"/>
                      <w:vertAlign w:val="baseline"/>
                      <w:lang w:val="en-US" w:eastAsia="zh-CN" w:bidi="ar-SA"/>
                    </w:rPr>
                    <w:t>43.1</w:t>
                  </w:r>
                </w:p>
              </w:tc>
              <w:tc>
                <w:tcPr>
                  <w:tcW w:w="1119" w:type="pct"/>
                  <w:tcBorders>
                    <w:top w:val="single" w:color="auto" w:sz="4" w:space="0"/>
                    <w:left w:val="single" w:color="auto" w:sz="4" w:space="0"/>
                    <w:bottom w:val="single" w:color="auto" w:sz="4" w:space="0"/>
                    <w:right w:val="single" w:color="auto" w:sz="4" w:space="0"/>
                  </w:tcBorders>
                  <w:vAlign w:val="center"/>
                </w:tcPr>
                <w:p w14:paraId="06C67AE2">
                  <w:pPr>
                    <w:adjustRightInd w:val="0"/>
                    <w:snapToGrid w:val="0"/>
                    <w:jc w:val="center"/>
                    <w:rPr>
                      <w:rFonts w:hint="default" w:ascii="Times New Roman" w:hAnsi="Times New Roman" w:eastAsia="宋体" w:cs="Times New Roman"/>
                      <w:b w:val="0"/>
                      <w:bCs w:val="0"/>
                      <w:color w:val="auto"/>
                      <w:kern w:val="2"/>
                      <w:sz w:val="21"/>
                      <w:szCs w:val="20"/>
                      <w:vertAlign w:val="baseline"/>
                      <w:lang w:val="en-US" w:eastAsia="zh-CN" w:bidi="ar-SA"/>
                    </w:rPr>
                  </w:pPr>
                  <w:r>
                    <w:rPr>
                      <w:rFonts w:hint="eastAsia" w:cs="Times New Roman"/>
                      <w:b w:val="0"/>
                      <w:bCs w:val="0"/>
                      <w:color w:val="auto"/>
                      <w:kern w:val="2"/>
                      <w:sz w:val="21"/>
                      <w:szCs w:val="20"/>
                      <w:vertAlign w:val="baseline"/>
                      <w:lang w:val="en-US" w:eastAsia="zh-CN" w:bidi="ar-SA"/>
                    </w:rPr>
                    <w:t>42.5</w:t>
                  </w:r>
                </w:p>
              </w:tc>
              <w:tc>
                <w:tcPr>
                  <w:tcW w:w="779" w:type="pct"/>
                  <w:vMerge w:val="continue"/>
                  <w:tcBorders>
                    <w:left w:val="single" w:color="auto" w:sz="4" w:space="0"/>
                    <w:right w:val="nil"/>
                  </w:tcBorders>
                </w:tcPr>
                <w:p w14:paraId="6FF5AC3C">
                  <w:pPr>
                    <w:adjustRightInd w:val="0"/>
                    <w:snapToGrid w:val="0"/>
                    <w:jc w:val="center"/>
                    <w:rPr>
                      <w:rFonts w:hint="eastAsia" w:ascii="Times New Roman" w:hAnsi="Times New Roman" w:eastAsia="宋体" w:cs="Times New Roman"/>
                      <w:b/>
                      <w:bCs/>
                      <w:color w:val="auto"/>
                      <w:kern w:val="2"/>
                      <w:sz w:val="21"/>
                      <w:szCs w:val="20"/>
                      <w:vertAlign w:val="baseline"/>
                      <w:lang w:val="en-US" w:eastAsia="zh-CN" w:bidi="ar-SA"/>
                    </w:rPr>
                  </w:pPr>
                </w:p>
              </w:tc>
            </w:tr>
            <w:tr w14:paraId="513247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8" w:hRule="atLeast"/>
                <w:jc w:val="center"/>
              </w:trPr>
              <w:tc>
                <w:tcPr>
                  <w:tcW w:w="999" w:type="pct"/>
                  <w:tcBorders>
                    <w:top w:val="single" w:color="auto" w:sz="4" w:space="0"/>
                    <w:left w:val="nil"/>
                    <w:bottom w:val="single" w:color="auto" w:sz="12" w:space="0"/>
                    <w:right w:val="single" w:color="auto" w:sz="4" w:space="0"/>
                  </w:tcBorders>
                  <w:shd w:val="clear" w:color="auto" w:fill="auto"/>
                  <w:vAlign w:val="center"/>
                </w:tcPr>
                <w:p w14:paraId="1B6F785D">
                  <w:pPr>
                    <w:adjustRightInd w:val="0"/>
                    <w:snapToGrid w:val="0"/>
                    <w:jc w:val="center"/>
                    <w:rPr>
                      <w:rFonts w:hint="eastAsia" w:ascii="Times New Roman" w:hAnsi="Times New Roman" w:eastAsia="宋体" w:cs="Times New Roman"/>
                      <w:b w:val="0"/>
                      <w:bCs w:val="0"/>
                      <w:color w:val="auto"/>
                      <w:kern w:val="2"/>
                      <w:sz w:val="21"/>
                      <w:szCs w:val="20"/>
                      <w:vertAlign w:val="baseline"/>
                      <w:lang w:val="en-US" w:eastAsia="zh-CN" w:bidi="ar-SA"/>
                    </w:rPr>
                  </w:pPr>
                  <w:r>
                    <w:rPr>
                      <w:rFonts w:hint="eastAsia" w:cs="Times New Roman"/>
                      <w:b w:val="0"/>
                      <w:bCs w:val="0"/>
                      <w:color w:val="auto"/>
                      <w:kern w:val="2"/>
                      <w:sz w:val="21"/>
                      <w:szCs w:val="20"/>
                      <w:vertAlign w:val="baseline"/>
                      <w:lang w:val="en-US" w:eastAsia="zh-CN" w:bidi="ar-SA"/>
                    </w:rPr>
                    <w:t>东</w:t>
                  </w:r>
                  <w:r>
                    <w:rPr>
                      <w:rFonts w:hint="eastAsia" w:ascii="Times New Roman" w:hAnsi="Times New Roman" w:eastAsia="宋体" w:cs="Times New Roman"/>
                      <w:b w:val="0"/>
                      <w:bCs w:val="0"/>
                      <w:color w:val="auto"/>
                      <w:kern w:val="2"/>
                      <w:sz w:val="21"/>
                      <w:szCs w:val="20"/>
                      <w:vertAlign w:val="baseline"/>
                      <w:lang w:val="en-US" w:eastAsia="zh-CN" w:bidi="ar-SA"/>
                    </w:rPr>
                    <w:t>侧</w:t>
                  </w:r>
                  <w:r>
                    <w:rPr>
                      <w:rFonts w:hint="eastAsia" w:cs="Times New Roman"/>
                      <w:b w:val="0"/>
                      <w:bCs w:val="0"/>
                      <w:color w:val="auto"/>
                      <w:kern w:val="2"/>
                      <w:sz w:val="21"/>
                      <w:szCs w:val="20"/>
                      <w:vertAlign w:val="baseline"/>
                      <w:lang w:val="en-US" w:eastAsia="zh-CN" w:bidi="ar-SA"/>
                    </w:rPr>
                    <w:t>最近</w:t>
                  </w:r>
                  <w:r>
                    <w:rPr>
                      <w:rFonts w:hint="eastAsia" w:ascii="Times New Roman" w:hAnsi="Times New Roman" w:eastAsia="宋体" w:cs="Times New Roman"/>
                      <w:b w:val="0"/>
                      <w:bCs w:val="0"/>
                      <w:color w:val="auto"/>
                      <w:kern w:val="2"/>
                      <w:sz w:val="21"/>
                      <w:szCs w:val="20"/>
                      <w:vertAlign w:val="baseline"/>
                      <w:lang w:val="en-US" w:eastAsia="zh-CN" w:bidi="ar-SA"/>
                    </w:rPr>
                    <w:t>民房</w:t>
                  </w:r>
                </w:p>
              </w:tc>
              <w:tc>
                <w:tcPr>
                  <w:tcW w:w="1029" w:type="pct"/>
                  <w:vMerge w:val="continue"/>
                  <w:tcBorders>
                    <w:left w:val="single" w:color="auto" w:sz="4" w:space="0"/>
                    <w:bottom w:val="single" w:color="auto" w:sz="12" w:space="0"/>
                    <w:right w:val="single" w:color="auto" w:sz="4" w:space="0"/>
                  </w:tcBorders>
                </w:tcPr>
                <w:p w14:paraId="784E1037">
                  <w:pPr>
                    <w:adjustRightInd w:val="0"/>
                    <w:snapToGrid w:val="0"/>
                    <w:jc w:val="center"/>
                    <w:rPr>
                      <w:rFonts w:hint="default" w:ascii="Times New Roman" w:hAnsi="Times New Roman" w:eastAsia="宋体" w:cs="Times New Roman"/>
                      <w:b/>
                      <w:bCs/>
                      <w:color w:val="auto"/>
                      <w:kern w:val="2"/>
                      <w:sz w:val="21"/>
                      <w:szCs w:val="20"/>
                      <w:vertAlign w:val="baseline"/>
                      <w:lang w:val="en-US" w:eastAsia="zh-CN" w:bidi="ar-SA"/>
                    </w:rPr>
                  </w:pPr>
                </w:p>
              </w:tc>
              <w:tc>
                <w:tcPr>
                  <w:tcW w:w="1072" w:type="pct"/>
                  <w:tcBorders>
                    <w:top w:val="single" w:color="auto" w:sz="4" w:space="0"/>
                    <w:left w:val="single" w:color="auto" w:sz="4" w:space="0"/>
                    <w:bottom w:val="single" w:color="auto" w:sz="12" w:space="0"/>
                    <w:right w:val="single" w:color="auto" w:sz="4" w:space="0"/>
                  </w:tcBorders>
                  <w:vAlign w:val="center"/>
                </w:tcPr>
                <w:p w14:paraId="0D8ADA64">
                  <w:pPr>
                    <w:adjustRightInd w:val="0"/>
                    <w:snapToGrid w:val="0"/>
                    <w:jc w:val="center"/>
                    <w:rPr>
                      <w:rFonts w:hint="default" w:ascii="Times New Roman" w:hAnsi="Times New Roman" w:eastAsia="宋体" w:cs="Times New Roman"/>
                      <w:b w:val="0"/>
                      <w:bCs w:val="0"/>
                      <w:color w:val="auto"/>
                      <w:kern w:val="2"/>
                      <w:sz w:val="21"/>
                      <w:szCs w:val="20"/>
                      <w:vertAlign w:val="baseline"/>
                      <w:lang w:val="en-US" w:eastAsia="zh-CN" w:bidi="ar-SA"/>
                    </w:rPr>
                  </w:pPr>
                  <w:r>
                    <w:rPr>
                      <w:rFonts w:hint="eastAsia" w:cs="Times New Roman"/>
                      <w:b w:val="0"/>
                      <w:bCs w:val="0"/>
                      <w:color w:val="auto"/>
                      <w:kern w:val="2"/>
                      <w:sz w:val="21"/>
                      <w:szCs w:val="20"/>
                      <w:vertAlign w:val="baseline"/>
                      <w:lang w:val="en-US" w:eastAsia="zh-CN" w:bidi="ar-SA"/>
                    </w:rPr>
                    <w:t>47.4</w:t>
                  </w:r>
                </w:p>
              </w:tc>
              <w:tc>
                <w:tcPr>
                  <w:tcW w:w="1119" w:type="pct"/>
                  <w:tcBorders>
                    <w:top w:val="single" w:color="auto" w:sz="4" w:space="0"/>
                    <w:left w:val="single" w:color="auto" w:sz="4" w:space="0"/>
                    <w:bottom w:val="single" w:color="auto" w:sz="12" w:space="0"/>
                    <w:right w:val="single" w:color="auto" w:sz="4" w:space="0"/>
                  </w:tcBorders>
                  <w:vAlign w:val="center"/>
                </w:tcPr>
                <w:p w14:paraId="35FD1A18">
                  <w:pPr>
                    <w:adjustRightInd w:val="0"/>
                    <w:snapToGrid w:val="0"/>
                    <w:jc w:val="center"/>
                    <w:rPr>
                      <w:rFonts w:hint="default" w:ascii="Times New Roman" w:hAnsi="Times New Roman" w:eastAsia="宋体" w:cs="Times New Roman"/>
                      <w:b w:val="0"/>
                      <w:bCs w:val="0"/>
                      <w:color w:val="auto"/>
                      <w:kern w:val="2"/>
                      <w:sz w:val="21"/>
                      <w:szCs w:val="20"/>
                      <w:vertAlign w:val="baseline"/>
                      <w:lang w:val="en-US" w:eastAsia="zh-CN" w:bidi="ar-SA"/>
                    </w:rPr>
                  </w:pPr>
                  <w:r>
                    <w:rPr>
                      <w:rFonts w:hint="eastAsia" w:cs="Times New Roman"/>
                      <w:b w:val="0"/>
                      <w:bCs w:val="0"/>
                      <w:color w:val="auto"/>
                      <w:kern w:val="2"/>
                      <w:sz w:val="21"/>
                      <w:szCs w:val="20"/>
                      <w:vertAlign w:val="baseline"/>
                      <w:lang w:val="en-US" w:eastAsia="zh-CN" w:bidi="ar-SA"/>
                    </w:rPr>
                    <w:t>40.5</w:t>
                  </w:r>
                </w:p>
              </w:tc>
              <w:tc>
                <w:tcPr>
                  <w:tcW w:w="779" w:type="pct"/>
                  <w:vMerge w:val="continue"/>
                  <w:tcBorders>
                    <w:left w:val="single" w:color="auto" w:sz="4" w:space="0"/>
                    <w:bottom w:val="single" w:color="auto" w:sz="12" w:space="0"/>
                    <w:right w:val="nil"/>
                  </w:tcBorders>
                </w:tcPr>
                <w:p w14:paraId="54FA629C">
                  <w:pPr>
                    <w:adjustRightInd w:val="0"/>
                    <w:snapToGrid w:val="0"/>
                    <w:jc w:val="center"/>
                    <w:rPr>
                      <w:rFonts w:hint="eastAsia" w:ascii="Times New Roman" w:hAnsi="Times New Roman" w:eastAsia="宋体" w:cs="Times New Roman"/>
                      <w:b/>
                      <w:bCs/>
                      <w:color w:val="auto"/>
                      <w:kern w:val="2"/>
                      <w:sz w:val="21"/>
                      <w:szCs w:val="20"/>
                      <w:vertAlign w:val="baseline"/>
                      <w:lang w:val="en-US" w:eastAsia="zh-CN" w:bidi="ar-SA"/>
                    </w:rPr>
                  </w:pPr>
                </w:p>
              </w:tc>
            </w:tr>
          </w:tbl>
          <w:p w14:paraId="39AD0BA5">
            <w:pPr>
              <w:numPr>
                <w:ilvl w:val="0"/>
                <w:numId w:val="0"/>
              </w:numPr>
              <w:spacing w:line="360" w:lineRule="auto"/>
              <w:ind w:leftChars="0" w:firstLine="482" w:firstLineChars="200"/>
              <w:jc w:val="left"/>
              <w:rPr>
                <w:rFonts w:hint="eastAsia"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4、敏感点处噪声预测</w:t>
            </w:r>
          </w:p>
          <w:p w14:paraId="21BC356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b w:val="0"/>
                <w:bCs w:val="0"/>
                <w:color w:val="auto"/>
                <w:sz w:val="24"/>
                <w:lang w:val="en-US" w:eastAsia="zh-CN"/>
              </w:rPr>
            </w:pPr>
            <w:r>
              <w:rPr>
                <w:rFonts w:hint="eastAsia" w:ascii="Times New Roman" w:hAnsi="Times New Roman"/>
                <w:b w:val="0"/>
                <w:bCs w:val="0"/>
                <w:color w:val="auto"/>
                <w:sz w:val="24"/>
                <w:lang w:val="en-US" w:eastAsia="zh-CN"/>
              </w:rPr>
              <w:t>根据建设单位委托江西九环检测有限公司于2024年</w:t>
            </w:r>
            <w:r>
              <w:rPr>
                <w:rFonts w:hint="eastAsia"/>
                <w:b w:val="0"/>
                <w:bCs w:val="0"/>
                <w:color w:val="auto"/>
                <w:sz w:val="24"/>
                <w:lang w:val="en-US" w:eastAsia="zh-CN"/>
              </w:rPr>
              <w:t>10</w:t>
            </w:r>
            <w:r>
              <w:rPr>
                <w:rFonts w:hint="eastAsia" w:ascii="Times New Roman" w:hAnsi="Times New Roman"/>
                <w:b w:val="0"/>
                <w:bCs w:val="0"/>
                <w:color w:val="auto"/>
                <w:sz w:val="24"/>
                <w:lang w:val="en-US" w:eastAsia="zh-CN"/>
              </w:rPr>
              <w:t>月</w:t>
            </w:r>
            <w:r>
              <w:rPr>
                <w:rFonts w:hint="eastAsia"/>
                <w:b w:val="0"/>
                <w:bCs w:val="0"/>
                <w:color w:val="auto"/>
                <w:sz w:val="24"/>
                <w:lang w:val="en-US" w:eastAsia="zh-CN"/>
              </w:rPr>
              <w:t>14</w:t>
            </w:r>
            <w:r>
              <w:rPr>
                <w:rFonts w:hint="eastAsia" w:ascii="Times New Roman" w:hAnsi="Times New Roman"/>
                <w:b w:val="0"/>
                <w:bCs w:val="0"/>
                <w:color w:val="auto"/>
                <w:sz w:val="24"/>
                <w:lang w:val="en-US" w:eastAsia="zh-CN"/>
              </w:rPr>
              <w:t>日对项目所在地周边50m敏感点进行声环境现状监测背景值</w:t>
            </w:r>
            <w:r>
              <w:rPr>
                <w:rFonts w:hint="eastAsia"/>
                <w:b w:val="0"/>
                <w:bCs w:val="0"/>
                <w:color w:val="auto"/>
                <w:sz w:val="24"/>
                <w:lang w:val="en-US" w:eastAsia="zh-CN"/>
              </w:rPr>
              <w:t>，选取</w:t>
            </w:r>
            <w:r>
              <w:rPr>
                <w:rFonts w:hint="eastAsia" w:ascii="Times New Roman" w:hAnsi="Times New Roman"/>
                <w:color w:val="auto"/>
                <w:sz w:val="24"/>
                <w:lang w:val="en-US" w:eastAsia="zh-CN"/>
              </w:rPr>
              <w:t>北、东、西</w:t>
            </w:r>
            <w:r>
              <w:rPr>
                <w:rFonts w:hint="eastAsia" w:ascii="Times New Roman" w:hAnsi="Times New Roman"/>
                <w:color w:val="auto"/>
                <w:sz w:val="24"/>
              </w:rPr>
              <w:t>侧</w:t>
            </w:r>
            <w:r>
              <w:rPr>
                <w:rFonts w:hint="eastAsia"/>
                <w:b w:val="0"/>
                <w:bCs w:val="0"/>
                <w:color w:val="auto"/>
                <w:sz w:val="24"/>
                <w:lang w:val="en-US" w:eastAsia="zh-CN"/>
              </w:rPr>
              <w:t>距离厂界最近的散户进行监测，</w:t>
            </w:r>
            <w:r>
              <w:rPr>
                <w:rFonts w:hint="eastAsia" w:ascii="Times New Roman" w:hAnsi="Times New Roman"/>
                <w:color w:val="auto"/>
                <w:sz w:val="24"/>
              </w:rPr>
              <w:t>共用</w:t>
            </w:r>
            <w:r>
              <w:rPr>
                <w:rFonts w:hint="eastAsia" w:ascii="Times New Roman" w:hAnsi="Times New Roman"/>
                <w:color w:val="auto"/>
                <w:sz w:val="24"/>
                <w:lang w:val="en-US" w:eastAsia="zh-CN"/>
              </w:rPr>
              <w:t>北、东、西</w:t>
            </w:r>
            <w:r>
              <w:rPr>
                <w:rFonts w:hint="eastAsia" w:ascii="Times New Roman" w:hAnsi="Times New Roman"/>
                <w:color w:val="auto"/>
                <w:sz w:val="24"/>
              </w:rPr>
              <w:t>侧</w:t>
            </w:r>
            <w:r>
              <w:rPr>
                <w:rFonts w:hint="eastAsia" w:ascii="Times New Roman" w:hAnsi="Times New Roman"/>
                <w:color w:val="auto"/>
                <w:sz w:val="24"/>
                <w:lang w:val="en-US" w:eastAsia="zh-CN"/>
              </w:rPr>
              <w:t>散户居民</w:t>
            </w:r>
            <w:r>
              <w:rPr>
                <w:rFonts w:hint="eastAsia" w:ascii="Times New Roman" w:hAnsi="Times New Roman"/>
                <w:color w:val="auto"/>
                <w:sz w:val="24"/>
              </w:rPr>
              <w:t>敏感点检测数据，</w:t>
            </w:r>
            <w:r>
              <w:rPr>
                <w:rFonts w:hint="eastAsia" w:ascii="Times New Roman" w:hAnsi="Times New Roman"/>
                <w:b w:val="0"/>
                <w:bCs w:val="0"/>
                <w:color w:val="auto"/>
                <w:sz w:val="24"/>
                <w:lang w:val="en-US" w:eastAsia="zh-CN"/>
              </w:rPr>
              <w:t>结合项目厂界噪声贡献值，本项目声环境保护目标的噪声预测值见下表。</w:t>
            </w:r>
          </w:p>
          <w:p w14:paraId="7D74CF79">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center"/>
              <w:textAlignment w:val="auto"/>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表4-13项目敏感点噪声预测结果   单位：dB（A）</w:t>
            </w:r>
          </w:p>
          <w:tbl>
            <w:tblPr>
              <w:tblStyle w:val="18"/>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28"/>
              <w:gridCol w:w="885"/>
              <w:gridCol w:w="885"/>
              <w:gridCol w:w="1045"/>
              <w:gridCol w:w="931"/>
              <w:gridCol w:w="700"/>
              <w:gridCol w:w="866"/>
              <w:gridCol w:w="884"/>
              <w:gridCol w:w="580"/>
              <w:gridCol w:w="715"/>
            </w:tblGrid>
            <w:tr w14:paraId="6C3BAC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529" w:hRule="atLeast"/>
                <w:jc w:val="center"/>
              </w:trPr>
              <w:tc>
                <w:tcPr>
                  <w:tcW w:w="603" w:type="pct"/>
                  <w:vMerge w:val="restart"/>
                  <w:tcBorders>
                    <w:tl2br w:val="nil"/>
                    <w:tr2bl w:val="nil"/>
                  </w:tcBorders>
                  <w:noWrap w:val="0"/>
                  <w:vAlign w:val="center"/>
                </w:tcPr>
                <w:p w14:paraId="188290AB">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b/>
                      <w:bCs/>
                      <w:color w:val="auto"/>
                      <w:sz w:val="21"/>
                      <w:vertAlign w:val="baseline"/>
                      <w:lang w:val="en-US" w:eastAsia="zh-CN"/>
                    </w:rPr>
                  </w:pPr>
                  <w:r>
                    <w:rPr>
                      <w:rFonts w:hint="eastAsia" w:ascii="Times New Roman" w:hAnsi="Times New Roman" w:eastAsia="宋体"/>
                      <w:b/>
                      <w:bCs/>
                      <w:color w:val="auto"/>
                      <w:sz w:val="21"/>
                      <w:vertAlign w:val="baseline"/>
                      <w:lang w:val="en-US" w:eastAsia="zh-CN"/>
                    </w:rPr>
                    <w:t>敏感目标</w:t>
                  </w:r>
                </w:p>
              </w:tc>
              <w:tc>
                <w:tcPr>
                  <w:tcW w:w="519" w:type="pct"/>
                  <w:vMerge w:val="restart"/>
                  <w:tcBorders>
                    <w:tl2br w:val="nil"/>
                    <w:tr2bl w:val="nil"/>
                  </w:tcBorders>
                  <w:noWrap w:val="0"/>
                  <w:vAlign w:val="center"/>
                </w:tcPr>
                <w:p w14:paraId="78C05941">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color w:val="auto"/>
                      <w:sz w:val="21"/>
                      <w:vertAlign w:val="baseline"/>
                      <w:lang w:val="en-US" w:eastAsia="zh-CN"/>
                    </w:rPr>
                  </w:pPr>
                  <w:r>
                    <w:rPr>
                      <w:rFonts w:hint="eastAsia" w:ascii="Times New Roman" w:hAnsi="Times New Roman" w:eastAsia="宋体" w:cs="Times New Roman"/>
                      <w:b/>
                      <w:bCs/>
                      <w:color w:val="auto"/>
                      <w:sz w:val="21"/>
                      <w:vertAlign w:val="baseline"/>
                      <w:lang w:val="en-US" w:eastAsia="zh-CN"/>
                    </w:rPr>
                    <w:t>距离厂界距离</w:t>
                  </w:r>
                </w:p>
                <w:p w14:paraId="537E3353">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olor w:val="auto"/>
                      <w:lang w:val="en-US" w:eastAsia="zh-CN"/>
                    </w:rPr>
                  </w:pPr>
                  <w:r>
                    <w:rPr>
                      <w:rFonts w:hint="eastAsia" w:ascii="Times New Roman" w:hAnsi="Times New Roman" w:eastAsia="宋体" w:cs="Times New Roman"/>
                      <w:b/>
                      <w:bCs/>
                      <w:color w:val="auto"/>
                      <w:sz w:val="21"/>
                      <w:vertAlign w:val="baseline"/>
                      <w:lang w:val="en-US" w:eastAsia="zh-CN"/>
                    </w:rPr>
                    <w:t>m</w:t>
                  </w:r>
                </w:p>
              </w:tc>
              <w:tc>
                <w:tcPr>
                  <w:tcW w:w="519" w:type="pct"/>
                  <w:vMerge w:val="restart"/>
                  <w:tcBorders>
                    <w:tl2br w:val="nil"/>
                    <w:tr2bl w:val="nil"/>
                  </w:tcBorders>
                  <w:noWrap w:val="0"/>
                  <w:vAlign w:val="center"/>
                </w:tcPr>
                <w:p w14:paraId="65E2CC1E">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b/>
                      <w:bCs/>
                      <w:color w:val="auto"/>
                      <w:sz w:val="21"/>
                      <w:vertAlign w:val="baseline"/>
                      <w:lang w:val="en-US" w:eastAsia="zh-CN"/>
                    </w:rPr>
                  </w:pPr>
                  <w:r>
                    <w:rPr>
                      <w:rFonts w:hint="eastAsia"/>
                      <w:b/>
                      <w:bCs/>
                      <w:color w:val="auto"/>
                      <w:sz w:val="21"/>
                      <w:vertAlign w:val="baseline"/>
                      <w:lang w:val="en-US" w:eastAsia="zh-CN"/>
                    </w:rPr>
                    <w:t>厂界</w:t>
                  </w:r>
                </w:p>
                <w:p w14:paraId="09FF06E9">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b/>
                      <w:bCs/>
                      <w:color w:val="auto"/>
                      <w:sz w:val="21"/>
                      <w:vertAlign w:val="baseline"/>
                      <w:lang w:val="en-US" w:eastAsia="zh-CN"/>
                    </w:rPr>
                  </w:pPr>
                  <w:r>
                    <w:rPr>
                      <w:rFonts w:hint="eastAsia" w:ascii="Times New Roman" w:hAnsi="Times New Roman" w:eastAsia="宋体"/>
                      <w:b/>
                      <w:bCs/>
                      <w:color w:val="auto"/>
                      <w:sz w:val="21"/>
                      <w:vertAlign w:val="baseline"/>
                      <w:lang w:val="en-US" w:eastAsia="zh-CN"/>
                    </w:rPr>
                    <w:t>贡献值</w:t>
                  </w:r>
                </w:p>
              </w:tc>
              <w:tc>
                <w:tcPr>
                  <w:tcW w:w="613" w:type="pct"/>
                  <w:vMerge w:val="restart"/>
                  <w:tcBorders>
                    <w:tl2br w:val="nil"/>
                    <w:tr2bl w:val="nil"/>
                  </w:tcBorders>
                  <w:noWrap w:val="0"/>
                  <w:vAlign w:val="center"/>
                </w:tcPr>
                <w:p w14:paraId="71EB95AF">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b/>
                      <w:bCs/>
                      <w:color w:val="auto"/>
                      <w:sz w:val="21"/>
                      <w:vertAlign w:val="baseline"/>
                      <w:lang w:val="en-US" w:eastAsia="zh-CN"/>
                    </w:rPr>
                  </w:pPr>
                  <w:r>
                    <w:rPr>
                      <w:rFonts w:hint="eastAsia"/>
                      <w:b/>
                      <w:bCs/>
                      <w:color w:val="auto"/>
                      <w:sz w:val="21"/>
                      <w:vertAlign w:val="baseline"/>
                      <w:lang w:val="en-US" w:eastAsia="zh-CN"/>
                    </w:rPr>
                    <w:t>对敏感点的贡献值</w:t>
                  </w:r>
                </w:p>
              </w:tc>
              <w:tc>
                <w:tcPr>
                  <w:tcW w:w="957" w:type="pct"/>
                  <w:gridSpan w:val="2"/>
                  <w:tcBorders>
                    <w:tl2br w:val="nil"/>
                    <w:tr2bl w:val="nil"/>
                  </w:tcBorders>
                  <w:noWrap w:val="0"/>
                  <w:vAlign w:val="center"/>
                </w:tcPr>
                <w:p w14:paraId="0A5C7F96">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b/>
                      <w:bCs/>
                      <w:color w:val="auto"/>
                      <w:sz w:val="21"/>
                      <w:vertAlign w:val="baseline"/>
                      <w:lang w:val="en-US" w:eastAsia="zh-CN"/>
                    </w:rPr>
                  </w:pPr>
                  <w:r>
                    <w:rPr>
                      <w:rFonts w:hint="eastAsia" w:ascii="Times New Roman" w:hAnsi="Times New Roman" w:eastAsia="宋体"/>
                      <w:b/>
                      <w:bCs/>
                      <w:color w:val="auto"/>
                      <w:sz w:val="21"/>
                      <w:vertAlign w:val="baseline"/>
                      <w:lang w:val="en-US" w:eastAsia="zh-CN"/>
                    </w:rPr>
                    <w:t>现状值</w:t>
                  </w:r>
                </w:p>
              </w:tc>
              <w:tc>
                <w:tcPr>
                  <w:tcW w:w="1027" w:type="pct"/>
                  <w:gridSpan w:val="2"/>
                  <w:tcBorders>
                    <w:tl2br w:val="nil"/>
                    <w:tr2bl w:val="nil"/>
                  </w:tcBorders>
                  <w:noWrap w:val="0"/>
                  <w:vAlign w:val="center"/>
                </w:tcPr>
                <w:p w14:paraId="1B85C198">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b/>
                      <w:bCs/>
                      <w:color w:val="auto"/>
                      <w:sz w:val="21"/>
                      <w:vertAlign w:val="baseline"/>
                      <w:lang w:val="en-US" w:eastAsia="zh-CN"/>
                    </w:rPr>
                  </w:pPr>
                  <w:r>
                    <w:rPr>
                      <w:rFonts w:hint="eastAsia" w:ascii="Times New Roman" w:hAnsi="Times New Roman" w:eastAsia="宋体"/>
                      <w:b/>
                      <w:bCs/>
                      <w:color w:val="auto"/>
                      <w:sz w:val="21"/>
                      <w:vertAlign w:val="baseline"/>
                      <w:lang w:val="en-US" w:eastAsia="zh-CN"/>
                    </w:rPr>
                    <w:t>预测值</w:t>
                  </w:r>
                </w:p>
              </w:tc>
              <w:tc>
                <w:tcPr>
                  <w:tcW w:w="340" w:type="pct"/>
                  <w:vMerge w:val="restart"/>
                  <w:tcBorders>
                    <w:tl2br w:val="nil"/>
                    <w:tr2bl w:val="nil"/>
                  </w:tcBorders>
                  <w:noWrap w:val="0"/>
                  <w:vAlign w:val="center"/>
                </w:tcPr>
                <w:p w14:paraId="7E1AB299">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b/>
                      <w:bCs/>
                      <w:color w:val="auto"/>
                      <w:sz w:val="21"/>
                      <w:vertAlign w:val="baseline"/>
                      <w:lang w:val="en-US" w:eastAsia="zh-CN"/>
                    </w:rPr>
                  </w:pPr>
                  <w:r>
                    <w:rPr>
                      <w:rFonts w:hint="eastAsia" w:ascii="Times New Roman" w:hAnsi="Times New Roman" w:eastAsia="宋体"/>
                      <w:b/>
                      <w:bCs/>
                      <w:color w:val="auto"/>
                      <w:sz w:val="21"/>
                      <w:vertAlign w:val="baseline"/>
                      <w:lang w:val="en-US" w:eastAsia="zh-CN"/>
                    </w:rPr>
                    <w:t>标准值</w:t>
                  </w:r>
                </w:p>
              </w:tc>
              <w:tc>
                <w:tcPr>
                  <w:tcW w:w="419" w:type="pct"/>
                  <w:vMerge w:val="restart"/>
                  <w:tcBorders>
                    <w:tl2br w:val="nil"/>
                    <w:tr2bl w:val="nil"/>
                  </w:tcBorders>
                  <w:noWrap w:val="0"/>
                  <w:vAlign w:val="center"/>
                </w:tcPr>
                <w:p w14:paraId="58BA9025">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b/>
                      <w:bCs/>
                      <w:color w:val="auto"/>
                      <w:sz w:val="21"/>
                      <w:vertAlign w:val="baseline"/>
                      <w:lang w:val="en-US" w:eastAsia="zh-CN"/>
                    </w:rPr>
                  </w:pPr>
                  <w:r>
                    <w:rPr>
                      <w:rFonts w:hint="eastAsia" w:ascii="Times New Roman" w:hAnsi="Times New Roman" w:eastAsia="宋体"/>
                      <w:b/>
                      <w:bCs/>
                      <w:color w:val="auto"/>
                      <w:sz w:val="21"/>
                      <w:vertAlign w:val="baseline"/>
                      <w:lang w:val="en-US" w:eastAsia="zh-CN"/>
                    </w:rPr>
                    <w:t>是否达标</w:t>
                  </w:r>
                </w:p>
              </w:tc>
            </w:tr>
            <w:tr w14:paraId="6F453F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0" w:hRule="atLeast"/>
                <w:jc w:val="center"/>
              </w:trPr>
              <w:tc>
                <w:tcPr>
                  <w:tcW w:w="603" w:type="pct"/>
                  <w:vMerge w:val="continue"/>
                  <w:tcBorders>
                    <w:tl2br w:val="nil"/>
                    <w:tr2bl w:val="nil"/>
                  </w:tcBorders>
                  <w:noWrap w:val="0"/>
                  <w:vAlign w:val="center"/>
                </w:tcPr>
                <w:p w14:paraId="20000C4E">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b/>
                      <w:bCs/>
                      <w:color w:val="auto"/>
                      <w:sz w:val="21"/>
                      <w:vertAlign w:val="baseline"/>
                      <w:lang w:val="en-US" w:eastAsia="zh-CN"/>
                    </w:rPr>
                  </w:pPr>
                </w:p>
              </w:tc>
              <w:tc>
                <w:tcPr>
                  <w:tcW w:w="519" w:type="pct"/>
                  <w:vMerge w:val="continue"/>
                  <w:tcBorders>
                    <w:tl2br w:val="nil"/>
                    <w:tr2bl w:val="nil"/>
                  </w:tcBorders>
                  <w:noWrap w:val="0"/>
                  <w:vAlign w:val="center"/>
                </w:tcPr>
                <w:p w14:paraId="50B4AE26">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b/>
                      <w:bCs/>
                      <w:color w:val="auto"/>
                      <w:sz w:val="21"/>
                      <w:vertAlign w:val="baseline"/>
                      <w:lang w:val="en-US" w:eastAsia="zh-CN"/>
                    </w:rPr>
                  </w:pPr>
                </w:p>
              </w:tc>
              <w:tc>
                <w:tcPr>
                  <w:tcW w:w="519" w:type="pct"/>
                  <w:vMerge w:val="continue"/>
                  <w:tcBorders>
                    <w:tl2br w:val="nil"/>
                    <w:tr2bl w:val="nil"/>
                  </w:tcBorders>
                  <w:noWrap w:val="0"/>
                  <w:vAlign w:val="center"/>
                </w:tcPr>
                <w:p w14:paraId="2CD48BC8">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b/>
                      <w:bCs/>
                      <w:color w:val="auto"/>
                      <w:sz w:val="21"/>
                      <w:vertAlign w:val="baseline"/>
                      <w:lang w:val="en-US" w:eastAsia="zh-CN"/>
                    </w:rPr>
                  </w:pPr>
                </w:p>
              </w:tc>
              <w:tc>
                <w:tcPr>
                  <w:tcW w:w="613" w:type="pct"/>
                  <w:vMerge w:val="continue"/>
                  <w:tcBorders>
                    <w:tl2br w:val="nil"/>
                    <w:tr2bl w:val="nil"/>
                  </w:tcBorders>
                  <w:noWrap w:val="0"/>
                  <w:vAlign w:val="center"/>
                </w:tcPr>
                <w:p w14:paraId="3413B22A">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b/>
                      <w:bCs/>
                      <w:color w:val="auto"/>
                      <w:sz w:val="21"/>
                      <w:vertAlign w:val="baseline"/>
                      <w:lang w:val="en-US" w:eastAsia="zh-CN"/>
                    </w:rPr>
                  </w:pPr>
                </w:p>
              </w:tc>
              <w:tc>
                <w:tcPr>
                  <w:tcW w:w="546" w:type="pct"/>
                  <w:tcBorders>
                    <w:tl2br w:val="nil"/>
                    <w:tr2bl w:val="nil"/>
                  </w:tcBorders>
                  <w:noWrap w:val="0"/>
                  <w:vAlign w:val="center"/>
                </w:tcPr>
                <w:p w14:paraId="14247112">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b/>
                      <w:bCs/>
                      <w:color w:val="auto"/>
                      <w:sz w:val="21"/>
                      <w:vertAlign w:val="baseline"/>
                      <w:lang w:val="en-US" w:eastAsia="zh-CN"/>
                    </w:rPr>
                  </w:pPr>
                  <w:r>
                    <w:rPr>
                      <w:rFonts w:hint="eastAsia"/>
                      <w:b/>
                      <w:bCs/>
                      <w:color w:val="auto"/>
                      <w:sz w:val="21"/>
                      <w:vertAlign w:val="baseline"/>
                      <w:lang w:val="en-US" w:eastAsia="zh-CN"/>
                    </w:rPr>
                    <w:t>昼</w:t>
                  </w:r>
                </w:p>
              </w:tc>
              <w:tc>
                <w:tcPr>
                  <w:tcW w:w="410" w:type="pct"/>
                  <w:tcBorders>
                    <w:tl2br w:val="nil"/>
                    <w:tr2bl w:val="nil"/>
                  </w:tcBorders>
                  <w:noWrap w:val="0"/>
                  <w:vAlign w:val="center"/>
                </w:tcPr>
                <w:p w14:paraId="268B1E07">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b/>
                      <w:bCs/>
                      <w:color w:val="auto"/>
                      <w:sz w:val="21"/>
                      <w:vertAlign w:val="baseline"/>
                      <w:lang w:val="en-US" w:eastAsia="zh-CN"/>
                    </w:rPr>
                  </w:pPr>
                  <w:r>
                    <w:rPr>
                      <w:rFonts w:hint="eastAsia"/>
                      <w:b/>
                      <w:bCs/>
                      <w:color w:val="auto"/>
                      <w:sz w:val="21"/>
                      <w:vertAlign w:val="baseline"/>
                      <w:lang w:val="en-US" w:eastAsia="zh-CN"/>
                    </w:rPr>
                    <w:t>夜</w:t>
                  </w:r>
                </w:p>
              </w:tc>
              <w:tc>
                <w:tcPr>
                  <w:tcW w:w="508" w:type="pct"/>
                  <w:tcBorders>
                    <w:tl2br w:val="nil"/>
                    <w:tr2bl w:val="nil"/>
                  </w:tcBorders>
                  <w:noWrap w:val="0"/>
                  <w:vAlign w:val="center"/>
                </w:tcPr>
                <w:p w14:paraId="77336ED1">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b/>
                      <w:bCs/>
                      <w:color w:val="auto"/>
                      <w:sz w:val="21"/>
                      <w:vertAlign w:val="baseline"/>
                      <w:lang w:val="en-US" w:eastAsia="zh-CN"/>
                    </w:rPr>
                  </w:pPr>
                  <w:r>
                    <w:rPr>
                      <w:rFonts w:hint="eastAsia"/>
                      <w:b/>
                      <w:bCs/>
                      <w:color w:val="auto"/>
                      <w:sz w:val="21"/>
                      <w:vertAlign w:val="baseline"/>
                      <w:lang w:val="en-US" w:eastAsia="zh-CN"/>
                    </w:rPr>
                    <w:t>昼</w:t>
                  </w:r>
                </w:p>
              </w:tc>
              <w:tc>
                <w:tcPr>
                  <w:tcW w:w="518" w:type="pct"/>
                  <w:tcBorders>
                    <w:tl2br w:val="nil"/>
                    <w:tr2bl w:val="nil"/>
                  </w:tcBorders>
                  <w:noWrap w:val="0"/>
                  <w:vAlign w:val="center"/>
                </w:tcPr>
                <w:p w14:paraId="71034E2C">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b/>
                      <w:bCs/>
                      <w:color w:val="auto"/>
                      <w:sz w:val="21"/>
                      <w:vertAlign w:val="baseline"/>
                      <w:lang w:val="en-US" w:eastAsia="zh-CN"/>
                    </w:rPr>
                  </w:pPr>
                  <w:r>
                    <w:rPr>
                      <w:rFonts w:hint="eastAsia"/>
                      <w:b/>
                      <w:bCs/>
                      <w:color w:val="auto"/>
                      <w:sz w:val="21"/>
                      <w:vertAlign w:val="baseline"/>
                      <w:lang w:val="en-US" w:eastAsia="zh-CN"/>
                    </w:rPr>
                    <w:t>夜</w:t>
                  </w:r>
                </w:p>
              </w:tc>
              <w:tc>
                <w:tcPr>
                  <w:tcW w:w="340" w:type="pct"/>
                  <w:vMerge w:val="continue"/>
                  <w:tcBorders>
                    <w:tl2br w:val="nil"/>
                    <w:tr2bl w:val="nil"/>
                  </w:tcBorders>
                  <w:noWrap w:val="0"/>
                  <w:vAlign w:val="center"/>
                </w:tcPr>
                <w:p w14:paraId="18A473C8">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b/>
                      <w:bCs/>
                      <w:color w:val="auto"/>
                      <w:sz w:val="21"/>
                      <w:vertAlign w:val="baseline"/>
                      <w:lang w:val="en-US" w:eastAsia="zh-CN"/>
                    </w:rPr>
                  </w:pPr>
                </w:p>
              </w:tc>
              <w:tc>
                <w:tcPr>
                  <w:tcW w:w="419" w:type="pct"/>
                  <w:vMerge w:val="continue"/>
                  <w:tcBorders>
                    <w:tl2br w:val="nil"/>
                    <w:tr2bl w:val="nil"/>
                  </w:tcBorders>
                  <w:noWrap w:val="0"/>
                  <w:vAlign w:val="center"/>
                </w:tcPr>
                <w:p w14:paraId="22A28151">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b/>
                      <w:bCs/>
                      <w:color w:val="auto"/>
                      <w:sz w:val="21"/>
                      <w:vertAlign w:val="baseline"/>
                      <w:lang w:val="en-US" w:eastAsia="zh-CN"/>
                    </w:rPr>
                  </w:pPr>
                </w:p>
              </w:tc>
            </w:tr>
            <w:tr w14:paraId="02C258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12" w:hRule="atLeast"/>
                <w:jc w:val="center"/>
              </w:trPr>
              <w:tc>
                <w:tcPr>
                  <w:tcW w:w="603" w:type="pct"/>
                  <w:tcBorders>
                    <w:tl2br w:val="nil"/>
                    <w:tr2bl w:val="nil"/>
                  </w:tcBorders>
                  <w:noWrap w:val="0"/>
                  <w:vAlign w:val="center"/>
                </w:tcPr>
                <w:p w14:paraId="4859105E">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olor w:val="auto"/>
                      <w:sz w:val="21"/>
                      <w:vertAlign w:val="baseline"/>
                      <w:lang w:val="en-US" w:eastAsia="zh-CN"/>
                    </w:rPr>
                  </w:pPr>
                  <w:r>
                    <w:rPr>
                      <w:rFonts w:hint="eastAsia"/>
                      <w:color w:val="auto"/>
                      <w:sz w:val="21"/>
                      <w:vertAlign w:val="baseline"/>
                      <w:lang w:val="en-US" w:eastAsia="zh-CN"/>
                    </w:rPr>
                    <w:t>北侧最近居民点N1</w:t>
                  </w:r>
                </w:p>
              </w:tc>
              <w:tc>
                <w:tcPr>
                  <w:tcW w:w="519" w:type="pct"/>
                  <w:tcBorders>
                    <w:tl2br w:val="nil"/>
                    <w:tr2bl w:val="nil"/>
                  </w:tcBorders>
                  <w:noWrap w:val="0"/>
                  <w:vAlign w:val="center"/>
                </w:tcPr>
                <w:p w14:paraId="324B0307">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sz w:val="21"/>
                      <w:lang w:val="en-US" w:eastAsia="zh-CN"/>
                    </w:rPr>
                  </w:pPr>
                  <w:r>
                    <w:rPr>
                      <w:rFonts w:hint="eastAsia" w:cs="Times New Roman"/>
                      <w:color w:val="auto"/>
                      <w:sz w:val="21"/>
                      <w:lang w:val="en-US" w:eastAsia="zh-CN"/>
                    </w:rPr>
                    <w:t>5</w:t>
                  </w:r>
                </w:p>
              </w:tc>
              <w:tc>
                <w:tcPr>
                  <w:tcW w:w="519" w:type="pct"/>
                  <w:tcBorders>
                    <w:tl2br w:val="nil"/>
                    <w:tr2bl w:val="nil"/>
                  </w:tcBorders>
                  <w:noWrap w:val="0"/>
                  <w:vAlign w:val="center"/>
                </w:tcPr>
                <w:p w14:paraId="12FDA916">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41.19</w:t>
                  </w:r>
                </w:p>
              </w:tc>
              <w:tc>
                <w:tcPr>
                  <w:tcW w:w="613" w:type="pct"/>
                  <w:tcBorders>
                    <w:tl2br w:val="nil"/>
                    <w:tr2bl w:val="nil"/>
                  </w:tcBorders>
                  <w:noWrap w:val="0"/>
                  <w:vAlign w:val="center"/>
                </w:tcPr>
                <w:p w14:paraId="12AAB26C">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27.21</w:t>
                  </w:r>
                </w:p>
              </w:tc>
              <w:tc>
                <w:tcPr>
                  <w:tcW w:w="546" w:type="pct"/>
                  <w:tcBorders>
                    <w:tl2br w:val="nil"/>
                    <w:tr2bl w:val="nil"/>
                  </w:tcBorders>
                  <w:noWrap w:val="0"/>
                  <w:vAlign w:val="center"/>
                </w:tcPr>
                <w:p w14:paraId="1BB73DAF">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45.2</w:t>
                  </w:r>
                </w:p>
              </w:tc>
              <w:tc>
                <w:tcPr>
                  <w:tcW w:w="410" w:type="pct"/>
                  <w:tcBorders>
                    <w:tl2br w:val="nil"/>
                    <w:tr2bl w:val="nil"/>
                  </w:tcBorders>
                  <w:noWrap w:val="0"/>
                  <w:vAlign w:val="center"/>
                </w:tcPr>
                <w:p w14:paraId="374F78FD">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38.1</w:t>
                  </w:r>
                </w:p>
              </w:tc>
              <w:tc>
                <w:tcPr>
                  <w:tcW w:w="508" w:type="pct"/>
                  <w:tcBorders>
                    <w:tl2br w:val="nil"/>
                    <w:tr2bl w:val="nil"/>
                  </w:tcBorders>
                  <w:noWrap w:val="0"/>
                  <w:vAlign w:val="center"/>
                </w:tcPr>
                <w:p w14:paraId="32756EAE">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45.27</w:t>
                  </w:r>
                </w:p>
              </w:tc>
              <w:tc>
                <w:tcPr>
                  <w:tcW w:w="518" w:type="pct"/>
                  <w:tcBorders>
                    <w:tl2br w:val="nil"/>
                    <w:tr2bl w:val="nil"/>
                  </w:tcBorders>
                  <w:noWrap w:val="0"/>
                  <w:vAlign w:val="center"/>
                </w:tcPr>
                <w:p w14:paraId="57A8CF66">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38.44</w:t>
                  </w:r>
                </w:p>
              </w:tc>
              <w:tc>
                <w:tcPr>
                  <w:tcW w:w="340" w:type="pct"/>
                  <w:vMerge w:val="restart"/>
                  <w:tcBorders>
                    <w:tl2br w:val="nil"/>
                    <w:tr2bl w:val="nil"/>
                  </w:tcBorders>
                  <w:noWrap w:val="0"/>
                  <w:vAlign w:val="center"/>
                </w:tcPr>
                <w:p w14:paraId="309063BE">
                  <w:pPr>
                    <w:adjustRightInd w:val="0"/>
                    <w:snapToGrid w:val="0"/>
                    <w:jc w:val="center"/>
                    <w:rPr>
                      <w:rFonts w:hint="eastAsia" w:ascii="Times New Roman" w:hAnsi="Times New Roman" w:eastAsia="宋体" w:cs="Times New Roman"/>
                      <w:b w:val="0"/>
                      <w:bCs w:val="0"/>
                      <w:color w:val="auto"/>
                      <w:kern w:val="2"/>
                      <w:sz w:val="21"/>
                      <w:szCs w:val="20"/>
                      <w:vertAlign w:val="baseline"/>
                      <w:lang w:val="en-US" w:eastAsia="zh-CN" w:bidi="ar-SA"/>
                    </w:rPr>
                  </w:pPr>
                  <w:r>
                    <w:rPr>
                      <w:rFonts w:hint="eastAsia" w:ascii="Times New Roman" w:hAnsi="Times New Roman" w:eastAsia="宋体" w:cs="Times New Roman"/>
                      <w:b w:val="0"/>
                      <w:bCs w:val="0"/>
                      <w:color w:val="auto"/>
                      <w:kern w:val="2"/>
                      <w:sz w:val="21"/>
                      <w:szCs w:val="20"/>
                      <w:vertAlign w:val="baseline"/>
                      <w:lang w:val="en-US" w:eastAsia="zh-CN" w:bidi="ar-SA"/>
                    </w:rPr>
                    <w:t>昼间：55dB（A）</w:t>
                  </w:r>
                </w:p>
                <w:p w14:paraId="61F50EB7">
                  <w:pPr>
                    <w:adjustRightInd w:val="0"/>
                    <w:snapToGrid w:val="0"/>
                    <w:jc w:val="center"/>
                    <w:rPr>
                      <w:rFonts w:hint="default" w:ascii="Times New Roman" w:hAnsi="Times New Roman" w:eastAsia="宋体"/>
                      <w:color w:val="auto"/>
                      <w:sz w:val="21"/>
                      <w:vertAlign w:val="baseline"/>
                      <w:lang w:val="en-US" w:eastAsia="zh-CN"/>
                    </w:rPr>
                  </w:pPr>
                  <w:r>
                    <w:rPr>
                      <w:rFonts w:hint="eastAsia" w:ascii="Times New Roman" w:hAnsi="Times New Roman" w:eastAsia="宋体" w:cs="Times New Roman"/>
                      <w:b w:val="0"/>
                      <w:bCs w:val="0"/>
                      <w:color w:val="auto"/>
                      <w:kern w:val="2"/>
                      <w:sz w:val="21"/>
                      <w:szCs w:val="20"/>
                      <w:vertAlign w:val="baseline"/>
                      <w:lang w:val="en-US" w:eastAsia="zh-CN" w:bidi="ar-SA"/>
                    </w:rPr>
                    <w:t>夜间：45dB（A）</w:t>
                  </w:r>
                </w:p>
              </w:tc>
              <w:tc>
                <w:tcPr>
                  <w:tcW w:w="419" w:type="pct"/>
                  <w:tcBorders>
                    <w:tl2br w:val="nil"/>
                    <w:tr2bl w:val="nil"/>
                  </w:tcBorders>
                  <w:noWrap w:val="0"/>
                  <w:vAlign w:val="center"/>
                </w:tcPr>
                <w:p w14:paraId="67CAF5F2">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olor w:val="auto"/>
                      <w:sz w:val="21"/>
                      <w:vertAlign w:val="baseline"/>
                      <w:lang w:val="en-US" w:eastAsia="zh-CN"/>
                    </w:rPr>
                  </w:pPr>
                  <w:r>
                    <w:rPr>
                      <w:rFonts w:hint="eastAsia"/>
                      <w:color w:val="auto"/>
                      <w:sz w:val="21"/>
                      <w:vertAlign w:val="baseline"/>
                      <w:lang w:val="en-US" w:eastAsia="zh-CN"/>
                    </w:rPr>
                    <w:t>达标</w:t>
                  </w:r>
                </w:p>
              </w:tc>
            </w:tr>
            <w:tr w14:paraId="4E3E1F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68" w:hRule="atLeast"/>
                <w:jc w:val="center"/>
              </w:trPr>
              <w:tc>
                <w:tcPr>
                  <w:tcW w:w="603" w:type="pct"/>
                  <w:tcBorders>
                    <w:tl2br w:val="nil"/>
                    <w:tr2bl w:val="nil"/>
                  </w:tcBorders>
                  <w:noWrap w:val="0"/>
                  <w:vAlign w:val="center"/>
                </w:tcPr>
                <w:p w14:paraId="253AD9AC">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西侧</w:t>
                  </w:r>
                  <w:r>
                    <w:rPr>
                      <w:rFonts w:hint="eastAsia"/>
                      <w:color w:val="auto"/>
                      <w:sz w:val="21"/>
                      <w:vertAlign w:val="baseline"/>
                      <w:lang w:val="en-US" w:eastAsia="zh-CN"/>
                    </w:rPr>
                    <w:t>最近</w:t>
                  </w:r>
                  <w:r>
                    <w:rPr>
                      <w:rFonts w:hint="eastAsia" w:ascii="Times New Roman" w:hAnsi="Times New Roman" w:eastAsia="宋体"/>
                      <w:color w:val="auto"/>
                      <w:sz w:val="21"/>
                      <w:vertAlign w:val="baseline"/>
                      <w:lang w:val="en-US" w:eastAsia="zh-CN"/>
                    </w:rPr>
                    <w:t>居民敏感点</w:t>
                  </w:r>
                  <w:r>
                    <w:rPr>
                      <w:rFonts w:hint="eastAsia"/>
                      <w:color w:val="auto"/>
                      <w:sz w:val="21"/>
                      <w:vertAlign w:val="baseline"/>
                      <w:lang w:val="en-US" w:eastAsia="zh-CN"/>
                    </w:rPr>
                    <w:t>N</w:t>
                  </w:r>
                  <w:r>
                    <w:rPr>
                      <w:rFonts w:hint="eastAsia" w:ascii="Times New Roman" w:hAnsi="Times New Roman" w:eastAsia="宋体"/>
                      <w:color w:val="auto"/>
                      <w:sz w:val="21"/>
                      <w:vertAlign w:val="baseline"/>
                      <w:lang w:val="en-US" w:eastAsia="zh-CN"/>
                    </w:rPr>
                    <w:t>2</w:t>
                  </w:r>
                </w:p>
              </w:tc>
              <w:tc>
                <w:tcPr>
                  <w:tcW w:w="519" w:type="pct"/>
                  <w:tcBorders>
                    <w:tl2br w:val="nil"/>
                    <w:tr2bl w:val="nil"/>
                  </w:tcBorders>
                  <w:noWrap w:val="0"/>
                  <w:vAlign w:val="center"/>
                </w:tcPr>
                <w:p w14:paraId="24D4A83A">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sz w:val="21"/>
                      <w:lang w:val="en-US" w:eastAsia="zh-CN"/>
                    </w:rPr>
                  </w:pPr>
                  <w:r>
                    <w:rPr>
                      <w:rFonts w:hint="eastAsia" w:cs="Times New Roman"/>
                      <w:color w:val="auto"/>
                      <w:sz w:val="21"/>
                      <w:lang w:val="en-US" w:eastAsia="zh-CN"/>
                    </w:rPr>
                    <w:t>3</w:t>
                  </w:r>
                </w:p>
              </w:tc>
              <w:tc>
                <w:tcPr>
                  <w:tcW w:w="519" w:type="pct"/>
                  <w:tcBorders>
                    <w:tl2br w:val="nil"/>
                    <w:tr2bl w:val="nil"/>
                  </w:tcBorders>
                  <w:noWrap w:val="0"/>
                  <w:vAlign w:val="center"/>
                </w:tcPr>
                <w:p w14:paraId="79F59B14">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38.01</w:t>
                  </w:r>
                </w:p>
              </w:tc>
              <w:tc>
                <w:tcPr>
                  <w:tcW w:w="613" w:type="pct"/>
                  <w:tcBorders>
                    <w:tl2br w:val="nil"/>
                    <w:tr2bl w:val="nil"/>
                  </w:tcBorders>
                  <w:noWrap w:val="0"/>
                  <w:vAlign w:val="center"/>
                </w:tcPr>
                <w:p w14:paraId="0B7082FB">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28.48</w:t>
                  </w:r>
                </w:p>
              </w:tc>
              <w:tc>
                <w:tcPr>
                  <w:tcW w:w="546" w:type="pct"/>
                  <w:tcBorders>
                    <w:tl2br w:val="nil"/>
                    <w:tr2bl w:val="nil"/>
                  </w:tcBorders>
                  <w:noWrap w:val="0"/>
                  <w:vAlign w:val="center"/>
                </w:tcPr>
                <w:p w14:paraId="68A1E469">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46.7</w:t>
                  </w:r>
                </w:p>
              </w:tc>
              <w:tc>
                <w:tcPr>
                  <w:tcW w:w="410" w:type="pct"/>
                  <w:tcBorders>
                    <w:tl2br w:val="nil"/>
                    <w:tr2bl w:val="nil"/>
                  </w:tcBorders>
                  <w:noWrap w:val="0"/>
                  <w:vAlign w:val="center"/>
                </w:tcPr>
                <w:p w14:paraId="4609580E">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42.4</w:t>
                  </w:r>
                </w:p>
              </w:tc>
              <w:tc>
                <w:tcPr>
                  <w:tcW w:w="508" w:type="pct"/>
                  <w:tcBorders>
                    <w:tl2br w:val="nil"/>
                    <w:tr2bl w:val="nil"/>
                  </w:tcBorders>
                  <w:noWrap w:val="0"/>
                  <w:vAlign w:val="center"/>
                </w:tcPr>
                <w:p w14:paraId="4368F994">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46.76</w:t>
                  </w:r>
                </w:p>
              </w:tc>
              <w:tc>
                <w:tcPr>
                  <w:tcW w:w="518" w:type="pct"/>
                  <w:tcBorders>
                    <w:tl2br w:val="nil"/>
                    <w:tr2bl w:val="nil"/>
                  </w:tcBorders>
                  <w:noWrap w:val="0"/>
                  <w:vAlign w:val="center"/>
                </w:tcPr>
                <w:p w14:paraId="02D029C3">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42.57</w:t>
                  </w:r>
                </w:p>
              </w:tc>
              <w:tc>
                <w:tcPr>
                  <w:tcW w:w="340" w:type="pct"/>
                  <w:vMerge w:val="continue"/>
                  <w:tcBorders>
                    <w:tl2br w:val="nil"/>
                    <w:tr2bl w:val="nil"/>
                  </w:tcBorders>
                  <w:noWrap w:val="0"/>
                  <w:vAlign w:val="center"/>
                </w:tcPr>
                <w:p w14:paraId="50FB08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olor w:val="auto"/>
                      <w:sz w:val="21"/>
                      <w:vertAlign w:val="baseline"/>
                      <w:lang w:val="en-US" w:eastAsia="zh-CN"/>
                    </w:rPr>
                  </w:pPr>
                </w:p>
              </w:tc>
              <w:tc>
                <w:tcPr>
                  <w:tcW w:w="419" w:type="pct"/>
                  <w:tcBorders>
                    <w:tl2br w:val="nil"/>
                    <w:tr2bl w:val="nil"/>
                  </w:tcBorders>
                  <w:noWrap w:val="0"/>
                  <w:vAlign w:val="center"/>
                </w:tcPr>
                <w:p w14:paraId="717A95D6">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olor w:val="auto"/>
                      <w:sz w:val="21"/>
                      <w:vertAlign w:val="baseline"/>
                      <w:lang w:val="en-US" w:eastAsia="zh-CN"/>
                    </w:rPr>
                  </w:pPr>
                  <w:r>
                    <w:rPr>
                      <w:rFonts w:hint="eastAsia"/>
                      <w:color w:val="auto"/>
                      <w:sz w:val="21"/>
                      <w:vertAlign w:val="baseline"/>
                      <w:lang w:val="en-US" w:eastAsia="zh-CN"/>
                    </w:rPr>
                    <w:t>达标</w:t>
                  </w:r>
                </w:p>
              </w:tc>
            </w:tr>
            <w:tr w14:paraId="4DDCC7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33" w:hRule="atLeast"/>
                <w:jc w:val="center"/>
              </w:trPr>
              <w:tc>
                <w:tcPr>
                  <w:tcW w:w="603" w:type="pct"/>
                  <w:tcBorders>
                    <w:tl2br w:val="nil"/>
                    <w:tr2bl w:val="nil"/>
                  </w:tcBorders>
                  <w:noWrap w:val="0"/>
                  <w:vAlign w:val="center"/>
                </w:tcPr>
                <w:p w14:paraId="3E9FF2A4">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南侧</w:t>
                  </w:r>
                  <w:r>
                    <w:rPr>
                      <w:rFonts w:hint="eastAsia"/>
                      <w:color w:val="auto"/>
                      <w:sz w:val="21"/>
                      <w:vertAlign w:val="baseline"/>
                      <w:lang w:val="en-US" w:eastAsia="zh-CN"/>
                    </w:rPr>
                    <w:t>华林小学</w:t>
                  </w:r>
                  <w:r>
                    <w:rPr>
                      <w:rFonts w:hint="eastAsia" w:ascii="Times New Roman" w:hAnsi="Times New Roman" w:eastAsia="宋体"/>
                      <w:color w:val="auto"/>
                      <w:sz w:val="21"/>
                      <w:vertAlign w:val="baseline"/>
                      <w:lang w:val="en-US" w:eastAsia="zh-CN"/>
                    </w:rPr>
                    <w:t>敏感点</w:t>
                  </w:r>
                  <w:r>
                    <w:rPr>
                      <w:rFonts w:hint="eastAsia"/>
                      <w:color w:val="auto"/>
                      <w:sz w:val="21"/>
                      <w:vertAlign w:val="baseline"/>
                      <w:lang w:val="en-US" w:eastAsia="zh-CN"/>
                    </w:rPr>
                    <w:t>N3</w:t>
                  </w:r>
                </w:p>
              </w:tc>
              <w:tc>
                <w:tcPr>
                  <w:tcW w:w="519" w:type="pct"/>
                  <w:tcBorders>
                    <w:tl2br w:val="nil"/>
                    <w:tr2bl w:val="nil"/>
                  </w:tcBorders>
                  <w:noWrap w:val="0"/>
                  <w:vAlign w:val="center"/>
                </w:tcPr>
                <w:p w14:paraId="53740432">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sz w:val="21"/>
                      <w:lang w:val="en-US" w:eastAsia="zh-CN"/>
                    </w:rPr>
                  </w:pPr>
                  <w:r>
                    <w:rPr>
                      <w:rFonts w:hint="eastAsia" w:cs="Times New Roman"/>
                      <w:color w:val="auto"/>
                      <w:sz w:val="21"/>
                      <w:lang w:val="en-US" w:eastAsia="zh-CN"/>
                    </w:rPr>
                    <w:t>8</w:t>
                  </w:r>
                </w:p>
              </w:tc>
              <w:tc>
                <w:tcPr>
                  <w:tcW w:w="519" w:type="pct"/>
                  <w:tcBorders>
                    <w:tl2br w:val="nil"/>
                    <w:tr2bl w:val="nil"/>
                  </w:tcBorders>
                  <w:noWrap w:val="0"/>
                  <w:vAlign w:val="center"/>
                </w:tcPr>
                <w:p w14:paraId="5E71CA0D">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35.46</w:t>
                  </w:r>
                </w:p>
              </w:tc>
              <w:tc>
                <w:tcPr>
                  <w:tcW w:w="613" w:type="pct"/>
                  <w:tcBorders>
                    <w:tl2br w:val="nil"/>
                    <w:tr2bl w:val="nil"/>
                  </w:tcBorders>
                  <w:noWrap w:val="0"/>
                  <w:vAlign w:val="center"/>
                </w:tcPr>
                <w:p w14:paraId="21FC1294">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17.40</w:t>
                  </w:r>
                </w:p>
              </w:tc>
              <w:tc>
                <w:tcPr>
                  <w:tcW w:w="546" w:type="pct"/>
                  <w:tcBorders>
                    <w:tl2br w:val="nil"/>
                    <w:tr2bl w:val="nil"/>
                  </w:tcBorders>
                  <w:noWrap w:val="0"/>
                  <w:vAlign w:val="center"/>
                </w:tcPr>
                <w:p w14:paraId="7CF66ED2">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43.1</w:t>
                  </w:r>
                </w:p>
              </w:tc>
              <w:tc>
                <w:tcPr>
                  <w:tcW w:w="410" w:type="pct"/>
                  <w:tcBorders>
                    <w:tl2br w:val="nil"/>
                    <w:tr2bl w:val="nil"/>
                  </w:tcBorders>
                  <w:noWrap w:val="0"/>
                  <w:vAlign w:val="center"/>
                </w:tcPr>
                <w:p w14:paraId="61921771">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42.5</w:t>
                  </w:r>
                </w:p>
              </w:tc>
              <w:tc>
                <w:tcPr>
                  <w:tcW w:w="508" w:type="pct"/>
                  <w:tcBorders>
                    <w:tl2br w:val="nil"/>
                    <w:tr2bl w:val="nil"/>
                  </w:tcBorders>
                  <w:noWrap w:val="0"/>
                  <w:vAlign w:val="center"/>
                </w:tcPr>
                <w:p w14:paraId="71EA8A47">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43.11</w:t>
                  </w:r>
                </w:p>
              </w:tc>
              <w:tc>
                <w:tcPr>
                  <w:tcW w:w="518" w:type="pct"/>
                  <w:tcBorders>
                    <w:tl2br w:val="nil"/>
                    <w:tr2bl w:val="nil"/>
                  </w:tcBorders>
                  <w:noWrap w:val="0"/>
                  <w:vAlign w:val="center"/>
                </w:tcPr>
                <w:p w14:paraId="28A7793D">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42.51</w:t>
                  </w:r>
                </w:p>
              </w:tc>
              <w:tc>
                <w:tcPr>
                  <w:tcW w:w="340" w:type="pct"/>
                  <w:vMerge w:val="continue"/>
                  <w:tcBorders>
                    <w:tl2br w:val="nil"/>
                    <w:tr2bl w:val="nil"/>
                  </w:tcBorders>
                  <w:noWrap w:val="0"/>
                  <w:vAlign w:val="center"/>
                </w:tcPr>
                <w:p w14:paraId="58A600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olor w:val="auto"/>
                      <w:sz w:val="21"/>
                      <w:vertAlign w:val="baseline"/>
                      <w:lang w:val="en-US" w:eastAsia="zh-CN"/>
                    </w:rPr>
                  </w:pPr>
                </w:p>
              </w:tc>
              <w:tc>
                <w:tcPr>
                  <w:tcW w:w="419" w:type="pct"/>
                  <w:tcBorders>
                    <w:tl2br w:val="nil"/>
                    <w:tr2bl w:val="nil"/>
                  </w:tcBorders>
                  <w:noWrap w:val="0"/>
                  <w:vAlign w:val="center"/>
                </w:tcPr>
                <w:p w14:paraId="75B42352">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olor w:val="auto"/>
                      <w:sz w:val="21"/>
                      <w:vertAlign w:val="baseline"/>
                      <w:lang w:val="en-US" w:eastAsia="zh-CN"/>
                    </w:rPr>
                  </w:pPr>
                  <w:r>
                    <w:rPr>
                      <w:rFonts w:hint="eastAsia"/>
                      <w:color w:val="auto"/>
                      <w:sz w:val="21"/>
                      <w:vertAlign w:val="baseline"/>
                      <w:lang w:val="en-US" w:eastAsia="zh-CN"/>
                    </w:rPr>
                    <w:t>达标</w:t>
                  </w:r>
                </w:p>
              </w:tc>
            </w:tr>
            <w:tr w14:paraId="25D74E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03" w:type="pct"/>
                  <w:tcBorders>
                    <w:tl2br w:val="nil"/>
                    <w:tr2bl w:val="nil"/>
                  </w:tcBorders>
                  <w:noWrap w:val="0"/>
                  <w:vAlign w:val="center"/>
                </w:tcPr>
                <w:p w14:paraId="719F9A60">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olor w:val="auto"/>
                      <w:sz w:val="21"/>
                      <w:vertAlign w:val="baseline"/>
                      <w:lang w:val="en-US" w:eastAsia="zh-CN"/>
                    </w:rPr>
                  </w:pPr>
                  <w:r>
                    <w:rPr>
                      <w:rFonts w:hint="eastAsia" w:ascii="Times New Roman" w:hAnsi="Times New Roman" w:eastAsia="宋体"/>
                      <w:color w:val="auto"/>
                      <w:sz w:val="21"/>
                      <w:vertAlign w:val="baseline"/>
                      <w:lang w:val="en-US" w:eastAsia="zh-CN"/>
                    </w:rPr>
                    <w:t>东侧</w:t>
                  </w:r>
                  <w:r>
                    <w:rPr>
                      <w:rFonts w:hint="eastAsia"/>
                      <w:color w:val="auto"/>
                      <w:sz w:val="21"/>
                      <w:vertAlign w:val="baseline"/>
                      <w:lang w:val="en-US" w:eastAsia="zh-CN"/>
                    </w:rPr>
                    <w:t>最近</w:t>
                  </w:r>
                  <w:r>
                    <w:rPr>
                      <w:rFonts w:hint="eastAsia" w:ascii="Times New Roman" w:hAnsi="Times New Roman" w:eastAsia="宋体"/>
                      <w:color w:val="auto"/>
                      <w:sz w:val="21"/>
                      <w:vertAlign w:val="baseline"/>
                      <w:lang w:val="en-US" w:eastAsia="zh-CN"/>
                    </w:rPr>
                    <w:t>居民敏感点</w:t>
                  </w:r>
                  <w:r>
                    <w:rPr>
                      <w:rFonts w:hint="eastAsia"/>
                      <w:color w:val="auto"/>
                      <w:sz w:val="21"/>
                      <w:vertAlign w:val="baseline"/>
                      <w:lang w:val="en-US" w:eastAsia="zh-CN"/>
                    </w:rPr>
                    <w:t>（散户）N4</w:t>
                  </w:r>
                </w:p>
              </w:tc>
              <w:tc>
                <w:tcPr>
                  <w:tcW w:w="519" w:type="pct"/>
                  <w:tcBorders>
                    <w:tl2br w:val="nil"/>
                    <w:tr2bl w:val="nil"/>
                  </w:tcBorders>
                  <w:noWrap w:val="0"/>
                  <w:vAlign w:val="center"/>
                </w:tcPr>
                <w:p w14:paraId="3EF7A4C6">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sz w:val="21"/>
                      <w:lang w:val="en-US" w:eastAsia="zh-CN"/>
                    </w:rPr>
                  </w:pPr>
                  <w:r>
                    <w:rPr>
                      <w:rFonts w:hint="eastAsia" w:cs="Times New Roman"/>
                      <w:color w:val="auto"/>
                      <w:sz w:val="21"/>
                      <w:lang w:val="en-US" w:eastAsia="zh-CN"/>
                    </w:rPr>
                    <w:t>5</w:t>
                  </w:r>
                </w:p>
              </w:tc>
              <w:tc>
                <w:tcPr>
                  <w:tcW w:w="519" w:type="pct"/>
                  <w:tcBorders>
                    <w:tl2br w:val="nil"/>
                    <w:tr2bl w:val="nil"/>
                  </w:tcBorders>
                  <w:noWrap w:val="0"/>
                  <w:vAlign w:val="center"/>
                </w:tcPr>
                <w:p w14:paraId="1D27E21B">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26.76</w:t>
                  </w:r>
                </w:p>
              </w:tc>
              <w:tc>
                <w:tcPr>
                  <w:tcW w:w="613" w:type="pct"/>
                  <w:tcBorders>
                    <w:tl2br w:val="nil"/>
                    <w:tr2bl w:val="nil"/>
                  </w:tcBorders>
                  <w:noWrap w:val="0"/>
                  <w:vAlign w:val="center"/>
                </w:tcPr>
                <w:p w14:paraId="48AD2666">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12.78</w:t>
                  </w:r>
                </w:p>
              </w:tc>
              <w:tc>
                <w:tcPr>
                  <w:tcW w:w="546" w:type="pct"/>
                  <w:tcBorders>
                    <w:tl2br w:val="nil"/>
                    <w:tr2bl w:val="nil"/>
                  </w:tcBorders>
                  <w:noWrap w:val="0"/>
                  <w:vAlign w:val="center"/>
                </w:tcPr>
                <w:p w14:paraId="2EC65DA6">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47.4</w:t>
                  </w:r>
                </w:p>
              </w:tc>
              <w:tc>
                <w:tcPr>
                  <w:tcW w:w="410" w:type="pct"/>
                  <w:tcBorders>
                    <w:tl2br w:val="nil"/>
                    <w:tr2bl w:val="nil"/>
                  </w:tcBorders>
                  <w:noWrap w:val="0"/>
                  <w:vAlign w:val="center"/>
                </w:tcPr>
                <w:p w14:paraId="497362B6">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40.5</w:t>
                  </w:r>
                </w:p>
              </w:tc>
              <w:tc>
                <w:tcPr>
                  <w:tcW w:w="508" w:type="pct"/>
                  <w:tcBorders>
                    <w:tl2br w:val="nil"/>
                    <w:tr2bl w:val="nil"/>
                  </w:tcBorders>
                  <w:noWrap w:val="0"/>
                  <w:vAlign w:val="center"/>
                </w:tcPr>
                <w:p w14:paraId="4689AA18">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olor w:val="auto"/>
                      <w:sz w:val="21"/>
                      <w:vertAlign w:val="baseline"/>
                      <w:lang w:val="en-US" w:eastAsia="zh-CN"/>
                    </w:rPr>
                  </w:pPr>
                  <w:r>
                    <w:rPr>
                      <w:rFonts w:hint="eastAsia" w:ascii="Times New Roman" w:hAnsi="Times New Roman" w:eastAsia="宋体" w:cs="Times New Roman"/>
                      <w:bCs w:val="0"/>
                      <w:color w:val="auto"/>
                      <w:kern w:val="2"/>
                      <w:sz w:val="21"/>
                      <w:szCs w:val="21"/>
                      <w:highlight w:val="none"/>
                      <w:lang w:val="en-US" w:eastAsia="zh-CN" w:bidi="ar-SA"/>
                    </w:rPr>
                    <w:t>47.40</w:t>
                  </w:r>
                </w:p>
              </w:tc>
              <w:tc>
                <w:tcPr>
                  <w:tcW w:w="518" w:type="pct"/>
                  <w:tcBorders>
                    <w:tl2br w:val="nil"/>
                    <w:tr2bl w:val="nil"/>
                  </w:tcBorders>
                  <w:noWrap w:val="0"/>
                  <w:vAlign w:val="center"/>
                </w:tcPr>
                <w:p w14:paraId="3E46701A">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40.51</w:t>
                  </w:r>
                </w:p>
              </w:tc>
              <w:tc>
                <w:tcPr>
                  <w:tcW w:w="340" w:type="pct"/>
                  <w:vMerge w:val="continue"/>
                  <w:tcBorders>
                    <w:tl2br w:val="nil"/>
                    <w:tr2bl w:val="nil"/>
                  </w:tcBorders>
                  <w:noWrap w:val="0"/>
                  <w:vAlign w:val="center"/>
                </w:tcPr>
                <w:p w14:paraId="539254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olor w:val="auto"/>
                      <w:sz w:val="21"/>
                      <w:vertAlign w:val="baseline"/>
                      <w:lang w:val="en-US" w:eastAsia="zh-CN"/>
                    </w:rPr>
                  </w:pPr>
                </w:p>
              </w:tc>
              <w:tc>
                <w:tcPr>
                  <w:tcW w:w="419" w:type="pct"/>
                  <w:tcBorders>
                    <w:tl2br w:val="nil"/>
                    <w:tr2bl w:val="nil"/>
                  </w:tcBorders>
                  <w:noWrap w:val="0"/>
                  <w:vAlign w:val="center"/>
                </w:tcPr>
                <w:p w14:paraId="66F80A84">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olor w:val="auto"/>
                      <w:sz w:val="21"/>
                      <w:vertAlign w:val="baseline"/>
                      <w:lang w:val="en-US" w:eastAsia="zh-CN"/>
                    </w:rPr>
                  </w:pPr>
                  <w:r>
                    <w:rPr>
                      <w:rFonts w:hint="eastAsia"/>
                      <w:color w:val="auto"/>
                      <w:sz w:val="21"/>
                      <w:vertAlign w:val="baseline"/>
                      <w:lang w:val="en-US" w:eastAsia="zh-CN"/>
                    </w:rPr>
                    <w:t>达标</w:t>
                  </w:r>
                </w:p>
              </w:tc>
            </w:tr>
          </w:tbl>
          <w:p w14:paraId="16C80D3B">
            <w:pPr>
              <w:adjustRightInd w:val="0"/>
              <w:snapToGrid w:val="0"/>
              <w:spacing w:line="360" w:lineRule="auto"/>
              <w:ind w:firstLine="480" w:firstLineChars="200"/>
              <w:rPr>
                <w:rFonts w:hint="default"/>
                <w:b/>
                <w:color w:val="auto"/>
                <w:sz w:val="24"/>
                <w:lang w:val="en-US" w:eastAsia="zh-CN"/>
              </w:rPr>
            </w:pPr>
            <w:r>
              <w:rPr>
                <w:rFonts w:hint="default" w:ascii="Times New Roman" w:hAnsi="Times New Roman" w:eastAsia="宋体" w:cs="Times New Roman"/>
                <w:color w:val="auto"/>
                <w:sz w:val="24"/>
                <w:szCs w:val="24"/>
                <w:lang w:val="en-US" w:eastAsia="zh-CN"/>
              </w:rPr>
              <w:t>由预测结果表可知，生产设备噪声源采取隔声、基础减振等措施，其噪声可得到有效控制，加上建筑物阻隔和空间衰减等因素。项目建成运行后对周边</w:t>
            </w:r>
            <w:r>
              <w:rPr>
                <w:rFonts w:hint="eastAsia" w:ascii="Times New Roman" w:hAnsi="Times New Roman" w:eastAsia="宋体" w:cs="Times New Roman"/>
                <w:color w:val="auto"/>
                <w:sz w:val="24"/>
                <w:szCs w:val="24"/>
                <w:lang w:val="en-US" w:eastAsia="zh-CN"/>
              </w:rPr>
              <w:t>声环境</w:t>
            </w:r>
            <w:r>
              <w:rPr>
                <w:rFonts w:hint="default" w:ascii="Times New Roman" w:hAnsi="Times New Roman" w:eastAsia="宋体" w:cs="Times New Roman"/>
                <w:color w:val="auto"/>
                <w:sz w:val="24"/>
                <w:szCs w:val="24"/>
                <w:lang w:val="en-US" w:eastAsia="zh-CN"/>
              </w:rPr>
              <w:t>敏感点的噪声预测值均可达到《声环境质量标准》（GB3096-2008）</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类标准（昼间≤</w:t>
            </w:r>
            <w:r>
              <w:rPr>
                <w:rFonts w:hint="eastAsia" w:cs="Times New Roman"/>
                <w:color w:val="auto"/>
                <w:sz w:val="24"/>
                <w:szCs w:val="24"/>
                <w:lang w:val="en-US" w:eastAsia="zh-CN"/>
              </w:rPr>
              <w:t>55</w:t>
            </w:r>
            <w:r>
              <w:rPr>
                <w:rFonts w:hint="default" w:ascii="Times New Roman" w:hAnsi="Times New Roman" w:eastAsia="宋体" w:cs="Times New Roman"/>
                <w:color w:val="auto"/>
                <w:sz w:val="24"/>
                <w:szCs w:val="24"/>
                <w:lang w:val="en-US" w:eastAsia="zh-CN"/>
              </w:rPr>
              <w:t>dB(A)，夜间≤</w:t>
            </w:r>
            <w:r>
              <w:rPr>
                <w:rFonts w:hint="eastAsia" w:cs="Times New Roman"/>
                <w:color w:val="auto"/>
                <w:sz w:val="24"/>
                <w:szCs w:val="24"/>
                <w:lang w:val="en-US" w:eastAsia="zh-CN"/>
              </w:rPr>
              <w:t>45</w:t>
            </w:r>
            <w:r>
              <w:rPr>
                <w:rFonts w:hint="default" w:ascii="Times New Roman" w:hAnsi="Times New Roman" w:eastAsia="宋体" w:cs="Times New Roman"/>
                <w:color w:val="auto"/>
                <w:sz w:val="24"/>
                <w:szCs w:val="24"/>
                <w:lang w:val="en-US" w:eastAsia="zh-CN"/>
              </w:rPr>
              <w:t>dB(A)），不会改变该区域原有的声环境功能属性，项目正常的生产活动对周边敏感点影响不大。</w:t>
            </w:r>
          </w:p>
          <w:p w14:paraId="0813CE86">
            <w:pPr>
              <w:adjustRightInd w:val="0"/>
              <w:snapToGrid w:val="0"/>
              <w:spacing w:line="360" w:lineRule="auto"/>
              <w:ind w:firstLine="482" w:firstLineChars="200"/>
              <w:rPr>
                <w:b/>
                <w:color w:val="auto"/>
                <w:sz w:val="24"/>
              </w:rPr>
            </w:pPr>
            <w:r>
              <w:rPr>
                <w:rFonts w:hint="eastAsia"/>
                <w:b/>
                <w:color w:val="auto"/>
                <w:sz w:val="24"/>
                <w:lang w:val="en-US" w:eastAsia="zh-CN"/>
              </w:rPr>
              <w:t>5</w:t>
            </w:r>
            <w:r>
              <w:rPr>
                <w:b/>
                <w:color w:val="auto"/>
                <w:sz w:val="24"/>
              </w:rPr>
              <w:t>、噪声监测要求</w:t>
            </w:r>
          </w:p>
          <w:p w14:paraId="0450B532">
            <w:pPr>
              <w:adjustRightInd w:val="0"/>
              <w:snapToGrid w:val="0"/>
              <w:spacing w:line="360" w:lineRule="auto"/>
              <w:ind w:firstLine="480" w:firstLineChars="200"/>
              <w:rPr>
                <w:bCs/>
                <w:color w:val="auto"/>
                <w:sz w:val="24"/>
              </w:rPr>
            </w:pPr>
            <w:r>
              <w:rPr>
                <w:color w:val="auto"/>
                <w:sz w:val="24"/>
              </w:rPr>
              <w:t>根据《排污单位自行监测技术指南 总则》（HJ 819-2017），本项目噪声污染源监测计划见</w:t>
            </w:r>
            <w:r>
              <w:rPr>
                <w:rFonts w:hint="eastAsia"/>
                <w:color w:val="auto"/>
                <w:sz w:val="24"/>
                <w:lang w:val="en-US" w:eastAsia="zh-CN"/>
              </w:rPr>
              <w:t>下表</w:t>
            </w:r>
            <w:r>
              <w:rPr>
                <w:color w:val="auto"/>
                <w:sz w:val="24"/>
              </w:rPr>
              <w:t>。</w:t>
            </w:r>
          </w:p>
          <w:p w14:paraId="52D643B8">
            <w:pPr>
              <w:adjustRightInd w:val="0"/>
              <w:snapToGrid w:val="0"/>
              <w:jc w:val="center"/>
              <w:rPr>
                <w:b/>
                <w:bCs/>
                <w:color w:val="auto"/>
                <w:szCs w:val="21"/>
              </w:rPr>
            </w:pPr>
            <w:r>
              <w:rPr>
                <w:rFonts w:hint="eastAsia"/>
                <w:b/>
                <w:bCs/>
                <w:color w:val="auto"/>
                <w:szCs w:val="21"/>
              </w:rPr>
              <w:t>表4-</w:t>
            </w:r>
            <w:r>
              <w:rPr>
                <w:rFonts w:hint="eastAsia"/>
                <w:b/>
                <w:bCs/>
                <w:color w:val="auto"/>
                <w:szCs w:val="21"/>
                <w:lang w:val="en-US" w:eastAsia="zh-CN"/>
              </w:rPr>
              <w:t>14</w:t>
            </w:r>
            <w:r>
              <w:rPr>
                <w:rFonts w:hint="eastAsia"/>
                <w:b/>
                <w:bCs/>
                <w:color w:val="auto"/>
                <w:szCs w:val="21"/>
              </w:rPr>
              <w:t xml:space="preserve">  噪声监测计划一览表</w:t>
            </w:r>
          </w:p>
          <w:tbl>
            <w:tblPr>
              <w:tblStyle w:val="17"/>
              <w:tblW w:w="496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214"/>
              <w:gridCol w:w="1527"/>
              <w:gridCol w:w="4509"/>
            </w:tblGrid>
            <w:tr w14:paraId="0061F6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205" w:type="dxa"/>
                  <w:vAlign w:val="center"/>
                </w:tcPr>
                <w:p w14:paraId="0B3139FB">
                  <w:pPr>
                    <w:snapToGrid w:val="0"/>
                    <w:spacing w:line="240" w:lineRule="atLeast"/>
                    <w:jc w:val="center"/>
                    <w:rPr>
                      <w:rFonts w:cs="宋体"/>
                      <w:b/>
                      <w:bCs/>
                      <w:color w:val="auto"/>
                      <w:szCs w:val="21"/>
                    </w:rPr>
                  </w:pPr>
                  <w:r>
                    <w:rPr>
                      <w:rFonts w:hint="eastAsia" w:cs="宋体"/>
                      <w:b/>
                      <w:bCs/>
                      <w:color w:val="auto"/>
                      <w:szCs w:val="21"/>
                    </w:rPr>
                    <w:t>监测点位</w:t>
                  </w:r>
                </w:p>
              </w:tc>
              <w:tc>
                <w:tcPr>
                  <w:tcW w:w="1205" w:type="dxa"/>
                  <w:vAlign w:val="center"/>
                </w:tcPr>
                <w:p w14:paraId="4EE53C26">
                  <w:pPr>
                    <w:snapToGrid w:val="0"/>
                    <w:spacing w:line="240" w:lineRule="atLeast"/>
                    <w:jc w:val="center"/>
                    <w:rPr>
                      <w:rFonts w:cs="宋体"/>
                      <w:b/>
                      <w:bCs/>
                      <w:color w:val="auto"/>
                      <w:szCs w:val="21"/>
                    </w:rPr>
                  </w:pPr>
                  <w:r>
                    <w:rPr>
                      <w:rFonts w:hint="eastAsia" w:cs="宋体"/>
                      <w:b/>
                      <w:bCs/>
                      <w:color w:val="auto"/>
                      <w:szCs w:val="21"/>
                    </w:rPr>
                    <w:t>监测指标</w:t>
                  </w:r>
                </w:p>
              </w:tc>
              <w:tc>
                <w:tcPr>
                  <w:tcW w:w="1515" w:type="dxa"/>
                  <w:vAlign w:val="center"/>
                </w:tcPr>
                <w:p w14:paraId="44C572F7">
                  <w:pPr>
                    <w:snapToGrid w:val="0"/>
                    <w:spacing w:line="240" w:lineRule="atLeast"/>
                    <w:jc w:val="center"/>
                    <w:rPr>
                      <w:rFonts w:cs="宋体"/>
                      <w:b/>
                      <w:bCs/>
                      <w:color w:val="auto"/>
                      <w:szCs w:val="21"/>
                    </w:rPr>
                  </w:pPr>
                  <w:r>
                    <w:rPr>
                      <w:rFonts w:hint="eastAsia" w:cs="宋体"/>
                      <w:b/>
                      <w:bCs/>
                      <w:color w:val="auto"/>
                      <w:szCs w:val="21"/>
                    </w:rPr>
                    <w:t>监测频次</w:t>
                  </w:r>
                </w:p>
              </w:tc>
              <w:tc>
                <w:tcPr>
                  <w:tcW w:w="4474" w:type="dxa"/>
                  <w:vAlign w:val="center"/>
                </w:tcPr>
                <w:p w14:paraId="7ED9AD80">
                  <w:pPr>
                    <w:snapToGrid w:val="0"/>
                    <w:spacing w:line="240" w:lineRule="atLeast"/>
                    <w:jc w:val="center"/>
                    <w:rPr>
                      <w:rFonts w:cs="宋体"/>
                      <w:b/>
                      <w:bCs/>
                      <w:color w:val="auto"/>
                      <w:szCs w:val="21"/>
                    </w:rPr>
                  </w:pPr>
                  <w:r>
                    <w:rPr>
                      <w:rFonts w:hint="eastAsia" w:cs="宋体"/>
                      <w:b/>
                      <w:bCs/>
                      <w:color w:val="auto"/>
                      <w:szCs w:val="21"/>
                    </w:rPr>
                    <w:t>执行排放标准</w:t>
                  </w:r>
                </w:p>
              </w:tc>
            </w:tr>
            <w:tr w14:paraId="36487F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205" w:type="dxa"/>
                  <w:vAlign w:val="center"/>
                </w:tcPr>
                <w:p w14:paraId="63F886BE">
                  <w:pPr>
                    <w:snapToGrid w:val="0"/>
                    <w:spacing w:line="240" w:lineRule="atLeast"/>
                    <w:jc w:val="center"/>
                    <w:rPr>
                      <w:rFonts w:cs="宋体"/>
                      <w:b/>
                      <w:bCs/>
                      <w:color w:val="auto"/>
                      <w:szCs w:val="21"/>
                    </w:rPr>
                  </w:pPr>
                  <w:r>
                    <w:rPr>
                      <w:rFonts w:hint="eastAsia" w:cs="宋体"/>
                      <w:color w:val="auto"/>
                      <w:szCs w:val="21"/>
                    </w:rPr>
                    <w:t>厂界外1m</w:t>
                  </w:r>
                </w:p>
              </w:tc>
              <w:tc>
                <w:tcPr>
                  <w:tcW w:w="1205" w:type="dxa"/>
                  <w:vAlign w:val="center"/>
                </w:tcPr>
                <w:p w14:paraId="02E80A2A">
                  <w:pPr>
                    <w:snapToGrid w:val="0"/>
                    <w:spacing w:line="240" w:lineRule="atLeast"/>
                    <w:jc w:val="center"/>
                    <w:rPr>
                      <w:rFonts w:cs="宋体"/>
                      <w:color w:val="auto"/>
                      <w:szCs w:val="21"/>
                    </w:rPr>
                  </w:pPr>
                  <w:r>
                    <w:rPr>
                      <w:rFonts w:hint="eastAsia" w:cs="宋体"/>
                      <w:color w:val="auto"/>
                      <w:szCs w:val="21"/>
                    </w:rPr>
                    <w:t>噪声</w:t>
                  </w:r>
                </w:p>
              </w:tc>
              <w:tc>
                <w:tcPr>
                  <w:tcW w:w="1515" w:type="dxa"/>
                  <w:vAlign w:val="center"/>
                </w:tcPr>
                <w:p w14:paraId="22F05924">
                  <w:pPr>
                    <w:snapToGrid w:val="0"/>
                    <w:spacing w:line="240" w:lineRule="atLeast"/>
                    <w:jc w:val="center"/>
                    <w:rPr>
                      <w:rFonts w:cs="宋体"/>
                      <w:color w:val="auto"/>
                      <w:szCs w:val="21"/>
                    </w:rPr>
                  </w:pPr>
                  <w:r>
                    <w:rPr>
                      <w:rFonts w:hint="eastAsia" w:cs="宋体"/>
                      <w:color w:val="auto"/>
                      <w:szCs w:val="21"/>
                    </w:rPr>
                    <w:t>1</w:t>
                  </w:r>
                  <w:r>
                    <w:rPr>
                      <w:rFonts w:hint="eastAsia" w:cs="宋体"/>
                      <w:color w:val="auto"/>
                      <w:szCs w:val="21"/>
                      <w:lang w:val="en-US" w:eastAsia="zh-CN"/>
                    </w:rPr>
                    <w:t>次</w:t>
                  </w:r>
                  <w:r>
                    <w:rPr>
                      <w:rFonts w:hint="eastAsia" w:cs="宋体"/>
                      <w:color w:val="auto"/>
                      <w:szCs w:val="21"/>
                    </w:rPr>
                    <w:t>/</w:t>
                  </w:r>
                  <w:r>
                    <w:rPr>
                      <w:rFonts w:hint="eastAsia" w:cs="宋体"/>
                      <w:color w:val="auto"/>
                      <w:szCs w:val="21"/>
                      <w:lang w:val="en-US" w:eastAsia="zh-CN"/>
                    </w:rPr>
                    <w:t>季</w:t>
                  </w:r>
                  <w:r>
                    <w:rPr>
                      <w:rFonts w:hint="eastAsia" w:cs="宋体"/>
                      <w:color w:val="auto"/>
                      <w:szCs w:val="21"/>
                    </w:rPr>
                    <w:t>，昼夜各1次</w:t>
                  </w:r>
                </w:p>
              </w:tc>
              <w:tc>
                <w:tcPr>
                  <w:tcW w:w="4474" w:type="dxa"/>
                  <w:vAlign w:val="center"/>
                </w:tcPr>
                <w:p w14:paraId="59ACFAAD">
                  <w:pPr>
                    <w:snapToGrid w:val="0"/>
                    <w:spacing w:line="240" w:lineRule="atLeast"/>
                    <w:jc w:val="center"/>
                    <w:rPr>
                      <w:rFonts w:cs="宋体"/>
                      <w:color w:val="auto"/>
                      <w:szCs w:val="21"/>
                    </w:rPr>
                  </w:pPr>
                  <w:r>
                    <w:rPr>
                      <w:rFonts w:hint="eastAsia" w:cs="宋体"/>
                      <w:color w:val="auto"/>
                      <w:szCs w:val="21"/>
                    </w:rPr>
                    <w:t>执行《工业企业厂界环境噪声排放标准》（GB12348-2008）</w:t>
                  </w:r>
                  <w:r>
                    <w:rPr>
                      <w:rFonts w:hint="eastAsia" w:cs="宋体"/>
                      <w:color w:val="auto"/>
                      <w:szCs w:val="21"/>
                      <w:lang w:val="en-US" w:eastAsia="zh-CN"/>
                    </w:rPr>
                    <w:t>1</w:t>
                  </w:r>
                  <w:r>
                    <w:rPr>
                      <w:rFonts w:hint="eastAsia" w:cs="宋体"/>
                      <w:color w:val="auto"/>
                      <w:szCs w:val="21"/>
                    </w:rPr>
                    <w:t>类标准</w:t>
                  </w:r>
                </w:p>
              </w:tc>
            </w:tr>
          </w:tbl>
          <w:p w14:paraId="393F79DD">
            <w:pPr>
              <w:adjustRightInd w:val="0"/>
              <w:snapToGrid w:val="0"/>
              <w:spacing w:line="360" w:lineRule="auto"/>
              <w:ind w:firstLine="482" w:firstLineChars="200"/>
              <w:jc w:val="left"/>
              <w:rPr>
                <w:b/>
                <w:bCs/>
                <w:color w:val="auto"/>
                <w:sz w:val="24"/>
              </w:rPr>
            </w:pPr>
            <w:r>
              <w:rPr>
                <w:rFonts w:hint="eastAsia"/>
                <w:b/>
                <w:bCs/>
                <w:color w:val="auto"/>
                <w:sz w:val="24"/>
              </w:rPr>
              <w:t>四</w:t>
            </w:r>
            <w:r>
              <w:rPr>
                <w:b/>
                <w:bCs/>
                <w:color w:val="auto"/>
                <w:sz w:val="24"/>
              </w:rPr>
              <w:t>、</w:t>
            </w:r>
            <w:r>
              <w:rPr>
                <w:b/>
                <w:color w:val="auto"/>
                <w:sz w:val="24"/>
              </w:rPr>
              <w:t>固体废物</w:t>
            </w:r>
          </w:p>
          <w:p w14:paraId="30349E18">
            <w:pPr>
              <w:adjustRightInd w:val="0"/>
              <w:snapToGrid w:val="0"/>
              <w:spacing w:line="360" w:lineRule="auto"/>
              <w:ind w:firstLine="482" w:firstLineChars="200"/>
              <w:jc w:val="left"/>
              <w:rPr>
                <w:b/>
                <w:bCs/>
                <w:color w:val="auto"/>
                <w:sz w:val="24"/>
              </w:rPr>
            </w:pPr>
            <w:r>
              <w:rPr>
                <w:rFonts w:hint="eastAsia"/>
                <w:b/>
                <w:bCs/>
                <w:color w:val="auto"/>
                <w:sz w:val="24"/>
              </w:rPr>
              <w:t>1、固废产生情况</w:t>
            </w:r>
          </w:p>
          <w:p w14:paraId="6E4921B0">
            <w:pPr>
              <w:adjustRightInd w:val="0"/>
              <w:snapToGrid w:val="0"/>
              <w:spacing w:line="360" w:lineRule="auto"/>
              <w:ind w:firstLine="480" w:firstLineChars="200"/>
              <w:jc w:val="left"/>
              <w:rPr>
                <w:b/>
                <w:color w:val="auto"/>
                <w:sz w:val="24"/>
              </w:rPr>
            </w:pPr>
            <w:r>
              <w:rPr>
                <w:color w:val="auto"/>
                <w:sz w:val="24"/>
              </w:rPr>
              <w:t>本项目固体废物主要包括生活垃圾、</w:t>
            </w:r>
            <w:r>
              <w:rPr>
                <w:rFonts w:hint="eastAsia"/>
                <w:color w:val="auto"/>
                <w:sz w:val="24"/>
                <w:lang w:val="en-US" w:eastAsia="zh-CN"/>
              </w:rPr>
              <w:t>未污染的</w:t>
            </w:r>
            <w:r>
              <w:rPr>
                <w:rFonts w:hint="eastAsia"/>
                <w:color w:val="auto"/>
                <w:sz w:val="24"/>
              </w:rPr>
              <w:t>输液瓶袋、药品包装盒、</w:t>
            </w:r>
            <w:r>
              <w:rPr>
                <w:rFonts w:hint="eastAsia"/>
                <w:color w:val="auto"/>
                <w:sz w:val="24"/>
                <w:lang w:val="en-US" w:eastAsia="zh-CN"/>
              </w:rPr>
              <w:t>废中药渣、住院病房固废</w:t>
            </w:r>
            <w:r>
              <w:rPr>
                <w:color w:val="auto"/>
                <w:sz w:val="24"/>
              </w:rPr>
              <w:t>、</w:t>
            </w:r>
            <w:r>
              <w:rPr>
                <w:rFonts w:hint="eastAsia"/>
                <w:color w:val="auto"/>
                <w:sz w:val="24"/>
                <w:lang w:val="en-US" w:eastAsia="zh-CN"/>
              </w:rPr>
              <w:t>门诊医疗固废、检验固废、废紫外线灯管、</w:t>
            </w:r>
            <w:r>
              <w:rPr>
                <w:color w:val="auto"/>
                <w:sz w:val="24"/>
              </w:rPr>
              <w:t>污水处理设施污泥</w:t>
            </w:r>
            <w:r>
              <w:rPr>
                <w:rFonts w:hint="eastAsia"/>
                <w:color w:val="auto"/>
                <w:sz w:val="24"/>
                <w:lang w:eastAsia="zh-CN"/>
              </w:rPr>
              <w:t>、</w:t>
            </w:r>
            <w:r>
              <w:rPr>
                <w:rFonts w:hint="eastAsia"/>
                <w:color w:val="auto"/>
                <w:sz w:val="24"/>
                <w:lang w:val="en-US" w:eastAsia="zh-CN"/>
              </w:rPr>
              <w:t>废MBR膜</w:t>
            </w:r>
            <w:r>
              <w:rPr>
                <w:rFonts w:hint="eastAsia" w:eastAsia="宋体"/>
                <w:color w:val="auto"/>
                <w:sz w:val="24"/>
                <w:lang w:val="en-US" w:eastAsia="zh-CN"/>
              </w:rPr>
              <w:t>等</w:t>
            </w:r>
            <w:r>
              <w:rPr>
                <w:color w:val="auto"/>
                <w:sz w:val="24"/>
              </w:rPr>
              <w:t>。</w:t>
            </w:r>
          </w:p>
          <w:p w14:paraId="1868D28B">
            <w:pPr>
              <w:adjustRightInd w:val="0"/>
              <w:snapToGrid w:val="0"/>
              <w:spacing w:line="360" w:lineRule="auto"/>
              <w:ind w:firstLine="482" w:firstLineChars="200"/>
              <w:jc w:val="left"/>
              <w:rPr>
                <w:b/>
                <w:bCs/>
                <w:color w:val="auto"/>
                <w:sz w:val="24"/>
              </w:rPr>
            </w:pPr>
            <w:r>
              <w:rPr>
                <w:b/>
                <w:bCs/>
                <w:color w:val="auto"/>
                <w:sz w:val="24"/>
              </w:rPr>
              <w:t>（1）生活垃圾</w:t>
            </w:r>
          </w:p>
          <w:p w14:paraId="666597C3">
            <w:pPr>
              <w:adjustRightInd w:val="0"/>
              <w:snapToGrid w:val="0"/>
              <w:spacing w:line="360" w:lineRule="auto"/>
              <w:ind w:firstLine="480" w:firstLineChars="200"/>
              <w:jc w:val="left"/>
              <w:rPr>
                <w:color w:val="auto"/>
                <w:sz w:val="24"/>
              </w:rPr>
            </w:pPr>
            <w:r>
              <w:rPr>
                <w:rFonts w:hint="eastAsia"/>
                <w:color w:val="auto"/>
                <w:sz w:val="24"/>
              </w:rPr>
              <w:t>①门诊：门诊垃圾按每日每人次产生0.2</w:t>
            </w:r>
            <w:r>
              <w:rPr>
                <w:rFonts w:hint="eastAsia"/>
                <w:color w:val="auto"/>
                <w:sz w:val="24"/>
                <w:lang w:val="en-US" w:eastAsia="zh-CN"/>
              </w:rPr>
              <w:t xml:space="preserve"> </w:t>
            </w:r>
            <w:r>
              <w:rPr>
                <w:rFonts w:hint="eastAsia"/>
                <w:color w:val="auto"/>
                <w:sz w:val="24"/>
              </w:rPr>
              <w:t>kg计，每天门诊人数按</w:t>
            </w:r>
            <w:r>
              <w:rPr>
                <w:color w:val="auto"/>
                <w:sz w:val="24"/>
              </w:rPr>
              <w:t>25</w:t>
            </w:r>
            <w:r>
              <w:rPr>
                <w:rFonts w:hint="eastAsia"/>
                <w:color w:val="auto"/>
                <w:sz w:val="24"/>
              </w:rPr>
              <w:t>人计，生活垃圾产生量为</w:t>
            </w:r>
            <w:r>
              <w:rPr>
                <w:color w:val="auto"/>
                <w:sz w:val="24"/>
              </w:rPr>
              <w:t>5</w:t>
            </w:r>
            <w:r>
              <w:rPr>
                <w:rFonts w:hint="eastAsia"/>
                <w:color w:val="auto"/>
                <w:sz w:val="24"/>
              </w:rPr>
              <w:t>kg/d，</w:t>
            </w:r>
            <w:r>
              <w:rPr>
                <w:color w:val="auto"/>
                <w:sz w:val="24"/>
              </w:rPr>
              <w:t>1.825</w:t>
            </w:r>
            <w:r>
              <w:rPr>
                <w:rFonts w:hint="eastAsia"/>
                <w:color w:val="auto"/>
                <w:sz w:val="24"/>
              </w:rPr>
              <w:t>t/a；</w:t>
            </w:r>
          </w:p>
          <w:p w14:paraId="3DAB5568">
            <w:pPr>
              <w:adjustRightInd w:val="0"/>
              <w:snapToGrid w:val="0"/>
              <w:spacing w:line="360" w:lineRule="auto"/>
              <w:ind w:firstLine="480" w:firstLineChars="200"/>
              <w:rPr>
                <w:color w:val="auto"/>
                <w:sz w:val="24"/>
              </w:rPr>
            </w:pPr>
            <w:r>
              <w:rPr>
                <w:rFonts w:hint="eastAsia"/>
                <w:color w:val="auto"/>
                <w:sz w:val="24"/>
              </w:rPr>
              <w:t>②住院：全院设置20张病床，陪护人员按每床1人计，</w:t>
            </w:r>
            <w:r>
              <w:rPr>
                <w:rFonts w:hint="eastAsia"/>
                <w:color w:val="auto"/>
                <w:sz w:val="24"/>
                <w:lang w:val="en-US" w:eastAsia="zh-CN"/>
              </w:rPr>
              <w:t>共计40人，</w:t>
            </w:r>
            <w:r>
              <w:rPr>
                <w:rFonts w:hint="eastAsia"/>
                <w:color w:val="auto"/>
                <w:sz w:val="24"/>
              </w:rPr>
              <w:t>每日生活垃圾按0</w:t>
            </w:r>
            <w:r>
              <w:rPr>
                <w:color w:val="auto"/>
                <w:sz w:val="24"/>
              </w:rPr>
              <w:t>.5</w:t>
            </w:r>
            <w:r>
              <w:rPr>
                <w:rFonts w:hint="eastAsia"/>
                <w:color w:val="auto"/>
                <w:sz w:val="24"/>
              </w:rPr>
              <w:t>kg/d计算，则生活垃圾产生量为</w:t>
            </w:r>
            <w:r>
              <w:rPr>
                <w:rFonts w:hint="eastAsia"/>
                <w:color w:val="auto"/>
                <w:sz w:val="24"/>
                <w:lang w:val="en-US" w:eastAsia="zh-CN"/>
              </w:rPr>
              <w:t>20</w:t>
            </w:r>
            <w:r>
              <w:rPr>
                <w:rFonts w:hint="eastAsia"/>
                <w:color w:val="auto"/>
                <w:sz w:val="24"/>
              </w:rPr>
              <w:t>kg</w:t>
            </w:r>
            <w:r>
              <w:rPr>
                <w:color w:val="auto"/>
                <w:sz w:val="24"/>
              </w:rPr>
              <w:t>/</w:t>
            </w:r>
            <w:r>
              <w:rPr>
                <w:rFonts w:hint="eastAsia"/>
                <w:color w:val="auto"/>
                <w:sz w:val="24"/>
              </w:rPr>
              <w:t>d，</w:t>
            </w:r>
            <w:r>
              <w:rPr>
                <w:rFonts w:hint="eastAsia"/>
                <w:color w:val="auto"/>
                <w:sz w:val="24"/>
                <w:lang w:val="en-US" w:eastAsia="zh-CN"/>
              </w:rPr>
              <w:t>7.3</w:t>
            </w:r>
            <w:r>
              <w:rPr>
                <w:rFonts w:hint="eastAsia"/>
                <w:color w:val="auto"/>
                <w:sz w:val="24"/>
              </w:rPr>
              <w:t>t</w:t>
            </w:r>
            <w:r>
              <w:rPr>
                <w:color w:val="auto"/>
                <w:sz w:val="24"/>
              </w:rPr>
              <w:t>/</w:t>
            </w:r>
            <w:r>
              <w:rPr>
                <w:rFonts w:hint="eastAsia"/>
                <w:color w:val="auto"/>
                <w:sz w:val="24"/>
              </w:rPr>
              <w:t>a；</w:t>
            </w:r>
          </w:p>
          <w:p w14:paraId="2D23BE8F">
            <w:pPr>
              <w:adjustRightInd w:val="0"/>
              <w:snapToGrid w:val="0"/>
              <w:spacing w:line="360" w:lineRule="auto"/>
              <w:ind w:firstLine="480" w:firstLineChars="200"/>
              <w:jc w:val="left"/>
              <w:rPr>
                <w:color w:val="auto"/>
                <w:sz w:val="24"/>
              </w:rPr>
            </w:pPr>
            <w:r>
              <w:rPr>
                <w:rFonts w:hint="eastAsia"/>
                <w:color w:val="auto"/>
                <w:sz w:val="24"/>
              </w:rPr>
              <w:t>③医务人员：医院</w:t>
            </w:r>
            <w:r>
              <w:rPr>
                <w:rFonts w:hint="eastAsia"/>
                <w:color w:val="auto"/>
                <w:sz w:val="24"/>
                <w:lang w:val="en-US" w:eastAsia="zh-CN"/>
              </w:rPr>
              <w:t>工作</w:t>
            </w:r>
            <w:r>
              <w:rPr>
                <w:rFonts w:hint="eastAsia"/>
                <w:color w:val="auto"/>
                <w:sz w:val="24"/>
              </w:rPr>
              <w:t>人员为24人，每人每日产生生活垃圾按0</w:t>
            </w:r>
            <w:r>
              <w:rPr>
                <w:color w:val="auto"/>
                <w:sz w:val="24"/>
              </w:rPr>
              <w:t>.5</w:t>
            </w:r>
            <w:r>
              <w:rPr>
                <w:rFonts w:hint="eastAsia"/>
                <w:color w:val="auto"/>
                <w:sz w:val="24"/>
                <w:lang w:val="en-US" w:eastAsia="zh-CN"/>
              </w:rPr>
              <w:t xml:space="preserve"> </w:t>
            </w:r>
            <w:r>
              <w:rPr>
                <w:rFonts w:hint="eastAsia"/>
                <w:color w:val="auto"/>
                <w:sz w:val="24"/>
              </w:rPr>
              <w:t>kg计，则其生活垃圾产生量为12kg</w:t>
            </w:r>
            <w:r>
              <w:rPr>
                <w:color w:val="auto"/>
                <w:sz w:val="24"/>
              </w:rPr>
              <w:t>/</w:t>
            </w:r>
            <w:r>
              <w:rPr>
                <w:rFonts w:hint="eastAsia"/>
                <w:color w:val="auto"/>
                <w:sz w:val="24"/>
              </w:rPr>
              <w:t>d，4.38t</w:t>
            </w:r>
            <w:r>
              <w:rPr>
                <w:color w:val="auto"/>
                <w:sz w:val="24"/>
              </w:rPr>
              <w:t>/</w:t>
            </w:r>
            <w:r>
              <w:rPr>
                <w:rFonts w:hint="eastAsia"/>
                <w:color w:val="auto"/>
                <w:sz w:val="24"/>
              </w:rPr>
              <w:t>a。</w:t>
            </w:r>
          </w:p>
          <w:p w14:paraId="070C2B71">
            <w:pPr>
              <w:adjustRightInd w:val="0"/>
              <w:snapToGrid w:val="0"/>
              <w:spacing w:line="360" w:lineRule="auto"/>
              <w:ind w:firstLine="480" w:firstLineChars="200"/>
              <w:jc w:val="left"/>
              <w:rPr>
                <w:color w:val="auto"/>
                <w:sz w:val="24"/>
              </w:rPr>
            </w:pPr>
            <w:r>
              <w:rPr>
                <w:rFonts w:hint="eastAsia"/>
                <w:color w:val="auto"/>
                <w:sz w:val="24"/>
              </w:rPr>
              <w:t>处置方式：生活垃圾经垃圾箱收集后，委托当地环卫部门清运处置。</w:t>
            </w:r>
          </w:p>
          <w:p w14:paraId="70CF9BD8">
            <w:pPr>
              <w:adjustRightInd w:val="0"/>
              <w:snapToGrid w:val="0"/>
              <w:spacing w:line="360" w:lineRule="auto"/>
              <w:ind w:firstLine="480" w:firstLineChars="200"/>
              <w:jc w:val="left"/>
              <w:rPr>
                <w:color w:val="auto"/>
                <w:sz w:val="24"/>
              </w:rPr>
            </w:pPr>
            <w:r>
              <w:rPr>
                <w:rFonts w:hint="eastAsia"/>
                <w:color w:val="auto"/>
                <w:sz w:val="24"/>
              </w:rPr>
              <w:t>根据以上计算，项目最大生活垃圾产生量为</w:t>
            </w:r>
            <w:r>
              <w:rPr>
                <w:rFonts w:hint="eastAsia"/>
                <w:color w:val="auto"/>
                <w:sz w:val="24"/>
                <w:lang w:val="en-US" w:eastAsia="zh-CN"/>
              </w:rPr>
              <w:t xml:space="preserve">37 </w:t>
            </w:r>
            <w:r>
              <w:rPr>
                <w:rFonts w:hint="eastAsia"/>
                <w:color w:val="auto"/>
                <w:sz w:val="24"/>
              </w:rPr>
              <w:t>kg/d，</w:t>
            </w:r>
            <w:r>
              <w:rPr>
                <w:rFonts w:hint="eastAsia"/>
                <w:color w:val="auto"/>
                <w:sz w:val="24"/>
                <w:lang w:eastAsia="zh-CN"/>
              </w:rPr>
              <w:t>13.505</w:t>
            </w:r>
            <w:r>
              <w:rPr>
                <w:rFonts w:hint="eastAsia"/>
                <w:color w:val="auto"/>
                <w:sz w:val="24"/>
              </w:rPr>
              <w:t>/a。</w:t>
            </w:r>
          </w:p>
          <w:p w14:paraId="5AC2AF6D">
            <w:pPr>
              <w:adjustRightInd w:val="0"/>
              <w:snapToGrid w:val="0"/>
              <w:spacing w:line="360" w:lineRule="auto"/>
              <w:ind w:firstLine="482" w:firstLineChars="200"/>
              <w:jc w:val="left"/>
              <w:rPr>
                <w:b/>
                <w:bCs/>
                <w:color w:val="auto"/>
                <w:sz w:val="24"/>
              </w:rPr>
            </w:pPr>
            <w:r>
              <w:rPr>
                <w:rFonts w:hint="eastAsia"/>
                <w:b/>
                <w:bCs/>
                <w:color w:val="auto"/>
                <w:sz w:val="24"/>
              </w:rPr>
              <w:t>（2）一般废物</w:t>
            </w:r>
          </w:p>
          <w:p w14:paraId="7D8DE91D">
            <w:pPr>
              <w:adjustRightInd w:val="0"/>
              <w:snapToGrid w:val="0"/>
              <w:spacing w:line="360" w:lineRule="auto"/>
              <w:ind w:firstLine="480" w:firstLineChars="200"/>
              <w:jc w:val="left"/>
              <w:rPr>
                <w:color w:val="auto"/>
                <w:sz w:val="24"/>
              </w:rPr>
            </w:pPr>
            <w:r>
              <w:rPr>
                <w:rFonts w:hint="eastAsia"/>
                <w:color w:val="auto"/>
                <w:sz w:val="24"/>
              </w:rPr>
              <w:t>①</w:t>
            </w:r>
            <w:r>
              <w:rPr>
                <w:rFonts w:hint="eastAsia" w:ascii="Times New Roman" w:hAnsi="Times New Roman" w:eastAsia="宋体" w:cs="Times New Roman"/>
                <w:color w:val="auto"/>
                <w:sz w:val="24"/>
              </w:rPr>
              <w:t>未污染的</w:t>
            </w:r>
            <w:r>
              <w:rPr>
                <w:rFonts w:hint="eastAsia"/>
                <w:color w:val="auto"/>
                <w:sz w:val="24"/>
              </w:rPr>
              <w:t>输液瓶袋</w:t>
            </w:r>
          </w:p>
          <w:p w14:paraId="398EEE71">
            <w:pPr>
              <w:adjustRightInd w:val="0"/>
              <w:snapToGrid w:val="0"/>
              <w:spacing w:line="360" w:lineRule="auto"/>
              <w:ind w:firstLine="480" w:firstLineChars="200"/>
              <w:rPr>
                <w:color w:val="auto"/>
                <w:sz w:val="24"/>
              </w:rPr>
            </w:pPr>
            <w:r>
              <w:rPr>
                <w:rFonts w:hint="eastAsia"/>
                <w:color w:val="auto"/>
                <w:sz w:val="24"/>
              </w:rPr>
              <w:t>项目运营期会产生少量输液瓶（袋），产生量约0.08t/a，根据《关于在医疗机构推进生活垃圾分类管理的通知》（国卫办医发2017-30号）“对于未被患者血液、体液和排泄物等污染的输液瓶（袋），应当在其与输液管连接处去除输液管后单独集中回收、存放”等相关规定，本项目输液瓶（袋）收集后交由再生资源利用单位回收处理。</w:t>
            </w:r>
          </w:p>
          <w:p w14:paraId="6384759E">
            <w:pPr>
              <w:adjustRightInd w:val="0"/>
              <w:snapToGrid w:val="0"/>
              <w:spacing w:line="360" w:lineRule="auto"/>
              <w:ind w:firstLine="480" w:firstLineChars="200"/>
              <w:jc w:val="left"/>
              <w:rPr>
                <w:color w:val="auto"/>
                <w:sz w:val="24"/>
              </w:rPr>
            </w:pPr>
            <w:r>
              <w:rPr>
                <w:rFonts w:hint="eastAsia"/>
                <w:color w:val="auto"/>
                <w:sz w:val="24"/>
              </w:rPr>
              <w:t>②药品包装盒</w:t>
            </w:r>
          </w:p>
          <w:p w14:paraId="6D56F1B8">
            <w:pPr>
              <w:adjustRightInd w:val="0"/>
              <w:snapToGrid w:val="0"/>
              <w:spacing w:line="360" w:lineRule="auto"/>
              <w:ind w:firstLine="480" w:firstLineChars="200"/>
              <w:rPr>
                <w:color w:val="auto"/>
                <w:sz w:val="24"/>
              </w:rPr>
            </w:pPr>
            <w:r>
              <w:rPr>
                <w:rFonts w:hint="eastAsia"/>
                <w:color w:val="auto"/>
                <w:sz w:val="24"/>
              </w:rPr>
              <w:t>项目运营期会产生少量药品包装盒，产生量约0</w:t>
            </w:r>
            <w:r>
              <w:rPr>
                <w:color w:val="auto"/>
                <w:sz w:val="24"/>
              </w:rPr>
              <w:t>.01</w:t>
            </w:r>
            <w:r>
              <w:rPr>
                <w:rFonts w:hint="eastAsia"/>
                <w:color w:val="auto"/>
                <w:sz w:val="24"/>
              </w:rPr>
              <w:t>t</w:t>
            </w:r>
            <w:r>
              <w:rPr>
                <w:color w:val="auto"/>
                <w:sz w:val="24"/>
              </w:rPr>
              <w:t>/</w:t>
            </w:r>
            <w:r>
              <w:rPr>
                <w:rFonts w:hint="eastAsia"/>
                <w:color w:val="auto"/>
                <w:sz w:val="24"/>
              </w:rPr>
              <w:t>a，根据《关于在医疗机构推进生活垃圾分类管理的通知》（国卫办医发2017-30号）“对于塑料类包装袋、包装盒、包装箱，纸质外包装物，应当单独集中回收、存放”等相关规定，本项目药品包装盒收集后交由有关单位回收。</w:t>
            </w:r>
          </w:p>
          <w:p w14:paraId="11C07C1E">
            <w:pPr>
              <w:adjustRightInd w:val="0"/>
              <w:snapToGrid w:val="0"/>
              <w:spacing w:line="360" w:lineRule="auto"/>
              <w:ind w:firstLine="480" w:firstLineChars="200"/>
              <w:jc w:val="left"/>
              <w:rPr>
                <w:color w:val="auto"/>
                <w:sz w:val="24"/>
              </w:rPr>
            </w:pPr>
            <w:r>
              <w:rPr>
                <w:rFonts w:hint="eastAsia"/>
                <w:color w:val="auto"/>
                <w:sz w:val="24"/>
              </w:rPr>
              <w:t>③废中药渣</w:t>
            </w:r>
          </w:p>
          <w:p w14:paraId="0A1EE070">
            <w:pPr>
              <w:adjustRightInd w:val="0"/>
              <w:snapToGrid w:val="0"/>
              <w:spacing w:line="360" w:lineRule="auto"/>
              <w:ind w:firstLine="480" w:firstLineChars="200"/>
              <w:jc w:val="both"/>
              <w:rPr>
                <w:color w:val="auto"/>
                <w:sz w:val="24"/>
              </w:rPr>
            </w:pPr>
            <w:r>
              <w:rPr>
                <w:rFonts w:hint="eastAsia"/>
                <w:color w:val="auto"/>
                <w:sz w:val="24"/>
              </w:rPr>
              <w:t>本项目设1台中药煎药机和1个煎药壶，根据建设单位提供的资料，废药渣产生量约为0.06</w:t>
            </w:r>
            <w:r>
              <w:rPr>
                <w:color w:val="auto"/>
                <w:sz w:val="24"/>
              </w:rPr>
              <w:t>t/a</w:t>
            </w:r>
            <w:r>
              <w:rPr>
                <w:rFonts w:hint="eastAsia"/>
                <w:color w:val="auto"/>
                <w:sz w:val="24"/>
              </w:rPr>
              <w:t>。中药煎煮后的药液供病人服用，药渣主要成分为有机质、糖类和粗蛋白质等，对照《医疗废物管理条例》（国务院第</w:t>
            </w:r>
            <w:r>
              <w:rPr>
                <w:color w:val="auto"/>
                <w:sz w:val="24"/>
              </w:rPr>
              <w:t>380</w:t>
            </w:r>
            <w:r>
              <w:rPr>
                <w:rFonts w:hint="eastAsia"/>
                <w:color w:val="auto"/>
                <w:sz w:val="24"/>
              </w:rPr>
              <w:t>号令）、《医疗废物分类目录》（卫医发</w:t>
            </w:r>
            <w:r>
              <w:rPr>
                <w:color w:val="auto"/>
                <w:sz w:val="24"/>
              </w:rPr>
              <w:t>[2003]287</w:t>
            </w:r>
            <w:r>
              <w:rPr>
                <w:rFonts w:hint="eastAsia"/>
                <w:color w:val="auto"/>
                <w:sz w:val="24"/>
              </w:rPr>
              <w:t>号）以及《国家危险废物名录》（</w:t>
            </w:r>
            <w:r>
              <w:rPr>
                <w:color w:val="auto"/>
                <w:sz w:val="24"/>
              </w:rPr>
              <w:t>202</w:t>
            </w:r>
            <w:r>
              <w:rPr>
                <w:rFonts w:hint="eastAsia"/>
                <w:color w:val="auto"/>
                <w:sz w:val="24"/>
              </w:rPr>
              <w:t>4年版），中药煎煮后的残渣不属于危险废物，经过妥善收集后委托环卫部门定期清运。</w:t>
            </w:r>
          </w:p>
          <w:p w14:paraId="796AA66F">
            <w:pPr>
              <w:adjustRightInd w:val="0"/>
              <w:snapToGrid w:val="0"/>
              <w:spacing w:line="360" w:lineRule="auto"/>
              <w:ind w:firstLine="482" w:firstLineChars="200"/>
              <w:jc w:val="left"/>
              <w:rPr>
                <w:rFonts w:hint="default" w:eastAsia="宋体"/>
                <w:b/>
                <w:bCs/>
                <w:color w:val="auto"/>
                <w:sz w:val="24"/>
                <w:lang w:val="en-US" w:eastAsia="zh-CN"/>
              </w:rPr>
            </w:pPr>
            <w:r>
              <w:rPr>
                <w:rFonts w:hint="eastAsia"/>
                <w:b/>
                <w:bCs/>
                <w:color w:val="auto"/>
                <w:sz w:val="24"/>
              </w:rPr>
              <w:t>（3）</w:t>
            </w:r>
            <w:r>
              <w:rPr>
                <w:rFonts w:hint="eastAsia"/>
                <w:b/>
                <w:bCs/>
                <w:color w:val="auto"/>
                <w:sz w:val="24"/>
                <w:lang w:val="en-US" w:eastAsia="zh-CN"/>
              </w:rPr>
              <w:t>危险废物</w:t>
            </w:r>
          </w:p>
          <w:p w14:paraId="15FCBDB2">
            <w:pPr>
              <w:adjustRightInd w:val="0"/>
              <w:snapToGrid w:val="0"/>
              <w:spacing w:line="360" w:lineRule="auto"/>
              <w:ind w:firstLine="480" w:firstLineChars="200"/>
              <w:jc w:val="left"/>
              <w:rPr>
                <w:color w:val="auto"/>
                <w:sz w:val="24"/>
              </w:rPr>
            </w:pPr>
            <w:r>
              <w:rPr>
                <w:rFonts w:hint="eastAsia"/>
                <w:color w:val="auto"/>
                <w:sz w:val="24"/>
              </w:rPr>
              <w:t>本项目医疗固废主要包括感染性废物、药物性废物及化学性废物。项目区X射线数字成像系统等辐射检查过程，通过在电脑上查看病人片子，部分片子通过彩色打印机出片，不会产生辐射类胶片。</w:t>
            </w:r>
          </w:p>
          <w:p w14:paraId="6B016ECC">
            <w:pPr>
              <w:adjustRightInd w:val="0"/>
              <w:snapToGrid w:val="0"/>
              <w:spacing w:line="360" w:lineRule="auto"/>
              <w:ind w:firstLine="480" w:firstLineChars="200"/>
              <w:rPr>
                <w:color w:val="auto"/>
                <w:sz w:val="24"/>
              </w:rPr>
            </w:pPr>
            <w:r>
              <w:rPr>
                <w:rFonts w:hint="eastAsia"/>
                <w:color w:val="auto"/>
                <w:sz w:val="24"/>
              </w:rPr>
              <w:t>按照《国家危险废物名录》（2024年版），医疗废物属于“名录”所列的HW01类危险废物。根据《医疗废物管理条例》的相关规定，医疗卫生机构应当及时收集本单位产生的医疗废物，并按照类别分置于防渗漏、防锐器穿透的专用包装物或者密闭的容器内。医疗卫生机构应当建立医疗废物的暂时贮存设施、设备，不得露天存放医疗废物；医疗废物暂时贮存的时间不得超过2天。按照以上规定，项目区医疗废物使用符合《医疗废物管理条例》要求的容器分类收集、暂存于医疗废物暂存间，委托有危废处理资质单位清运处置。</w:t>
            </w:r>
          </w:p>
          <w:p w14:paraId="6DE599C6">
            <w:pPr>
              <w:adjustRightInd w:val="0"/>
              <w:snapToGrid w:val="0"/>
              <w:spacing w:line="360" w:lineRule="auto"/>
              <w:ind w:firstLine="480" w:firstLineChars="200"/>
              <w:jc w:val="left"/>
              <w:rPr>
                <w:color w:val="auto"/>
                <w:sz w:val="24"/>
              </w:rPr>
            </w:pPr>
            <w:r>
              <w:rPr>
                <w:rFonts w:hint="eastAsia"/>
                <w:color w:val="auto"/>
                <w:sz w:val="24"/>
              </w:rPr>
              <w:t>根据《国家危险废物名录》，医疗废物属于危险废物。根据《医疗废物分类目录》（2021 年版）对医疗废物进行了分类，本项目主要医疗废物如下表所示。</w:t>
            </w:r>
          </w:p>
          <w:p w14:paraId="36A68662">
            <w:pPr>
              <w:adjustRightInd w:val="0"/>
              <w:snapToGrid w:val="0"/>
              <w:jc w:val="center"/>
              <w:rPr>
                <w:b/>
                <w:bCs/>
                <w:color w:val="auto"/>
                <w:szCs w:val="21"/>
              </w:rPr>
            </w:pPr>
            <w:r>
              <w:rPr>
                <w:rFonts w:hint="eastAsia"/>
                <w:b/>
                <w:bCs/>
                <w:color w:val="auto"/>
                <w:szCs w:val="21"/>
              </w:rPr>
              <w:t>表4-1</w:t>
            </w:r>
            <w:r>
              <w:rPr>
                <w:rFonts w:hint="eastAsia"/>
                <w:b/>
                <w:bCs/>
                <w:color w:val="auto"/>
                <w:szCs w:val="21"/>
                <w:lang w:val="en-US" w:eastAsia="zh-CN"/>
              </w:rPr>
              <w:t>5</w:t>
            </w:r>
            <w:r>
              <w:rPr>
                <w:rFonts w:hint="eastAsia"/>
                <w:b/>
                <w:bCs/>
                <w:color w:val="auto"/>
                <w:szCs w:val="21"/>
              </w:rPr>
              <w:t xml:space="preserve">  医疗废物分类目录</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277"/>
              <w:gridCol w:w="1417"/>
              <w:gridCol w:w="1277"/>
              <w:gridCol w:w="3409"/>
            </w:tblGrid>
            <w:tr w14:paraId="4D3F9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34" w:type="dxa"/>
                  <w:tcBorders>
                    <w:top w:val="single" w:color="auto" w:sz="12" w:space="0"/>
                    <w:left w:val="nil"/>
                  </w:tcBorders>
                  <w:vAlign w:val="center"/>
                </w:tcPr>
                <w:p w14:paraId="7CE475DF">
                  <w:pPr>
                    <w:adjustRightInd w:val="0"/>
                    <w:snapToGrid w:val="0"/>
                    <w:jc w:val="center"/>
                    <w:rPr>
                      <w:rFonts w:cs="宋体"/>
                      <w:b/>
                      <w:bCs/>
                      <w:color w:val="auto"/>
                      <w:szCs w:val="21"/>
                    </w:rPr>
                  </w:pPr>
                  <w:r>
                    <w:rPr>
                      <w:rFonts w:hint="eastAsia" w:cs="宋体"/>
                      <w:b/>
                      <w:bCs/>
                      <w:color w:val="auto"/>
                      <w:szCs w:val="21"/>
                    </w:rPr>
                    <w:t>废物类别</w:t>
                  </w:r>
                </w:p>
              </w:tc>
              <w:tc>
                <w:tcPr>
                  <w:tcW w:w="1277" w:type="dxa"/>
                  <w:tcBorders>
                    <w:top w:val="single" w:color="auto" w:sz="12" w:space="0"/>
                    <w:left w:val="nil"/>
                  </w:tcBorders>
                  <w:vAlign w:val="center"/>
                </w:tcPr>
                <w:p w14:paraId="6A742E45">
                  <w:pPr>
                    <w:adjustRightInd w:val="0"/>
                    <w:snapToGrid w:val="0"/>
                    <w:jc w:val="center"/>
                    <w:rPr>
                      <w:rFonts w:cs="宋体"/>
                      <w:b/>
                      <w:bCs/>
                      <w:color w:val="auto"/>
                      <w:szCs w:val="21"/>
                    </w:rPr>
                  </w:pPr>
                  <w:r>
                    <w:rPr>
                      <w:rFonts w:hint="eastAsia" w:cs="宋体"/>
                      <w:b/>
                      <w:bCs/>
                      <w:color w:val="auto"/>
                      <w:szCs w:val="21"/>
                    </w:rPr>
                    <w:t>类别</w:t>
                  </w:r>
                </w:p>
              </w:tc>
              <w:tc>
                <w:tcPr>
                  <w:tcW w:w="1417" w:type="dxa"/>
                  <w:tcBorders>
                    <w:top w:val="single" w:color="auto" w:sz="12" w:space="0"/>
                  </w:tcBorders>
                  <w:vAlign w:val="center"/>
                </w:tcPr>
                <w:p w14:paraId="21AD2C79">
                  <w:pPr>
                    <w:adjustRightInd w:val="0"/>
                    <w:snapToGrid w:val="0"/>
                    <w:jc w:val="center"/>
                    <w:rPr>
                      <w:rFonts w:cs="宋体"/>
                      <w:b/>
                      <w:bCs/>
                      <w:color w:val="auto"/>
                      <w:szCs w:val="21"/>
                    </w:rPr>
                  </w:pPr>
                  <w:r>
                    <w:rPr>
                      <w:rFonts w:hint="eastAsia" w:cs="宋体"/>
                      <w:b/>
                      <w:bCs/>
                      <w:color w:val="auto"/>
                      <w:szCs w:val="21"/>
                    </w:rPr>
                    <w:t>废物代码</w:t>
                  </w:r>
                </w:p>
              </w:tc>
              <w:tc>
                <w:tcPr>
                  <w:tcW w:w="1277" w:type="dxa"/>
                  <w:tcBorders>
                    <w:top w:val="single" w:color="auto" w:sz="12" w:space="0"/>
                  </w:tcBorders>
                  <w:vAlign w:val="center"/>
                </w:tcPr>
                <w:p w14:paraId="4F871775">
                  <w:pPr>
                    <w:adjustRightInd w:val="0"/>
                    <w:snapToGrid w:val="0"/>
                    <w:jc w:val="center"/>
                    <w:rPr>
                      <w:rFonts w:cs="宋体"/>
                      <w:b/>
                      <w:bCs/>
                      <w:color w:val="auto"/>
                      <w:szCs w:val="21"/>
                    </w:rPr>
                  </w:pPr>
                  <w:r>
                    <w:rPr>
                      <w:rFonts w:hint="eastAsia" w:cs="宋体"/>
                      <w:b/>
                      <w:bCs/>
                      <w:color w:val="auto"/>
                      <w:szCs w:val="21"/>
                    </w:rPr>
                    <w:t>特征</w:t>
                  </w:r>
                </w:p>
              </w:tc>
              <w:tc>
                <w:tcPr>
                  <w:tcW w:w="3409" w:type="dxa"/>
                  <w:tcBorders>
                    <w:top w:val="single" w:color="auto" w:sz="12" w:space="0"/>
                    <w:right w:val="nil"/>
                  </w:tcBorders>
                  <w:vAlign w:val="center"/>
                </w:tcPr>
                <w:p w14:paraId="0147F65A">
                  <w:pPr>
                    <w:adjustRightInd w:val="0"/>
                    <w:snapToGrid w:val="0"/>
                    <w:jc w:val="center"/>
                    <w:rPr>
                      <w:rFonts w:cs="宋体"/>
                      <w:b/>
                      <w:bCs/>
                      <w:color w:val="auto"/>
                      <w:szCs w:val="21"/>
                    </w:rPr>
                  </w:pPr>
                  <w:r>
                    <w:rPr>
                      <w:rFonts w:hint="eastAsia" w:cs="宋体"/>
                      <w:b/>
                      <w:bCs/>
                      <w:color w:val="auto"/>
                      <w:szCs w:val="21"/>
                    </w:rPr>
                    <w:t>常见组分或者废物名称</w:t>
                  </w:r>
                </w:p>
              </w:tc>
            </w:tr>
            <w:tr w14:paraId="7C88D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6" w:hRule="atLeast"/>
                <w:jc w:val="center"/>
              </w:trPr>
              <w:tc>
                <w:tcPr>
                  <w:tcW w:w="1134" w:type="dxa"/>
                  <w:vMerge w:val="restart"/>
                  <w:tcBorders>
                    <w:left w:val="nil"/>
                  </w:tcBorders>
                  <w:vAlign w:val="center"/>
                </w:tcPr>
                <w:p w14:paraId="0393007F">
                  <w:pPr>
                    <w:adjustRightInd w:val="0"/>
                    <w:snapToGrid w:val="0"/>
                    <w:jc w:val="center"/>
                    <w:rPr>
                      <w:rFonts w:cs="宋体"/>
                      <w:color w:val="auto"/>
                      <w:szCs w:val="21"/>
                    </w:rPr>
                  </w:pPr>
                  <w:r>
                    <w:rPr>
                      <w:rFonts w:hint="eastAsia" w:cs="宋体"/>
                      <w:color w:val="auto"/>
                      <w:szCs w:val="21"/>
                    </w:rPr>
                    <w:t>H</w:t>
                  </w:r>
                  <w:r>
                    <w:rPr>
                      <w:rFonts w:cs="宋体"/>
                      <w:color w:val="auto"/>
                      <w:szCs w:val="21"/>
                    </w:rPr>
                    <w:t>W01</w:t>
                  </w:r>
                  <w:r>
                    <w:rPr>
                      <w:rFonts w:hint="eastAsia" w:cs="宋体"/>
                      <w:color w:val="auto"/>
                      <w:szCs w:val="21"/>
                    </w:rPr>
                    <w:t>医疗废物</w:t>
                  </w:r>
                </w:p>
              </w:tc>
              <w:tc>
                <w:tcPr>
                  <w:tcW w:w="1277" w:type="dxa"/>
                  <w:tcBorders>
                    <w:left w:val="nil"/>
                  </w:tcBorders>
                  <w:vAlign w:val="center"/>
                </w:tcPr>
                <w:p w14:paraId="1DB5C2A6">
                  <w:pPr>
                    <w:adjustRightInd w:val="0"/>
                    <w:snapToGrid w:val="0"/>
                    <w:jc w:val="center"/>
                    <w:rPr>
                      <w:rFonts w:cs="宋体"/>
                      <w:color w:val="auto"/>
                      <w:szCs w:val="21"/>
                    </w:rPr>
                  </w:pPr>
                  <w:r>
                    <w:rPr>
                      <w:rFonts w:hint="eastAsia" w:cs="宋体"/>
                      <w:color w:val="auto"/>
                      <w:szCs w:val="21"/>
                    </w:rPr>
                    <w:t>感染性废物</w:t>
                  </w:r>
                </w:p>
              </w:tc>
              <w:tc>
                <w:tcPr>
                  <w:tcW w:w="1417" w:type="dxa"/>
                  <w:vAlign w:val="center"/>
                </w:tcPr>
                <w:p w14:paraId="50FDBDB4">
                  <w:pPr>
                    <w:adjustRightInd w:val="0"/>
                    <w:snapToGrid w:val="0"/>
                    <w:jc w:val="center"/>
                    <w:rPr>
                      <w:rFonts w:cs="宋体"/>
                      <w:color w:val="auto"/>
                      <w:szCs w:val="21"/>
                    </w:rPr>
                  </w:pPr>
                  <w:r>
                    <w:rPr>
                      <w:rFonts w:cs="宋体"/>
                      <w:color w:val="auto"/>
                      <w:szCs w:val="21"/>
                    </w:rPr>
                    <w:t>841-001-01</w:t>
                  </w:r>
                </w:p>
              </w:tc>
              <w:tc>
                <w:tcPr>
                  <w:tcW w:w="1277" w:type="dxa"/>
                  <w:vAlign w:val="center"/>
                </w:tcPr>
                <w:p w14:paraId="5EDABD91">
                  <w:pPr>
                    <w:adjustRightInd w:val="0"/>
                    <w:snapToGrid w:val="0"/>
                    <w:jc w:val="center"/>
                    <w:rPr>
                      <w:rFonts w:cs="宋体"/>
                      <w:color w:val="auto"/>
                      <w:szCs w:val="21"/>
                    </w:rPr>
                  </w:pPr>
                  <w:r>
                    <w:rPr>
                      <w:rFonts w:hint="eastAsia" w:cs="宋体"/>
                      <w:color w:val="auto"/>
                      <w:szCs w:val="21"/>
                    </w:rPr>
                    <w:t>携带病原微生物，具有引发感染性疾病传播危险的医疗废物</w:t>
                  </w:r>
                </w:p>
              </w:tc>
              <w:tc>
                <w:tcPr>
                  <w:tcW w:w="3409" w:type="dxa"/>
                  <w:tcBorders>
                    <w:right w:val="nil"/>
                  </w:tcBorders>
                  <w:vAlign w:val="center"/>
                </w:tcPr>
                <w:p w14:paraId="799BCA1F">
                  <w:pPr>
                    <w:adjustRightInd w:val="0"/>
                    <w:snapToGrid w:val="0"/>
                    <w:jc w:val="left"/>
                    <w:rPr>
                      <w:rFonts w:cs="宋体"/>
                      <w:color w:val="auto"/>
                      <w:szCs w:val="21"/>
                    </w:rPr>
                  </w:pPr>
                  <w:r>
                    <w:rPr>
                      <w:rFonts w:hint="eastAsia" w:cs="宋体"/>
                      <w:color w:val="auto"/>
                      <w:szCs w:val="21"/>
                    </w:rPr>
                    <w:t>被病人血液、体液、排泄物污染的物品，包括：</w:t>
                  </w:r>
                </w:p>
                <w:p w14:paraId="560F8B3A">
                  <w:pPr>
                    <w:adjustRightInd w:val="0"/>
                    <w:snapToGrid w:val="0"/>
                    <w:jc w:val="left"/>
                    <w:rPr>
                      <w:rFonts w:cs="宋体"/>
                      <w:color w:val="auto"/>
                      <w:szCs w:val="21"/>
                    </w:rPr>
                  </w:pPr>
                  <w:r>
                    <w:rPr>
                      <w:rFonts w:hint="eastAsia" w:cs="宋体"/>
                      <w:color w:val="auto"/>
                      <w:szCs w:val="21"/>
                    </w:rPr>
                    <w:t>1、棉球、棉签、引流棉条、纱布及其他各种敷料；</w:t>
                  </w:r>
                </w:p>
                <w:p w14:paraId="4C88D043">
                  <w:pPr>
                    <w:adjustRightInd w:val="0"/>
                    <w:snapToGrid w:val="0"/>
                    <w:jc w:val="left"/>
                    <w:rPr>
                      <w:rFonts w:cs="宋体"/>
                      <w:color w:val="auto"/>
                      <w:szCs w:val="21"/>
                    </w:rPr>
                  </w:pPr>
                  <w:r>
                    <w:rPr>
                      <w:rFonts w:hint="eastAsia" w:cs="宋体"/>
                      <w:color w:val="auto"/>
                      <w:szCs w:val="21"/>
                    </w:rPr>
                    <w:t>2、一次性使用卫生用品、一次性使用医疗用品及一次性医疗器械；</w:t>
                  </w:r>
                </w:p>
                <w:p w14:paraId="7E59F7BC">
                  <w:pPr>
                    <w:adjustRightInd w:val="0"/>
                    <w:snapToGrid w:val="0"/>
                    <w:jc w:val="left"/>
                    <w:rPr>
                      <w:rFonts w:cs="宋体"/>
                      <w:color w:val="auto"/>
                      <w:szCs w:val="21"/>
                    </w:rPr>
                  </w:pPr>
                  <w:r>
                    <w:rPr>
                      <w:rFonts w:hint="eastAsia" w:cs="宋体"/>
                      <w:color w:val="auto"/>
                      <w:szCs w:val="21"/>
                    </w:rPr>
                    <w:t>3、废弃的被服；</w:t>
                  </w:r>
                </w:p>
                <w:p w14:paraId="0E545F9B">
                  <w:pPr>
                    <w:adjustRightInd w:val="0"/>
                    <w:snapToGrid w:val="0"/>
                    <w:jc w:val="left"/>
                    <w:rPr>
                      <w:rFonts w:cs="宋体"/>
                      <w:color w:val="auto"/>
                      <w:szCs w:val="21"/>
                    </w:rPr>
                  </w:pPr>
                  <w:r>
                    <w:rPr>
                      <w:rFonts w:hint="eastAsia" w:cs="宋体"/>
                      <w:color w:val="auto"/>
                      <w:szCs w:val="21"/>
                    </w:rPr>
                    <w:t>4、其他被病人血液、体液、排泄物污染的物品。</w:t>
                  </w:r>
                </w:p>
              </w:tc>
            </w:tr>
            <w:tr w14:paraId="4518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134" w:type="dxa"/>
                  <w:vMerge w:val="continue"/>
                  <w:tcBorders>
                    <w:left w:val="nil"/>
                  </w:tcBorders>
                  <w:vAlign w:val="center"/>
                </w:tcPr>
                <w:p w14:paraId="467E0514">
                  <w:pPr>
                    <w:adjustRightInd w:val="0"/>
                    <w:snapToGrid w:val="0"/>
                    <w:jc w:val="center"/>
                    <w:rPr>
                      <w:rFonts w:cs="宋体"/>
                      <w:color w:val="auto"/>
                      <w:szCs w:val="21"/>
                    </w:rPr>
                  </w:pPr>
                </w:p>
              </w:tc>
              <w:tc>
                <w:tcPr>
                  <w:tcW w:w="1277" w:type="dxa"/>
                  <w:tcBorders>
                    <w:left w:val="nil"/>
                  </w:tcBorders>
                  <w:vAlign w:val="center"/>
                </w:tcPr>
                <w:p w14:paraId="58FC0366">
                  <w:pPr>
                    <w:adjustRightInd w:val="0"/>
                    <w:snapToGrid w:val="0"/>
                    <w:jc w:val="center"/>
                    <w:rPr>
                      <w:rFonts w:cs="宋体"/>
                      <w:color w:val="auto"/>
                      <w:szCs w:val="21"/>
                    </w:rPr>
                  </w:pPr>
                  <w:r>
                    <w:rPr>
                      <w:rFonts w:hint="eastAsia" w:cs="宋体"/>
                      <w:color w:val="auto"/>
                      <w:szCs w:val="21"/>
                    </w:rPr>
                    <w:t>药物性废物</w:t>
                  </w:r>
                </w:p>
              </w:tc>
              <w:tc>
                <w:tcPr>
                  <w:tcW w:w="1417" w:type="dxa"/>
                  <w:vAlign w:val="center"/>
                </w:tcPr>
                <w:p w14:paraId="5BC47933">
                  <w:pPr>
                    <w:adjustRightInd w:val="0"/>
                    <w:snapToGrid w:val="0"/>
                    <w:jc w:val="center"/>
                    <w:rPr>
                      <w:rFonts w:cs="宋体"/>
                      <w:color w:val="auto"/>
                      <w:szCs w:val="21"/>
                    </w:rPr>
                  </w:pPr>
                  <w:r>
                    <w:rPr>
                      <w:rFonts w:cs="宋体"/>
                      <w:color w:val="auto"/>
                      <w:szCs w:val="21"/>
                    </w:rPr>
                    <w:t>841-00</w:t>
                  </w:r>
                  <w:r>
                    <w:rPr>
                      <w:rFonts w:hint="eastAsia" w:cs="宋体"/>
                      <w:color w:val="auto"/>
                      <w:szCs w:val="21"/>
                    </w:rPr>
                    <w:t>5</w:t>
                  </w:r>
                  <w:r>
                    <w:rPr>
                      <w:rFonts w:cs="宋体"/>
                      <w:color w:val="auto"/>
                      <w:szCs w:val="21"/>
                    </w:rPr>
                    <w:t>-01</w:t>
                  </w:r>
                </w:p>
              </w:tc>
              <w:tc>
                <w:tcPr>
                  <w:tcW w:w="1277" w:type="dxa"/>
                  <w:vAlign w:val="center"/>
                </w:tcPr>
                <w:p w14:paraId="43F9380A">
                  <w:pPr>
                    <w:adjustRightInd w:val="0"/>
                    <w:snapToGrid w:val="0"/>
                    <w:jc w:val="center"/>
                    <w:rPr>
                      <w:rFonts w:cs="宋体"/>
                      <w:color w:val="auto"/>
                      <w:szCs w:val="21"/>
                    </w:rPr>
                  </w:pPr>
                  <w:r>
                    <w:rPr>
                      <w:rFonts w:hint="eastAsia" w:cs="宋体"/>
                      <w:color w:val="auto"/>
                      <w:szCs w:val="21"/>
                    </w:rPr>
                    <w:t>药品</w:t>
                  </w:r>
                </w:p>
              </w:tc>
              <w:tc>
                <w:tcPr>
                  <w:tcW w:w="3409" w:type="dxa"/>
                  <w:tcBorders>
                    <w:right w:val="nil"/>
                  </w:tcBorders>
                  <w:vAlign w:val="center"/>
                </w:tcPr>
                <w:p w14:paraId="59C1D703">
                  <w:pPr>
                    <w:adjustRightInd w:val="0"/>
                    <w:snapToGrid w:val="0"/>
                    <w:jc w:val="center"/>
                    <w:rPr>
                      <w:rFonts w:cs="宋体"/>
                      <w:color w:val="auto"/>
                      <w:szCs w:val="21"/>
                    </w:rPr>
                  </w:pPr>
                  <w:r>
                    <w:rPr>
                      <w:rFonts w:hint="eastAsia" w:cs="宋体"/>
                      <w:color w:val="auto"/>
                      <w:szCs w:val="21"/>
                    </w:rPr>
                    <w:t>过期药品、药瓶。</w:t>
                  </w:r>
                </w:p>
              </w:tc>
            </w:tr>
            <w:tr w14:paraId="47FDA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134" w:type="dxa"/>
                  <w:vMerge w:val="continue"/>
                  <w:tcBorders>
                    <w:left w:val="nil"/>
                  </w:tcBorders>
                  <w:vAlign w:val="center"/>
                </w:tcPr>
                <w:p w14:paraId="73735ED7">
                  <w:pPr>
                    <w:adjustRightInd w:val="0"/>
                    <w:snapToGrid w:val="0"/>
                    <w:jc w:val="center"/>
                    <w:rPr>
                      <w:rFonts w:cs="宋体"/>
                      <w:color w:val="auto"/>
                      <w:szCs w:val="21"/>
                    </w:rPr>
                  </w:pPr>
                </w:p>
              </w:tc>
              <w:tc>
                <w:tcPr>
                  <w:tcW w:w="1277" w:type="dxa"/>
                  <w:tcBorders>
                    <w:left w:val="nil"/>
                  </w:tcBorders>
                  <w:vAlign w:val="center"/>
                </w:tcPr>
                <w:p w14:paraId="73F4E947">
                  <w:pPr>
                    <w:adjustRightInd w:val="0"/>
                    <w:snapToGrid w:val="0"/>
                    <w:jc w:val="center"/>
                    <w:rPr>
                      <w:rFonts w:cs="宋体"/>
                      <w:color w:val="auto"/>
                      <w:szCs w:val="21"/>
                    </w:rPr>
                  </w:pPr>
                  <w:r>
                    <w:rPr>
                      <w:rFonts w:hint="eastAsia" w:cs="宋体"/>
                      <w:color w:val="auto"/>
                      <w:szCs w:val="21"/>
                    </w:rPr>
                    <w:t>化学性废物</w:t>
                  </w:r>
                </w:p>
              </w:tc>
              <w:tc>
                <w:tcPr>
                  <w:tcW w:w="1417" w:type="dxa"/>
                  <w:vAlign w:val="center"/>
                </w:tcPr>
                <w:p w14:paraId="466A9924">
                  <w:pPr>
                    <w:adjustRightInd w:val="0"/>
                    <w:snapToGrid w:val="0"/>
                    <w:jc w:val="center"/>
                    <w:rPr>
                      <w:rFonts w:cs="宋体"/>
                      <w:color w:val="auto"/>
                      <w:szCs w:val="21"/>
                    </w:rPr>
                  </w:pPr>
                  <w:r>
                    <w:rPr>
                      <w:rFonts w:cs="宋体"/>
                      <w:color w:val="auto"/>
                      <w:szCs w:val="21"/>
                    </w:rPr>
                    <w:t>841-00</w:t>
                  </w:r>
                  <w:r>
                    <w:rPr>
                      <w:rFonts w:hint="eastAsia" w:cs="宋体"/>
                      <w:color w:val="auto"/>
                      <w:szCs w:val="21"/>
                    </w:rPr>
                    <w:t>4</w:t>
                  </w:r>
                  <w:r>
                    <w:rPr>
                      <w:rFonts w:cs="宋体"/>
                      <w:color w:val="auto"/>
                      <w:szCs w:val="21"/>
                    </w:rPr>
                    <w:t>-01</w:t>
                  </w:r>
                </w:p>
              </w:tc>
              <w:tc>
                <w:tcPr>
                  <w:tcW w:w="1277" w:type="dxa"/>
                  <w:vAlign w:val="center"/>
                </w:tcPr>
                <w:p w14:paraId="5D34825F">
                  <w:pPr>
                    <w:adjustRightInd w:val="0"/>
                    <w:snapToGrid w:val="0"/>
                    <w:jc w:val="center"/>
                    <w:rPr>
                      <w:rFonts w:cs="宋体"/>
                      <w:color w:val="auto"/>
                      <w:szCs w:val="21"/>
                    </w:rPr>
                  </w:pPr>
                  <w:r>
                    <w:rPr>
                      <w:rFonts w:hint="eastAsia" w:cs="宋体"/>
                      <w:color w:val="auto"/>
                      <w:szCs w:val="21"/>
                    </w:rPr>
                    <w:t>废液</w:t>
                  </w:r>
                </w:p>
              </w:tc>
              <w:tc>
                <w:tcPr>
                  <w:tcW w:w="3409" w:type="dxa"/>
                  <w:tcBorders>
                    <w:right w:val="nil"/>
                  </w:tcBorders>
                  <w:vAlign w:val="center"/>
                </w:tcPr>
                <w:p w14:paraId="7D367EC5">
                  <w:pPr>
                    <w:adjustRightInd w:val="0"/>
                    <w:snapToGrid w:val="0"/>
                    <w:jc w:val="center"/>
                    <w:rPr>
                      <w:rFonts w:cs="宋体"/>
                      <w:color w:val="auto"/>
                      <w:szCs w:val="21"/>
                    </w:rPr>
                  </w:pPr>
                  <w:r>
                    <w:rPr>
                      <w:rFonts w:hint="eastAsia" w:cs="宋体"/>
                      <w:color w:val="auto"/>
                      <w:szCs w:val="21"/>
                    </w:rPr>
                    <w:t>检验废液</w:t>
                  </w:r>
                </w:p>
              </w:tc>
            </w:tr>
            <w:tr w14:paraId="3FC00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4" w:type="dxa"/>
                  <w:tcBorders>
                    <w:left w:val="nil"/>
                    <w:bottom w:val="single" w:color="auto" w:sz="12" w:space="0"/>
                  </w:tcBorders>
                  <w:vAlign w:val="center"/>
                </w:tcPr>
                <w:p w14:paraId="22F5408F">
                  <w:pPr>
                    <w:adjustRightInd w:val="0"/>
                    <w:snapToGrid w:val="0"/>
                    <w:jc w:val="center"/>
                    <w:rPr>
                      <w:rFonts w:cs="宋体"/>
                      <w:color w:val="auto"/>
                      <w:szCs w:val="21"/>
                    </w:rPr>
                  </w:pPr>
                  <w:r>
                    <w:rPr>
                      <w:rFonts w:hint="eastAsia" w:cs="宋体"/>
                      <w:color w:val="auto"/>
                      <w:szCs w:val="21"/>
                    </w:rPr>
                    <w:t>H</w:t>
                  </w:r>
                  <w:r>
                    <w:rPr>
                      <w:rFonts w:cs="宋体"/>
                      <w:color w:val="auto"/>
                      <w:szCs w:val="21"/>
                    </w:rPr>
                    <w:t>W49</w:t>
                  </w:r>
                  <w:r>
                    <w:rPr>
                      <w:rFonts w:hint="eastAsia" w:cs="宋体"/>
                      <w:color w:val="auto"/>
                      <w:szCs w:val="21"/>
                    </w:rPr>
                    <w:t>其他废物</w:t>
                  </w:r>
                </w:p>
              </w:tc>
              <w:tc>
                <w:tcPr>
                  <w:tcW w:w="1277" w:type="dxa"/>
                  <w:tcBorders>
                    <w:left w:val="nil"/>
                    <w:bottom w:val="single" w:color="auto" w:sz="12" w:space="0"/>
                  </w:tcBorders>
                  <w:vAlign w:val="center"/>
                </w:tcPr>
                <w:p w14:paraId="236071FD">
                  <w:pPr>
                    <w:adjustRightInd w:val="0"/>
                    <w:snapToGrid w:val="0"/>
                    <w:jc w:val="center"/>
                    <w:rPr>
                      <w:rFonts w:cs="宋体"/>
                      <w:color w:val="auto"/>
                      <w:szCs w:val="21"/>
                    </w:rPr>
                  </w:pPr>
                  <w:r>
                    <w:rPr>
                      <w:rFonts w:hint="eastAsia" w:cs="宋体"/>
                      <w:color w:val="auto"/>
                      <w:szCs w:val="21"/>
                    </w:rPr>
                    <w:t>环境治理</w:t>
                  </w:r>
                </w:p>
              </w:tc>
              <w:tc>
                <w:tcPr>
                  <w:tcW w:w="1417" w:type="dxa"/>
                  <w:tcBorders>
                    <w:bottom w:val="single" w:color="auto" w:sz="12" w:space="0"/>
                  </w:tcBorders>
                  <w:vAlign w:val="center"/>
                </w:tcPr>
                <w:p w14:paraId="7B71926C">
                  <w:pPr>
                    <w:adjustRightInd w:val="0"/>
                    <w:snapToGrid w:val="0"/>
                    <w:jc w:val="center"/>
                    <w:rPr>
                      <w:rFonts w:cs="宋体"/>
                      <w:color w:val="auto"/>
                      <w:szCs w:val="21"/>
                    </w:rPr>
                  </w:pPr>
                  <w:r>
                    <w:rPr>
                      <w:rFonts w:cs="宋体"/>
                      <w:color w:val="auto"/>
                      <w:szCs w:val="21"/>
                    </w:rPr>
                    <w:t>772-006-49</w:t>
                  </w:r>
                </w:p>
              </w:tc>
              <w:tc>
                <w:tcPr>
                  <w:tcW w:w="1277" w:type="dxa"/>
                  <w:tcBorders>
                    <w:bottom w:val="single" w:color="auto" w:sz="12" w:space="0"/>
                  </w:tcBorders>
                  <w:vAlign w:val="center"/>
                </w:tcPr>
                <w:p w14:paraId="1048D361">
                  <w:pPr>
                    <w:adjustRightInd w:val="0"/>
                    <w:snapToGrid w:val="0"/>
                    <w:jc w:val="both"/>
                    <w:rPr>
                      <w:rFonts w:hint="default" w:eastAsia="宋体" w:cs="宋体"/>
                      <w:color w:val="auto"/>
                      <w:szCs w:val="21"/>
                      <w:lang w:val="en-US" w:eastAsia="zh-CN"/>
                    </w:rPr>
                  </w:pPr>
                  <w:r>
                    <w:rPr>
                      <w:rFonts w:hint="eastAsia" w:cs="宋体"/>
                      <w:color w:val="auto"/>
                      <w:szCs w:val="21"/>
                      <w:lang w:val="en-US" w:eastAsia="zh-CN"/>
                    </w:rPr>
                    <w:t>化粪池和</w:t>
                  </w:r>
                  <w:r>
                    <w:rPr>
                      <w:rFonts w:hint="eastAsia" w:cs="宋体"/>
                      <w:color w:val="auto"/>
                      <w:szCs w:val="21"/>
                    </w:rPr>
                    <w:t>污水处理站污泥、废紫外线灯管</w:t>
                  </w:r>
                  <w:r>
                    <w:rPr>
                      <w:rFonts w:hint="eastAsia" w:cs="宋体"/>
                      <w:color w:val="auto"/>
                      <w:szCs w:val="21"/>
                      <w:lang w:eastAsia="zh-CN"/>
                    </w:rPr>
                    <w:t>、</w:t>
                  </w:r>
                  <w:r>
                    <w:rPr>
                      <w:rFonts w:hint="eastAsia" w:cs="宋体"/>
                      <w:color w:val="auto"/>
                      <w:szCs w:val="21"/>
                      <w:lang w:val="en-US" w:eastAsia="zh-CN"/>
                    </w:rPr>
                    <w:t>MBR膜</w:t>
                  </w:r>
                </w:p>
              </w:tc>
              <w:tc>
                <w:tcPr>
                  <w:tcW w:w="3409" w:type="dxa"/>
                  <w:tcBorders>
                    <w:bottom w:val="single" w:color="auto" w:sz="12" w:space="0"/>
                    <w:right w:val="nil"/>
                  </w:tcBorders>
                  <w:vAlign w:val="center"/>
                </w:tcPr>
                <w:p w14:paraId="2B15E032">
                  <w:pPr>
                    <w:adjustRightInd w:val="0"/>
                    <w:snapToGrid w:val="0"/>
                    <w:jc w:val="left"/>
                    <w:rPr>
                      <w:rFonts w:cs="宋体"/>
                      <w:color w:val="auto"/>
                      <w:szCs w:val="21"/>
                    </w:rPr>
                  </w:pPr>
                  <w:r>
                    <w:rPr>
                      <w:rFonts w:hint="eastAsia" w:cs="宋体"/>
                      <w:color w:val="auto"/>
                      <w:szCs w:val="21"/>
                    </w:rPr>
                    <w:t>采用物理、化学、物理化学或生物方法处理或处置毒性或感染性危险废物过程中产生的废水处理污泥</w:t>
                  </w:r>
                </w:p>
              </w:tc>
            </w:tr>
          </w:tbl>
          <w:p w14:paraId="217B05BF">
            <w:pPr>
              <w:adjustRightInd w:val="0"/>
              <w:snapToGrid w:val="0"/>
              <w:spacing w:line="360" w:lineRule="auto"/>
              <w:ind w:firstLine="482" w:firstLineChars="200"/>
              <w:jc w:val="left"/>
              <w:rPr>
                <w:b/>
                <w:bCs/>
                <w:color w:val="auto"/>
                <w:sz w:val="24"/>
              </w:rPr>
            </w:pPr>
            <w:r>
              <w:rPr>
                <w:rFonts w:hint="eastAsia"/>
                <w:b/>
                <w:bCs/>
                <w:color w:val="auto"/>
                <w:sz w:val="24"/>
                <w:lang w:val="en-US" w:eastAsia="zh-CN"/>
              </w:rPr>
              <w:t>①</w:t>
            </w:r>
            <w:r>
              <w:rPr>
                <w:rFonts w:hint="eastAsia"/>
                <w:b/>
                <w:bCs/>
                <w:color w:val="auto"/>
                <w:sz w:val="24"/>
              </w:rPr>
              <w:t>住院病房</w:t>
            </w:r>
          </w:p>
          <w:p w14:paraId="3FBED698">
            <w:pPr>
              <w:adjustRightInd w:val="0"/>
              <w:snapToGrid w:val="0"/>
              <w:spacing w:line="360" w:lineRule="auto"/>
              <w:ind w:firstLine="480" w:firstLineChars="200"/>
              <w:jc w:val="left"/>
              <w:rPr>
                <w:color w:val="auto"/>
                <w:sz w:val="24"/>
              </w:rPr>
            </w:pPr>
            <w:r>
              <w:rPr>
                <w:rFonts w:hint="eastAsia"/>
                <w:color w:val="auto"/>
                <w:sz w:val="24"/>
              </w:rPr>
              <w:t>全院共设置20张病床，日常主要是进行住院、输液、观察等治疗，产生的医疗固废主要为带有病人血液、体液的感染性医废和输液产生的输液管损伤性医废。根据《污染防治技术》（第16卷第3期）中“医院固体废弃物排放系数和产生量的测算”，病床≥20床，医废产生系数为170-190kg/床·年，本环评取180kg/床·年，医废产生量为3.6t/a。</w:t>
            </w:r>
          </w:p>
          <w:p w14:paraId="5E372EB4">
            <w:pPr>
              <w:adjustRightInd w:val="0"/>
              <w:snapToGrid w:val="0"/>
              <w:spacing w:line="360" w:lineRule="auto"/>
              <w:ind w:firstLine="480" w:firstLineChars="200"/>
              <w:rPr>
                <w:color w:val="auto"/>
                <w:sz w:val="24"/>
              </w:rPr>
            </w:pPr>
            <w:r>
              <w:rPr>
                <w:rFonts w:hint="eastAsia"/>
                <w:color w:val="auto"/>
                <w:sz w:val="24"/>
              </w:rPr>
              <w:t>收集方式：项目在住院病房内设医疗废物收集桶，在住院病房设置1个约250L的医疗废物收集桶，病人输液、打针产生的医废由护士带走放置到配液室医疗废物收集桶中，分类收集包装，由专人清运至项目医废暂存间存放，委托有危废处理资质单位清运处置。</w:t>
            </w:r>
          </w:p>
          <w:p w14:paraId="4B0553AA">
            <w:pPr>
              <w:adjustRightInd w:val="0"/>
              <w:snapToGrid w:val="0"/>
              <w:spacing w:line="360" w:lineRule="auto"/>
              <w:ind w:firstLine="482" w:firstLineChars="200"/>
              <w:jc w:val="left"/>
              <w:rPr>
                <w:b/>
                <w:bCs/>
                <w:color w:val="auto"/>
                <w:sz w:val="24"/>
              </w:rPr>
            </w:pPr>
            <w:r>
              <w:rPr>
                <w:rFonts w:hint="eastAsia"/>
                <w:b/>
                <w:bCs/>
                <w:color w:val="auto"/>
                <w:sz w:val="24"/>
                <w:lang w:val="en-US" w:eastAsia="zh-CN"/>
              </w:rPr>
              <w:t>②</w:t>
            </w:r>
            <w:r>
              <w:rPr>
                <w:rFonts w:hint="eastAsia"/>
                <w:b/>
                <w:bCs/>
                <w:color w:val="auto"/>
                <w:sz w:val="24"/>
              </w:rPr>
              <w:t>门诊医疗固废</w:t>
            </w:r>
          </w:p>
          <w:p w14:paraId="5CE76575">
            <w:pPr>
              <w:adjustRightInd w:val="0"/>
              <w:snapToGrid w:val="0"/>
              <w:spacing w:line="360" w:lineRule="auto"/>
              <w:ind w:firstLine="480" w:firstLineChars="200"/>
              <w:jc w:val="left"/>
              <w:rPr>
                <w:color w:val="auto"/>
                <w:sz w:val="24"/>
              </w:rPr>
            </w:pPr>
            <w:r>
              <w:rPr>
                <w:rFonts w:hint="eastAsia"/>
                <w:color w:val="auto"/>
                <w:sz w:val="24"/>
              </w:rPr>
              <w:t>根据建设单位以往实际门诊、预防接种医疗固废产生情况，门诊医疗固废产生量大约</w:t>
            </w:r>
            <w:r>
              <w:rPr>
                <w:rFonts w:hint="eastAsia"/>
                <w:color w:val="auto"/>
                <w:sz w:val="24"/>
                <w:lang w:val="en-US" w:eastAsia="zh-CN"/>
              </w:rPr>
              <w:t>2.5</w:t>
            </w:r>
            <w:r>
              <w:rPr>
                <w:rFonts w:hint="eastAsia"/>
                <w:color w:val="auto"/>
                <w:sz w:val="24"/>
              </w:rPr>
              <w:t>kg/d，</w:t>
            </w:r>
            <w:r>
              <w:rPr>
                <w:rFonts w:hint="eastAsia"/>
                <w:color w:val="auto"/>
                <w:sz w:val="24"/>
                <w:lang w:val="en-US" w:eastAsia="zh-CN"/>
              </w:rPr>
              <w:t>0.9125</w:t>
            </w:r>
            <w:r>
              <w:rPr>
                <w:rFonts w:hint="eastAsia"/>
                <w:color w:val="auto"/>
                <w:sz w:val="24"/>
              </w:rPr>
              <w:t>t/a，分类收集包装，由专人清运至项目医废暂存间存放。最终委托有危废处理资质单位清运处置。</w:t>
            </w:r>
          </w:p>
          <w:p w14:paraId="31440AE8">
            <w:pPr>
              <w:adjustRightInd w:val="0"/>
              <w:snapToGrid w:val="0"/>
              <w:spacing w:line="360" w:lineRule="auto"/>
              <w:ind w:firstLine="482" w:firstLineChars="200"/>
              <w:jc w:val="left"/>
              <w:rPr>
                <w:rFonts w:hint="eastAsia" w:eastAsia="宋体"/>
                <w:b/>
                <w:bCs/>
                <w:color w:val="auto"/>
                <w:sz w:val="24"/>
                <w:lang w:eastAsia="zh-CN"/>
              </w:rPr>
            </w:pPr>
            <w:r>
              <w:rPr>
                <w:rFonts w:hint="eastAsia"/>
                <w:b/>
                <w:bCs/>
                <w:color w:val="auto"/>
                <w:sz w:val="24"/>
                <w:lang w:val="en-US" w:eastAsia="zh-CN"/>
              </w:rPr>
              <w:t>③</w:t>
            </w:r>
            <w:r>
              <w:rPr>
                <w:rFonts w:hint="eastAsia"/>
                <w:b/>
                <w:bCs/>
                <w:color w:val="auto"/>
                <w:sz w:val="24"/>
              </w:rPr>
              <w:t>检验</w:t>
            </w:r>
            <w:r>
              <w:rPr>
                <w:rFonts w:hint="eastAsia"/>
                <w:b/>
                <w:bCs/>
                <w:color w:val="auto"/>
                <w:sz w:val="24"/>
                <w:lang w:val="en-US" w:eastAsia="zh-CN"/>
              </w:rPr>
              <w:t>固废</w:t>
            </w:r>
          </w:p>
          <w:p w14:paraId="6EDEAF0A">
            <w:pPr>
              <w:adjustRightInd w:val="0"/>
              <w:snapToGrid w:val="0"/>
              <w:spacing w:line="360" w:lineRule="auto"/>
              <w:ind w:firstLine="480" w:firstLineChars="200"/>
              <w:jc w:val="left"/>
              <w:rPr>
                <w:color w:val="auto"/>
                <w:sz w:val="24"/>
              </w:rPr>
            </w:pPr>
            <w:r>
              <w:rPr>
                <w:rFonts w:hint="eastAsia"/>
                <w:color w:val="auto"/>
                <w:sz w:val="24"/>
              </w:rPr>
              <w:t>医学检验科检验过程中产生的</w:t>
            </w:r>
            <w:r>
              <w:rPr>
                <w:rFonts w:hint="eastAsia"/>
                <w:color w:val="auto"/>
                <w:sz w:val="24"/>
                <w:lang w:val="en-US" w:eastAsia="zh-CN"/>
              </w:rPr>
              <w:t>废检验试剂材料</w:t>
            </w:r>
            <w:r>
              <w:rPr>
                <w:rFonts w:hint="eastAsia"/>
                <w:color w:val="auto"/>
                <w:sz w:val="24"/>
              </w:rPr>
              <w:t>约为</w:t>
            </w:r>
            <w:r>
              <w:rPr>
                <w:rFonts w:hint="eastAsia"/>
                <w:color w:val="auto"/>
                <w:sz w:val="24"/>
                <w:lang w:val="en-US" w:eastAsia="zh-CN"/>
              </w:rPr>
              <w:t>0.8</w:t>
            </w:r>
            <w:r>
              <w:rPr>
                <w:rFonts w:hint="eastAsia"/>
                <w:color w:val="auto"/>
                <w:sz w:val="24"/>
              </w:rPr>
              <w:t>kg/d、0.</w:t>
            </w:r>
            <w:r>
              <w:rPr>
                <w:rFonts w:hint="eastAsia"/>
                <w:color w:val="auto"/>
                <w:sz w:val="24"/>
                <w:lang w:val="en-US" w:eastAsia="zh-CN"/>
              </w:rPr>
              <w:t>292</w:t>
            </w:r>
            <w:r>
              <w:rPr>
                <w:rFonts w:hint="eastAsia"/>
                <w:color w:val="auto"/>
                <w:sz w:val="24"/>
              </w:rPr>
              <w:t>t/a，属于危险废物。项目将这类</w:t>
            </w:r>
            <w:r>
              <w:rPr>
                <w:rFonts w:hint="eastAsia"/>
                <w:color w:val="auto"/>
                <w:sz w:val="24"/>
                <w:lang w:val="en-US" w:eastAsia="zh-CN"/>
              </w:rPr>
              <w:t>固废</w:t>
            </w:r>
            <w:r>
              <w:rPr>
                <w:rFonts w:hint="eastAsia"/>
                <w:color w:val="auto"/>
                <w:sz w:val="24"/>
              </w:rPr>
              <w:t>通过专用容器分类收集，贴上危险废物的标签，于项目所设置的</w:t>
            </w:r>
            <w:r>
              <w:rPr>
                <w:rFonts w:hint="eastAsia"/>
                <w:color w:val="auto"/>
                <w:sz w:val="24"/>
                <w:lang w:val="en-US" w:eastAsia="zh-CN"/>
              </w:rPr>
              <w:t>医疗废物</w:t>
            </w:r>
            <w:r>
              <w:rPr>
                <w:rFonts w:hint="eastAsia"/>
                <w:color w:val="auto"/>
                <w:sz w:val="24"/>
              </w:rPr>
              <w:t>暂存间内分类存放，委托有危废处理资质单位清运处置。</w:t>
            </w:r>
          </w:p>
          <w:p w14:paraId="77680302">
            <w:pPr>
              <w:adjustRightInd w:val="0"/>
              <w:snapToGrid w:val="0"/>
              <w:spacing w:line="360" w:lineRule="auto"/>
              <w:ind w:firstLine="482" w:firstLineChars="200"/>
              <w:jc w:val="left"/>
              <w:rPr>
                <w:b/>
                <w:bCs/>
                <w:color w:val="auto"/>
                <w:sz w:val="24"/>
              </w:rPr>
            </w:pPr>
            <w:r>
              <w:rPr>
                <w:rFonts w:hint="eastAsia"/>
                <w:b/>
                <w:bCs/>
                <w:color w:val="auto"/>
                <w:sz w:val="24"/>
                <w:lang w:val="en-US" w:eastAsia="zh-CN"/>
              </w:rPr>
              <w:t>④</w:t>
            </w:r>
            <w:r>
              <w:rPr>
                <w:rFonts w:hint="eastAsia"/>
                <w:b/>
                <w:bCs/>
                <w:color w:val="auto"/>
                <w:sz w:val="24"/>
              </w:rPr>
              <w:t>废紫外线灯管</w:t>
            </w:r>
          </w:p>
          <w:p w14:paraId="5734E4C4">
            <w:pPr>
              <w:adjustRightInd w:val="0"/>
              <w:snapToGrid w:val="0"/>
              <w:spacing w:line="360" w:lineRule="auto"/>
              <w:ind w:firstLine="480" w:firstLineChars="200"/>
              <w:rPr>
                <w:color w:val="auto"/>
                <w:sz w:val="24"/>
              </w:rPr>
            </w:pPr>
            <w:r>
              <w:rPr>
                <w:rFonts w:hint="eastAsia"/>
                <w:color w:val="auto"/>
                <w:sz w:val="24"/>
              </w:rPr>
              <w:t>医废暂存间内设置紫外线灯消毒，紫外线灯管需定期更换，属于</w:t>
            </w:r>
            <w:r>
              <w:rPr>
                <w:rFonts w:hint="eastAsia"/>
                <w:color w:val="auto"/>
                <w:sz w:val="24"/>
                <w:lang w:val="en-US" w:eastAsia="zh-CN"/>
              </w:rPr>
              <w:t>危险废物</w:t>
            </w:r>
            <w:r>
              <w:rPr>
                <w:rFonts w:hint="eastAsia"/>
                <w:color w:val="auto"/>
                <w:sz w:val="24"/>
              </w:rPr>
              <w:t>，每半年更换一次，年产生量为0.006t/a。通过专用容器分类收集，贴上危险废物的标签，在项目所设置的医废暂存间内分类存放，委托有资质单位收集处置。</w:t>
            </w:r>
          </w:p>
          <w:p w14:paraId="710E34A9">
            <w:pPr>
              <w:adjustRightInd w:val="0"/>
              <w:snapToGrid w:val="0"/>
              <w:spacing w:line="360" w:lineRule="auto"/>
              <w:ind w:firstLine="480" w:firstLineChars="200"/>
              <w:rPr>
                <w:color w:val="auto"/>
                <w:sz w:val="24"/>
              </w:rPr>
            </w:pPr>
            <w:r>
              <w:rPr>
                <w:rFonts w:hint="eastAsia"/>
                <w:color w:val="auto"/>
                <w:sz w:val="24"/>
              </w:rPr>
              <w:t>医废暂存间位于医技楼西侧，建筑面积</w:t>
            </w:r>
            <w:r>
              <w:rPr>
                <w:rFonts w:hint="eastAsia"/>
                <w:color w:val="auto"/>
                <w:sz w:val="24"/>
                <w:lang w:val="en-US" w:eastAsia="zh-CN"/>
              </w:rPr>
              <w:t>约39.4</w:t>
            </w:r>
            <w:r>
              <w:rPr>
                <w:rFonts w:hint="eastAsia"/>
                <w:color w:val="auto"/>
                <w:sz w:val="24"/>
              </w:rPr>
              <w:t>m</w:t>
            </w:r>
            <w:r>
              <w:rPr>
                <w:rFonts w:hint="eastAsia"/>
                <w:color w:val="auto"/>
                <w:sz w:val="24"/>
                <w:vertAlign w:val="superscript"/>
              </w:rPr>
              <w:t>2</w:t>
            </w:r>
            <w:r>
              <w:rPr>
                <w:rFonts w:hint="eastAsia"/>
                <w:color w:val="auto"/>
                <w:sz w:val="24"/>
              </w:rPr>
              <w:t>。按照《危险废物贮存污染控制标准》（</w:t>
            </w:r>
            <w:r>
              <w:rPr>
                <w:color w:val="auto"/>
                <w:sz w:val="24"/>
              </w:rPr>
              <w:t>GB 18597—2023</w:t>
            </w:r>
            <w:r>
              <w:rPr>
                <w:rFonts w:hint="eastAsia"/>
                <w:color w:val="auto"/>
                <w:sz w:val="24"/>
              </w:rPr>
              <w:t>）中防渗要求对医废暂存间地面敷设瓷砖，设置标识牌。医疗废物按照《医疗废物处置污染控制标准》（GB39707-2020）关于医疗废物48小时清运时限，委托有危废处理资质单位清运处置，每次清运按照实际情况认真填写转移联单。</w:t>
            </w:r>
          </w:p>
          <w:p w14:paraId="3906E5F0">
            <w:pPr>
              <w:keepNext w:val="0"/>
              <w:keepLines w:val="0"/>
              <w:pageBreakBefore w:val="0"/>
              <w:widowControl w:val="0"/>
              <w:numPr>
                <w:ilvl w:val="0"/>
                <w:numId w:val="0"/>
              </w:numPr>
              <w:kinsoku/>
              <w:wordWrap/>
              <w:overflowPunct/>
              <w:topLinePunct w:val="0"/>
              <w:autoSpaceDE/>
              <w:autoSpaceDN/>
              <w:bidi w:val="0"/>
              <w:spacing w:line="360" w:lineRule="auto"/>
              <w:ind w:leftChars="200"/>
              <w:jc w:val="both"/>
              <w:rPr>
                <w:rFonts w:hint="default" w:ascii="Times New Roman" w:hAnsi="Times New Roman" w:eastAsia="宋体"/>
                <w:b/>
                <w:bCs/>
                <w:color w:val="auto"/>
                <w:sz w:val="24"/>
                <w:szCs w:val="24"/>
                <w:lang w:val="en-US" w:eastAsia="zh-CN"/>
              </w:rPr>
            </w:pPr>
            <w:r>
              <w:rPr>
                <w:rFonts w:hint="eastAsia"/>
                <w:b/>
                <w:bCs/>
                <w:color w:val="auto"/>
                <w:sz w:val="24"/>
                <w:szCs w:val="24"/>
                <w:lang w:val="en-US" w:eastAsia="zh-CN"/>
              </w:rPr>
              <w:t>（4）污</w:t>
            </w:r>
            <w:r>
              <w:rPr>
                <w:rFonts w:hint="default" w:ascii="Times New Roman" w:hAnsi="Times New Roman" w:eastAsia="宋体"/>
                <w:b/>
                <w:bCs/>
                <w:color w:val="auto"/>
                <w:sz w:val="24"/>
                <w:szCs w:val="24"/>
                <w:lang w:val="en-US" w:eastAsia="zh-CN"/>
              </w:rPr>
              <w:t>水处理污泥</w:t>
            </w:r>
          </w:p>
          <w:p w14:paraId="3764E1AA">
            <w:pPr>
              <w:keepNext w:val="0"/>
              <w:keepLines w:val="0"/>
              <w:pageBreakBefore w:val="0"/>
              <w:widowControl w:val="0"/>
              <w:kinsoku/>
              <w:wordWrap/>
              <w:overflowPunct/>
              <w:topLinePunct w:val="0"/>
              <w:autoSpaceDE/>
              <w:autoSpaceDN/>
              <w:bidi w:val="0"/>
              <w:spacing w:line="360" w:lineRule="auto"/>
              <w:ind w:firstLine="480" w:firstLineChars="200"/>
              <w:jc w:val="both"/>
              <w:rPr>
                <w:rFonts w:hint="eastAsia"/>
                <w:color w:val="auto"/>
                <w:sz w:val="24"/>
                <w:szCs w:val="24"/>
                <w:highlight w:val="none"/>
                <w:lang w:val="en-US" w:eastAsia="zh-CN"/>
              </w:rPr>
            </w:pPr>
            <w:r>
              <w:rPr>
                <w:color w:val="auto"/>
                <w:sz w:val="24"/>
              </w:rPr>
              <w:t>污水处理过程产生的泥量与原水的悬浮固体及处理工艺有关</w:t>
            </w:r>
            <w:r>
              <w:rPr>
                <w:rFonts w:hint="eastAsia"/>
                <w:color w:val="auto"/>
                <w:sz w:val="24"/>
                <w:lang w:eastAsia="zh-CN"/>
              </w:rPr>
              <w:t>，</w:t>
            </w:r>
            <w:r>
              <w:rPr>
                <w:rFonts w:hint="eastAsia" w:ascii="Times New Roman" w:hAnsi="Times New Roman"/>
                <w:color w:val="auto"/>
                <w:sz w:val="24"/>
                <w:lang w:val="en-US" w:eastAsia="zh-CN"/>
              </w:rPr>
              <w:t>本项目污水采用“二级生化处理+MBR膜处理+次氯酸钠消毒”工艺，</w:t>
            </w:r>
            <w:r>
              <w:rPr>
                <w:rFonts w:ascii="Times New Roman" w:hAnsi="Times New Roman"/>
                <w:color w:val="auto"/>
                <w:sz w:val="24"/>
              </w:rPr>
              <w:t>污水处理</w:t>
            </w:r>
            <w:r>
              <w:rPr>
                <w:rFonts w:hint="eastAsia" w:ascii="Times New Roman" w:hAnsi="Times New Roman"/>
                <w:color w:val="auto"/>
                <w:sz w:val="24"/>
                <w:lang w:val="en-US" w:eastAsia="zh-CN"/>
              </w:rPr>
              <w:t>过程中</w:t>
            </w:r>
            <w:r>
              <w:rPr>
                <w:rFonts w:ascii="Times New Roman" w:hAnsi="Times New Roman"/>
                <w:color w:val="auto"/>
                <w:sz w:val="24"/>
              </w:rPr>
              <w:t>会产生污泥，</w:t>
            </w:r>
            <w:r>
              <w:rPr>
                <w:rFonts w:hint="default" w:ascii="Times New Roman" w:hAnsi="Times New Roman" w:eastAsia="宋体"/>
                <w:color w:val="auto"/>
                <w:sz w:val="24"/>
                <w:szCs w:val="24"/>
                <w:highlight w:val="none"/>
                <w:lang w:val="en-US" w:eastAsia="zh-CN"/>
              </w:rPr>
              <w:t>根据《医院污水处理技术指南</w:t>
            </w:r>
            <w:r>
              <w:rPr>
                <w:rFonts w:hint="eastAsia" w:ascii="Times New Roman" w:hAnsi="Times New Roman"/>
                <w:color w:val="auto"/>
                <w:sz w:val="24"/>
                <w:szCs w:val="24"/>
                <w:highlight w:val="none"/>
                <w:lang w:val="en-US" w:eastAsia="zh-CN"/>
              </w:rPr>
              <w:t>》</w:t>
            </w:r>
            <w:r>
              <w:rPr>
                <w:rFonts w:hint="default" w:ascii="Times New Roman" w:hAnsi="Times New Roman" w:eastAsia="宋体"/>
                <w:color w:val="auto"/>
                <w:sz w:val="24"/>
                <w:szCs w:val="24"/>
                <w:highlight w:val="none"/>
                <w:lang w:val="en-US" w:eastAsia="zh-CN"/>
              </w:rPr>
              <w:t>，</w:t>
            </w:r>
            <w:r>
              <w:rPr>
                <w:rFonts w:hint="eastAsia"/>
                <w:color w:val="auto"/>
                <w:sz w:val="24"/>
                <w:szCs w:val="24"/>
                <w:highlight w:val="none"/>
                <w:lang w:val="en-US" w:eastAsia="zh-CN"/>
              </w:rPr>
              <w:t>项目</w:t>
            </w:r>
            <w:r>
              <w:rPr>
                <w:rFonts w:hint="eastAsia" w:ascii="Times New Roman" w:hAnsi="Times New Roman"/>
                <w:color w:val="auto"/>
                <w:sz w:val="24"/>
                <w:szCs w:val="24"/>
                <w:highlight w:val="none"/>
                <w:lang w:val="en-US" w:eastAsia="zh-CN"/>
              </w:rPr>
              <w:t>污水处理过程中</w:t>
            </w:r>
            <w:r>
              <w:rPr>
                <w:rFonts w:hint="eastAsia"/>
                <w:color w:val="auto"/>
                <w:sz w:val="24"/>
                <w:szCs w:val="24"/>
                <w:highlight w:val="none"/>
                <w:lang w:val="en-US" w:eastAsia="zh-CN"/>
              </w:rPr>
              <w:t>沉淀池</w:t>
            </w:r>
            <w:r>
              <w:rPr>
                <w:rFonts w:hint="eastAsia" w:ascii="Times New Roman" w:hAnsi="Times New Roman"/>
                <w:color w:val="auto"/>
                <w:sz w:val="24"/>
                <w:szCs w:val="24"/>
                <w:highlight w:val="none"/>
                <w:lang w:val="en-US" w:eastAsia="zh-CN"/>
              </w:rPr>
              <w:t>污泥总固体</w:t>
            </w:r>
            <w:r>
              <w:rPr>
                <w:rFonts w:hint="default" w:ascii="Times New Roman" w:hAnsi="Times New Roman" w:eastAsia="宋体"/>
                <w:color w:val="auto"/>
                <w:sz w:val="24"/>
                <w:szCs w:val="24"/>
                <w:highlight w:val="none"/>
                <w:lang w:val="en-US" w:eastAsia="zh-CN"/>
              </w:rPr>
              <w:t>产生量为</w:t>
            </w:r>
            <w:r>
              <w:rPr>
                <w:rFonts w:hint="default" w:ascii="Times New Roman" w:hAnsi="Times New Roman" w:eastAsia="宋体"/>
                <w:color w:val="auto"/>
                <w:sz w:val="24"/>
                <w:szCs w:val="24"/>
                <w:highlight w:val="none"/>
                <w:lang w:val="en-US" w:eastAsia="en-US"/>
              </w:rPr>
              <w:t>54g/</w:t>
            </w:r>
            <w:r>
              <w:rPr>
                <w:rFonts w:hint="eastAsia" w:ascii="Times New Roman" w:hAnsi="Times New Roman" w:eastAsia="宋体"/>
                <w:color w:val="auto"/>
                <w:sz w:val="24"/>
                <w:szCs w:val="24"/>
                <w:highlight w:val="none"/>
                <w:lang w:val="en-US" w:eastAsia="zh-CN"/>
              </w:rPr>
              <w:t>(人</w:t>
            </w:r>
            <w:r>
              <w:rPr>
                <w:rFonts w:hint="eastAsia" w:ascii="Times New Roman" w:hAnsi="Times New Roman" w:eastAsia="宋体" w:cs="宋体"/>
                <w:color w:val="auto"/>
                <w:sz w:val="24"/>
                <w:szCs w:val="24"/>
                <w:highlight w:val="none"/>
                <w:lang w:val="en-US" w:eastAsia="zh-CN"/>
              </w:rPr>
              <w:t>•</w:t>
            </w:r>
            <w:r>
              <w:rPr>
                <w:rFonts w:hint="default" w:ascii="Times New Roman" w:hAnsi="Times New Roman" w:eastAsia="宋体"/>
                <w:color w:val="auto"/>
                <w:sz w:val="24"/>
                <w:szCs w:val="24"/>
                <w:highlight w:val="none"/>
                <w:lang w:val="en-US" w:eastAsia="en-US"/>
              </w:rPr>
              <w:t>d</w:t>
            </w:r>
            <w:r>
              <w:rPr>
                <w:rFonts w:hint="eastAsia" w:ascii="Times New Roman" w:hAnsi="Times New Roman" w:eastAsia="宋体"/>
                <w:color w:val="auto"/>
                <w:sz w:val="24"/>
                <w:szCs w:val="24"/>
                <w:highlight w:val="none"/>
                <w:lang w:val="en-US" w:eastAsia="zh-CN"/>
              </w:rPr>
              <w:t>)，污泥体积为0.68~1.08 L/(人</w:t>
            </w:r>
            <w:r>
              <w:rPr>
                <w:rFonts w:hint="eastAsia" w:ascii="Times New Roman" w:hAnsi="Times New Roman" w:eastAsia="宋体" w:cs="宋体"/>
                <w:color w:val="auto"/>
                <w:sz w:val="24"/>
                <w:szCs w:val="24"/>
                <w:highlight w:val="none"/>
                <w:lang w:val="en-US" w:eastAsia="zh-CN"/>
              </w:rPr>
              <w:t>•</w:t>
            </w:r>
            <w:r>
              <w:rPr>
                <w:rFonts w:hint="eastAsia" w:ascii="Times New Roman" w:hAnsi="Times New Roman" w:eastAsia="宋体"/>
                <w:color w:val="auto"/>
                <w:sz w:val="24"/>
                <w:szCs w:val="24"/>
                <w:highlight w:val="none"/>
                <w:lang w:val="en-US" w:eastAsia="zh-CN"/>
              </w:rPr>
              <w:t>d)，评价取1 L/(人</w:t>
            </w:r>
            <w:r>
              <w:rPr>
                <w:rFonts w:hint="eastAsia" w:ascii="Times New Roman" w:hAnsi="Times New Roman" w:eastAsia="宋体" w:cs="宋体"/>
                <w:color w:val="auto"/>
                <w:sz w:val="24"/>
                <w:szCs w:val="24"/>
                <w:highlight w:val="none"/>
                <w:lang w:val="en-US" w:eastAsia="zh-CN"/>
              </w:rPr>
              <w:t>•</w:t>
            </w:r>
            <w:r>
              <w:rPr>
                <w:rFonts w:hint="eastAsia" w:ascii="Times New Roman" w:hAnsi="Times New Roman" w:eastAsia="宋体"/>
                <w:color w:val="auto"/>
                <w:sz w:val="24"/>
                <w:szCs w:val="24"/>
                <w:highlight w:val="none"/>
                <w:lang w:val="en-US" w:eastAsia="zh-CN"/>
              </w:rPr>
              <w:t>d)；</w:t>
            </w:r>
            <w:r>
              <w:rPr>
                <w:rFonts w:hint="eastAsia"/>
                <w:color w:val="auto"/>
                <w:sz w:val="24"/>
                <w:szCs w:val="24"/>
                <w:highlight w:val="none"/>
                <w:lang w:val="en-US" w:eastAsia="zh-CN"/>
              </w:rPr>
              <w:t>生化池污泥总固体</w:t>
            </w:r>
            <w:r>
              <w:rPr>
                <w:rFonts w:hint="default" w:ascii="Times New Roman" w:hAnsi="Times New Roman" w:eastAsia="宋体"/>
                <w:color w:val="auto"/>
                <w:sz w:val="24"/>
                <w:szCs w:val="24"/>
                <w:highlight w:val="none"/>
                <w:lang w:val="en-US" w:eastAsia="zh-CN"/>
              </w:rPr>
              <w:t>产生量为</w:t>
            </w:r>
            <w:r>
              <w:rPr>
                <w:rFonts w:hint="eastAsia"/>
                <w:color w:val="auto"/>
                <w:sz w:val="24"/>
                <w:szCs w:val="24"/>
                <w:highlight w:val="none"/>
                <w:lang w:val="en-US" w:eastAsia="zh-CN"/>
              </w:rPr>
              <w:t>31</w:t>
            </w:r>
            <w:r>
              <w:rPr>
                <w:rFonts w:hint="default" w:ascii="Times New Roman" w:hAnsi="Times New Roman" w:eastAsia="宋体"/>
                <w:color w:val="auto"/>
                <w:sz w:val="24"/>
                <w:szCs w:val="24"/>
                <w:highlight w:val="none"/>
                <w:lang w:val="en-US" w:eastAsia="en-US"/>
              </w:rPr>
              <w:t>g/</w:t>
            </w:r>
            <w:r>
              <w:rPr>
                <w:rFonts w:hint="eastAsia" w:ascii="Times New Roman" w:hAnsi="Times New Roman" w:eastAsia="宋体"/>
                <w:color w:val="auto"/>
                <w:sz w:val="24"/>
                <w:szCs w:val="24"/>
                <w:highlight w:val="none"/>
                <w:lang w:val="en-US" w:eastAsia="zh-CN"/>
              </w:rPr>
              <w:t>（人</w:t>
            </w:r>
            <w:r>
              <w:rPr>
                <w:rFonts w:hint="eastAsia" w:ascii="Times New Roman" w:hAnsi="Times New Roman" w:eastAsia="宋体" w:cs="宋体"/>
                <w:color w:val="auto"/>
                <w:sz w:val="24"/>
                <w:szCs w:val="24"/>
                <w:highlight w:val="none"/>
                <w:lang w:val="en-US" w:eastAsia="zh-CN"/>
              </w:rPr>
              <w:t>•</w:t>
            </w:r>
            <w:r>
              <w:rPr>
                <w:rFonts w:hint="default" w:ascii="Times New Roman" w:hAnsi="Times New Roman" w:eastAsia="宋体"/>
                <w:color w:val="auto"/>
                <w:sz w:val="24"/>
                <w:szCs w:val="24"/>
                <w:highlight w:val="none"/>
                <w:lang w:val="en-US" w:eastAsia="en-US"/>
              </w:rPr>
              <w:t>d</w:t>
            </w:r>
            <w:r>
              <w:rPr>
                <w:rFonts w:hint="eastAsia" w:ascii="Times New Roman" w:hAnsi="Times New Roman" w:eastAsia="宋体"/>
                <w:color w:val="auto"/>
                <w:sz w:val="24"/>
                <w:szCs w:val="24"/>
                <w:highlight w:val="none"/>
                <w:lang w:val="en-US" w:eastAsia="zh-CN"/>
              </w:rPr>
              <w:t>），污泥体积为</w:t>
            </w:r>
            <w:r>
              <w:rPr>
                <w:rFonts w:hint="eastAsia"/>
                <w:color w:val="auto"/>
                <w:sz w:val="24"/>
                <w:szCs w:val="24"/>
                <w:highlight w:val="none"/>
                <w:lang w:val="en-US" w:eastAsia="zh-CN"/>
              </w:rPr>
              <w:t>1.04</w:t>
            </w:r>
            <w:r>
              <w:rPr>
                <w:rFonts w:hint="eastAsia" w:ascii="Times New Roman" w:hAnsi="Times New Roman" w:eastAsia="宋体"/>
                <w:color w:val="auto"/>
                <w:sz w:val="24"/>
                <w:szCs w:val="24"/>
                <w:highlight w:val="none"/>
                <w:lang w:val="en-US" w:eastAsia="zh-CN"/>
              </w:rPr>
              <w:t>~</w:t>
            </w:r>
            <w:r>
              <w:rPr>
                <w:rFonts w:hint="eastAsia"/>
                <w:color w:val="auto"/>
                <w:sz w:val="24"/>
                <w:szCs w:val="24"/>
                <w:highlight w:val="none"/>
                <w:lang w:val="en-US" w:eastAsia="zh-CN"/>
              </w:rPr>
              <w:t>2.07</w:t>
            </w:r>
            <w:r>
              <w:rPr>
                <w:rFonts w:hint="eastAsia" w:ascii="Times New Roman" w:hAnsi="Times New Roman" w:eastAsia="宋体"/>
                <w:color w:val="auto"/>
                <w:sz w:val="24"/>
                <w:szCs w:val="24"/>
                <w:highlight w:val="none"/>
                <w:lang w:val="en-US" w:eastAsia="zh-CN"/>
              </w:rPr>
              <w:t>(L/人</w:t>
            </w:r>
            <w:r>
              <w:rPr>
                <w:rFonts w:hint="eastAsia" w:ascii="Times New Roman" w:hAnsi="Times New Roman" w:eastAsia="宋体" w:cs="宋体"/>
                <w:color w:val="auto"/>
                <w:sz w:val="24"/>
                <w:szCs w:val="24"/>
                <w:highlight w:val="none"/>
                <w:lang w:val="en-US" w:eastAsia="zh-CN"/>
              </w:rPr>
              <w:t>•</w:t>
            </w:r>
            <w:r>
              <w:rPr>
                <w:rFonts w:hint="eastAsia" w:ascii="Times New Roman" w:hAnsi="Times New Roman" w:eastAsia="宋体"/>
                <w:color w:val="auto"/>
                <w:sz w:val="24"/>
                <w:szCs w:val="24"/>
                <w:highlight w:val="none"/>
                <w:lang w:val="en-US" w:eastAsia="zh-CN"/>
              </w:rPr>
              <w:t>d)，评价取</w:t>
            </w:r>
            <w:r>
              <w:rPr>
                <w:rFonts w:hint="eastAsia"/>
                <w:color w:val="auto"/>
                <w:sz w:val="24"/>
                <w:szCs w:val="24"/>
                <w:highlight w:val="none"/>
                <w:lang w:val="en-US" w:eastAsia="zh-CN"/>
              </w:rPr>
              <w:t>1.5</w:t>
            </w:r>
            <w:r>
              <w:rPr>
                <w:rFonts w:hint="eastAsia" w:ascii="Times New Roman" w:hAnsi="Times New Roman" w:eastAsia="宋体"/>
                <w:color w:val="auto"/>
                <w:sz w:val="24"/>
                <w:szCs w:val="24"/>
                <w:highlight w:val="none"/>
                <w:lang w:val="en-US" w:eastAsia="zh-CN"/>
              </w:rPr>
              <w:t>(L/人</w:t>
            </w:r>
            <w:r>
              <w:rPr>
                <w:rFonts w:hint="eastAsia" w:ascii="Times New Roman" w:hAnsi="Times New Roman" w:eastAsia="宋体" w:cs="宋体"/>
                <w:color w:val="auto"/>
                <w:sz w:val="24"/>
                <w:szCs w:val="24"/>
                <w:highlight w:val="none"/>
                <w:lang w:val="en-US" w:eastAsia="zh-CN"/>
              </w:rPr>
              <w:t>•</w:t>
            </w:r>
            <w:r>
              <w:rPr>
                <w:rFonts w:hint="eastAsia" w:ascii="Times New Roman" w:hAnsi="Times New Roman" w:eastAsia="宋体"/>
                <w:color w:val="auto"/>
                <w:sz w:val="24"/>
                <w:szCs w:val="24"/>
                <w:highlight w:val="none"/>
                <w:lang w:val="en-US" w:eastAsia="zh-CN"/>
              </w:rPr>
              <w:t>d)；化粪池中污泥主要来自医务人员和患者等的粪便，每人每天粪便量约为150g，化粪池污泥量取决于每人每天的粪便量和清掏周期</w:t>
            </w:r>
            <w:r>
              <w:rPr>
                <w:rFonts w:hint="eastAsia"/>
                <w:color w:val="auto"/>
                <w:sz w:val="24"/>
                <w:szCs w:val="24"/>
                <w:highlight w:val="none"/>
                <w:lang w:val="en-US" w:eastAsia="zh-CN"/>
              </w:rPr>
              <w:t>。</w:t>
            </w:r>
          </w:p>
          <w:p w14:paraId="602C7DFC">
            <w:pPr>
              <w:keepNext w:val="0"/>
              <w:keepLines w:val="0"/>
              <w:pageBreakBefore w:val="0"/>
              <w:widowControl w:val="0"/>
              <w:kinsoku/>
              <w:wordWrap/>
              <w:overflowPunct/>
              <w:topLinePunct w:val="0"/>
              <w:autoSpaceDE/>
              <w:autoSpaceDN/>
              <w:bidi w:val="0"/>
              <w:spacing w:line="360" w:lineRule="auto"/>
              <w:ind w:firstLine="480" w:firstLineChars="200"/>
              <w:jc w:val="both"/>
              <w:rPr>
                <w:rFonts w:hint="eastAsia"/>
                <w:color w:val="auto"/>
                <w:sz w:val="24"/>
                <w:szCs w:val="24"/>
                <w:highlight w:val="none"/>
                <w:vertAlign w:val="baseline"/>
                <w:lang w:val="en-US" w:eastAsia="zh-CN"/>
              </w:rPr>
            </w:pPr>
            <w:r>
              <w:rPr>
                <w:color w:val="auto"/>
                <w:sz w:val="24"/>
              </w:rPr>
              <w:t>本项目医院职工</w:t>
            </w:r>
            <w:r>
              <w:rPr>
                <w:rFonts w:hint="eastAsia"/>
                <w:color w:val="auto"/>
                <w:sz w:val="24"/>
                <w:lang w:val="en-US" w:eastAsia="zh-CN"/>
              </w:rPr>
              <w:t>及行政人员24</w:t>
            </w:r>
            <w:r>
              <w:rPr>
                <w:color w:val="auto"/>
                <w:sz w:val="24"/>
              </w:rPr>
              <w:t>人</w:t>
            </w:r>
            <w:r>
              <w:rPr>
                <w:rFonts w:hint="eastAsia"/>
                <w:color w:val="auto"/>
                <w:sz w:val="24"/>
                <w:lang w:val="en-US" w:eastAsia="zh-CN"/>
              </w:rPr>
              <w:t>，</w:t>
            </w:r>
            <w:r>
              <w:rPr>
                <w:color w:val="auto"/>
                <w:sz w:val="24"/>
              </w:rPr>
              <w:t>住院患者</w:t>
            </w:r>
            <w:r>
              <w:rPr>
                <w:rFonts w:hint="eastAsia"/>
                <w:color w:val="auto"/>
                <w:sz w:val="24"/>
                <w:lang w:val="en-US" w:eastAsia="zh-CN"/>
              </w:rPr>
              <w:t>平均</w:t>
            </w:r>
            <w:r>
              <w:rPr>
                <w:color w:val="auto"/>
                <w:sz w:val="24"/>
              </w:rPr>
              <w:t>以</w:t>
            </w:r>
            <w:r>
              <w:rPr>
                <w:rFonts w:hint="eastAsia"/>
                <w:color w:val="auto"/>
                <w:sz w:val="24"/>
                <w:lang w:val="en-US" w:eastAsia="zh-CN"/>
              </w:rPr>
              <w:t>20</w:t>
            </w:r>
            <w:r>
              <w:rPr>
                <w:color w:val="auto"/>
                <w:sz w:val="24"/>
              </w:rPr>
              <w:t>人/d</w:t>
            </w:r>
            <w:r>
              <w:rPr>
                <w:rFonts w:hint="eastAsia"/>
                <w:color w:val="auto"/>
                <w:sz w:val="24"/>
                <w:lang w:val="en-US" w:eastAsia="zh-CN"/>
              </w:rPr>
              <w:t>计</w:t>
            </w:r>
            <w:r>
              <w:rPr>
                <w:rFonts w:hint="eastAsia"/>
                <w:color w:val="auto"/>
                <w:sz w:val="24"/>
                <w:lang w:eastAsia="zh-CN"/>
              </w:rPr>
              <w:t>，</w:t>
            </w:r>
            <w:r>
              <w:rPr>
                <w:rFonts w:hint="eastAsia"/>
                <w:color w:val="auto"/>
                <w:sz w:val="24"/>
                <w:lang w:val="en-US" w:eastAsia="zh-CN"/>
              </w:rPr>
              <w:t>陪护人员20人，门诊量25人/天，共计89人。则沉淀池产生污泥</w:t>
            </w:r>
            <w:r>
              <w:rPr>
                <w:rFonts w:hint="eastAsia" w:ascii="Times New Roman" w:hAnsi="Times New Roman"/>
                <w:color w:val="auto"/>
                <w:sz w:val="24"/>
                <w:szCs w:val="24"/>
                <w:highlight w:val="none"/>
                <w:vertAlign w:val="baseline"/>
                <w:lang w:val="en-US" w:eastAsia="zh-CN"/>
              </w:rPr>
              <w:t>4.806kg/d，89L/d</w:t>
            </w:r>
            <w:r>
              <w:rPr>
                <w:rFonts w:hint="eastAsia"/>
                <w:color w:val="auto"/>
                <w:sz w:val="24"/>
                <w:szCs w:val="24"/>
                <w:highlight w:val="none"/>
                <w:vertAlign w:val="baseline"/>
                <w:lang w:val="en-US" w:eastAsia="zh-CN"/>
              </w:rPr>
              <w:t>；生化池污泥2.759</w:t>
            </w:r>
            <w:r>
              <w:rPr>
                <w:rFonts w:hint="eastAsia" w:ascii="Times New Roman" w:hAnsi="Times New Roman"/>
                <w:color w:val="auto"/>
                <w:sz w:val="24"/>
                <w:szCs w:val="24"/>
                <w:highlight w:val="none"/>
                <w:vertAlign w:val="baseline"/>
                <w:lang w:val="en-US" w:eastAsia="zh-CN"/>
              </w:rPr>
              <w:t>kg/d，</w:t>
            </w:r>
            <w:r>
              <w:rPr>
                <w:rFonts w:hint="eastAsia"/>
                <w:color w:val="auto"/>
                <w:sz w:val="24"/>
                <w:szCs w:val="24"/>
                <w:highlight w:val="none"/>
                <w:vertAlign w:val="baseline"/>
                <w:lang w:val="en-US" w:eastAsia="zh-CN"/>
              </w:rPr>
              <w:t>133.5</w:t>
            </w:r>
            <w:r>
              <w:rPr>
                <w:rFonts w:hint="eastAsia" w:ascii="Times New Roman" w:hAnsi="Times New Roman"/>
                <w:color w:val="auto"/>
                <w:sz w:val="24"/>
                <w:szCs w:val="24"/>
                <w:highlight w:val="none"/>
                <w:vertAlign w:val="baseline"/>
                <w:lang w:val="en-US" w:eastAsia="zh-CN"/>
              </w:rPr>
              <w:t>L/d</w:t>
            </w:r>
            <w:r>
              <w:rPr>
                <w:rFonts w:hint="eastAsia"/>
                <w:color w:val="auto"/>
                <w:sz w:val="24"/>
                <w:szCs w:val="24"/>
                <w:highlight w:val="none"/>
                <w:vertAlign w:val="baseline"/>
                <w:lang w:val="en-US" w:eastAsia="zh-CN"/>
              </w:rPr>
              <w:t>。</w:t>
            </w:r>
            <w:r>
              <w:rPr>
                <w:rFonts w:hint="eastAsia" w:ascii="Times New Roman" w:hAnsi="Times New Roman" w:eastAsia="宋体"/>
                <w:color w:val="auto"/>
                <w:sz w:val="24"/>
                <w:szCs w:val="24"/>
                <w:highlight w:val="none"/>
                <w:lang w:val="en-US" w:eastAsia="zh-CN"/>
              </w:rPr>
              <w:t>根据</w:t>
            </w:r>
            <w:r>
              <w:rPr>
                <w:rFonts w:hint="default" w:ascii="Times New Roman" w:hAnsi="Times New Roman" w:eastAsia="宋体"/>
                <w:color w:val="auto"/>
                <w:sz w:val="24"/>
                <w:szCs w:val="24"/>
                <w:highlight w:val="none"/>
                <w:lang w:val="en-US" w:eastAsia="zh-CN"/>
              </w:rPr>
              <w:t>《医院污水处理技术指南</w:t>
            </w:r>
            <w:r>
              <w:rPr>
                <w:rFonts w:hint="eastAsia" w:ascii="Times New Roman" w:hAnsi="Times New Roman"/>
                <w:color w:val="auto"/>
                <w:sz w:val="24"/>
                <w:szCs w:val="24"/>
                <w:highlight w:val="none"/>
                <w:lang w:val="en-US" w:eastAsia="zh-CN"/>
              </w:rPr>
              <w:t>》，每天湿污泥产生量小于2m</w:t>
            </w:r>
            <w:r>
              <w:rPr>
                <w:rFonts w:hint="eastAsia" w:ascii="Times New Roman" w:hAnsi="Times New Roman"/>
                <w:color w:val="auto"/>
                <w:sz w:val="24"/>
                <w:szCs w:val="24"/>
                <w:highlight w:val="none"/>
                <w:vertAlign w:val="superscript"/>
                <w:lang w:val="en-US" w:eastAsia="zh-CN"/>
              </w:rPr>
              <w:t>3</w:t>
            </w:r>
            <w:r>
              <w:rPr>
                <w:rFonts w:hint="eastAsia" w:ascii="Times New Roman" w:hAnsi="Times New Roman"/>
                <w:color w:val="auto"/>
                <w:sz w:val="24"/>
                <w:szCs w:val="24"/>
                <w:highlight w:val="none"/>
                <w:vertAlign w:val="baseline"/>
                <w:lang w:val="en-US" w:eastAsia="zh-CN"/>
              </w:rPr>
              <w:t>的污水处理系统，产生的污泥可消毒后排入化粪池</w:t>
            </w:r>
            <w:r>
              <w:rPr>
                <w:rFonts w:hint="eastAsia"/>
                <w:color w:val="auto"/>
                <w:sz w:val="24"/>
                <w:szCs w:val="24"/>
                <w:highlight w:val="none"/>
                <w:vertAlign w:val="baseline"/>
                <w:lang w:val="en-US" w:eastAsia="zh-CN"/>
              </w:rPr>
              <w:t>，则沉淀池污泥消毒后排入项目化粪池；生化池产生的污泥一半回流至生化池，补充生化池的污泥浓度，一半消毒后排入化粪池。</w:t>
            </w:r>
          </w:p>
          <w:p w14:paraId="080E964E">
            <w:pPr>
              <w:keepNext w:val="0"/>
              <w:keepLines w:val="0"/>
              <w:pageBreakBefore w:val="0"/>
              <w:widowControl w:val="0"/>
              <w:kinsoku/>
              <w:wordWrap/>
              <w:overflowPunct/>
              <w:topLinePunct w:val="0"/>
              <w:autoSpaceDE/>
              <w:autoSpaceDN/>
              <w:bidi w:val="0"/>
              <w:spacing w:line="360" w:lineRule="auto"/>
              <w:ind w:firstLine="480" w:firstLineChars="200"/>
              <w:jc w:val="both"/>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项目卫生院</w:t>
            </w:r>
            <w:r>
              <w:rPr>
                <w:rFonts w:hint="eastAsia"/>
                <w:color w:val="auto"/>
                <w:sz w:val="24"/>
                <w:szCs w:val="24"/>
                <w:highlight w:val="none"/>
                <w:vertAlign w:val="baseline"/>
                <w:lang w:val="en-US" w:eastAsia="zh-CN"/>
              </w:rPr>
              <w:t>满负荷运行时，</w:t>
            </w:r>
            <w:r>
              <w:rPr>
                <w:rFonts w:hint="eastAsia" w:ascii="Times New Roman" w:hAnsi="Times New Roman"/>
                <w:color w:val="auto"/>
                <w:sz w:val="24"/>
                <w:szCs w:val="24"/>
                <w:highlight w:val="none"/>
                <w:vertAlign w:val="baseline"/>
                <w:lang w:val="en-US" w:eastAsia="zh-CN"/>
              </w:rPr>
              <w:t>每天人数约</w:t>
            </w:r>
            <w:r>
              <w:rPr>
                <w:rFonts w:hint="eastAsia"/>
                <w:color w:val="auto"/>
                <w:sz w:val="24"/>
                <w:szCs w:val="24"/>
                <w:highlight w:val="none"/>
                <w:vertAlign w:val="baseline"/>
                <w:lang w:val="en-US" w:eastAsia="zh-CN"/>
              </w:rPr>
              <w:t>为</w:t>
            </w:r>
            <w:r>
              <w:rPr>
                <w:rFonts w:hint="eastAsia" w:ascii="Times New Roman" w:hAnsi="Times New Roman"/>
                <w:color w:val="auto"/>
                <w:sz w:val="24"/>
                <w:szCs w:val="24"/>
                <w:highlight w:val="none"/>
                <w:vertAlign w:val="baseline"/>
                <w:lang w:val="en-US" w:eastAsia="zh-CN"/>
              </w:rPr>
              <w:t>89人，产生化粪池污泥13.35kg/d</w:t>
            </w:r>
            <w:r>
              <w:rPr>
                <w:rFonts w:hint="eastAsia"/>
                <w:color w:val="auto"/>
                <w:sz w:val="24"/>
                <w:szCs w:val="24"/>
                <w:highlight w:val="none"/>
                <w:vertAlign w:val="baseline"/>
                <w:lang w:val="en-US" w:eastAsia="zh-CN"/>
              </w:rPr>
              <w:t>。</w:t>
            </w:r>
            <w:r>
              <w:rPr>
                <w:rFonts w:hint="default" w:ascii="Times New Roman" w:hAnsi="Times New Roman" w:eastAsia="宋体"/>
                <w:color w:val="auto"/>
                <w:sz w:val="24"/>
                <w:szCs w:val="24"/>
                <w:highlight w:val="none"/>
                <w:lang w:val="en-US" w:eastAsia="zh-CN"/>
              </w:rPr>
              <w:t>根据《</w:t>
            </w:r>
            <w:r>
              <w:rPr>
                <w:rFonts w:hint="eastAsia" w:ascii="Times New Roman" w:hAnsi="Times New Roman" w:eastAsia="宋体"/>
                <w:color w:val="auto"/>
                <w:sz w:val="24"/>
                <w:szCs w:val="24"/>
                <w:highlight w:val="none"/>
                <w:lang w:val="en-US" w:eastAsia="zh-CN"/>
              </w:rPr>
              <w:t>医疗机构污水处理工程技术标准</w:t>
            </w:r>
            <w:r>
              <w:rPr>
                <w:rFonts w:hint="eastAsia" w:ascii="Times New Roman" w:hAnsi="Times New Roman"/>
                <w:color w:val="auto"/>
                <w:sz w:val="24"/>
                <w:szCs w:val="24"/>
                <w:highlight w:val="none"/>
                <w:lang w:val="en-US" w:eastAsia="zh-CN"/>
              </w:rPr>
              <w:t>》（GB51459-2024），当湿污泥产量小于2m</w:t>
            </w:r>
            <w:r>
              <w:rPr>
                <w:rFonts w:hint="eastAsia" w:ascii="Times New Roman" w:hAnsi="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，污泥可在消毒后排入化粪池，与化粪池污泥一起定期清掏并外运处置。对于本项目而言，</w:t>
            </w:r>
            <w:r>
              <w:rPr>
                <w:rFonts w:hint="eastAsia" w:ascii="Times New Roman" w:hAnsi="Times New Roman"/>
                <w:color w:val="auto"/>
                <w:sz w:val="24"/>
                <w:szCs w:val="24"/>
                <w:highlight w:val="none"/>
                <w:vertAlign w:val="baseline"/>
                <w:lang w:val="en-US" w:eastAsia="zh-CN"/>
              </w:rPr>
              <w:t>污水处理站</w:t>
            </w:r>
            <w:r>
              <w:rPr>
                <w:rFonts w:hint="eastAsia"/>
                <w:color w:val="auto"/>
                <w:sz w:val="24"/>
                <w:szCs w:val="24"/>
                <w:highlight w:val="none"/>
                <w:vertAlign w:val="baseline"/>
                <w:lang w:val="en-US" w:eastAsia="zh-CN"/>
              </w:rPr>
              <w:t>调节池</w:t>
            </w:r>
            <w:r>
              <w:rPr>
                <w:rFonts w:hint="eastAsia" w:ascii="Times New Roman" w:hAnsi="Times New Roman"/>
                <w:color w:val="auto"/>
                <w:sz w:val="24"/>
                <w:szCs w:val="24"/>
                <w:highlight w:val="none"/>
                <w:vertAlign w:val="baseline"/>
                <w:lang w:val="en-US" w:eastAsia="zh-CN"/>
              </w:rPr>
              <w:t>污泥</w:t>
            </w:r>
            <w:r>
              <w:rPr>
                <w:rFonts w:hint="eastAsia"/>
                <w:color w:val="auto"/>
                <w:sz w:val="24"/>
                <w:szCs w:val="24"/>
                <w:highlight w:val="none"/>
                <w:vertAlign w:val="baseline"/>
                <w:lang w:val="en-US" w:eastAsia="zh-CN"/>
              </w:rPr>
              <w:t>和部分生化池污泥可在</w:t>
            </w:r>
            <w:r>
              <w:rPr>
                <w:rFonts w:hint="eastAsia" w:ascii="Times New Roman" w:hAnsi="Times New Roman"/>
                <w:color w:val="auto"/>
                <w:sz w:val="24"/>
                <w:szCs w:val="24"/>
                <w:highlight w:val="none"/>
                <w:vertAlign w:val="baseline"/>
                <w:lang w:val="en-US" w:eastAsia="zh-CN"/>
              </w:rPr>
              <w:t>消毒后排入化粪池，则化粪池每天污泥量</w:t>
            </w:r>
            <w:r>
              <w:rPr>
                <w:rFonts w:hint="eastAsia"/>
                <w:color w:val="auto"/>
                <w:sz w:val="24"/>
                <w:szCs w:val="24"/>
                <w:highlight w:val="none"/>
                <w:vertAlign w:val="baseline"/>
                <w:lang w:val="en-US" w:eastAsia="zh-CN"/>
              </w:rPr>
              <w:t>产生量</w:t>
            </w:r>
            <w:r>
              <w:rPr>
                <w:rFonts w:hint="eastAsia" w:ascii="Times New Roman" w:hAnsi="Times New Roman"/>
                <w:color w:val="auto"/>
                <w:sz w:val="24"/>
                <w:szCs w:val="24"/>
                <w:highlight w:val="none"/>
                <w:vertAlign w:val="baseline"/>
                <w:lang w:val="en-US" w:eastAsia="zh-CN"/>
              </w:rPr>
              <w:t>约为19.54kg/d，</w:t>
            </w:r>
            <w:r>
              <w:rPr>
                <w:rFonts w:hint="eastAsia"/>
                <w:color w:val="auto"/>
                <w:sz w:val="24"/>
                <w:szCs w:val="24"/>
                <w:highlight w:val="none"/>
                <w:vertAlign w:val="baseline"/>
                <w:lang w:val="en-US" w:eastAsia="zh-CN"/>
              </w:rPr>
              <w:t>7.1321</w:t>
            </w:r>
            <w:r>
              <w:rPr>
                <w:rFonts w:hint="eastAsia" w:ascii="Times New Roman" w:hAnsi="Times New Roman"/>
                <w:color w:val="auto"/>
                <w:sz w:val="24"/>
                <w:szCs w:val="24"/>
                <w:highlight w:val="none"/>
                <w:vertAlign w:val="baseline"/>
                <w:lang w:val="en-US" w:eastAsia="zh-CN"/>
              </w:rPr>
              <w:t>t/a，</w:t>
            </w:r>
            <w:r>
              <w:rPr>
                <w:rFonts w:hint="eastAsia"/>
                <w:color w:val="auto"/>
                <w:sz w:val="24"/>
                <w:szCs w:val="24"/>
                <w:highlight w:val="none"/>
                <w:vertAlign w:val="baseline"/>
                <w:lang w:val="en-US" w:eastAsia="zh-CN"/>
              </w:rPr>
              <w:t>定期交由有资质单位处理</w:t>
            </w:r>
            <w:r>
              <w:rPr>
                <w:rFonts w:hint="eastAsia" w:ascii="Times New Roman" w:hAnsi="Times New Roman"/>
                <w:color w:val="auto"/>
                <w:sz w:val="24"/>
                <w:szCs w:val="24"/>
                <w:highlight w:val="none"/>
                <w:vertAlign w:val="baseline"/>
                <w:lang w:val="en-US" w:eastAsia="zh-CN"/>
              </w:rPr>
              <w:t>。</w:t>
            </w:r>
          </w:p>
          <w:p w14:paraId="710394B0">
            <w:pPr>
              <w:pStyle w:val="2"/>
              <w:spacing w:line="360" w:lineRule="auto"/>
              <w:ind w:firstLine="482" w:firstLineChars="200"/>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（5）废MBR膜</w:t>
            </w:r>
          </w:p>
          <w:p w14:paraId="146A68C0">
            <w:pPr>
              <w:pStyle w:val="3"/>
              <w:keepNext w:val="0"/>
              <w:keepLines w:val="0"/>
              <w:pageBreakBefore w:val="0"/>
              <w:widowControl/>
              <w:kinsoku/>
              <w:wordWrap/>
              <w:overflowPunct/>
              <w:topLinePunct w:val="0"/>
              <w:autoSpaceDE/>
              <w:autoSpaceDN/>
              <w:bidi w:val="0"/>
              <w:adjustRightInd w:val="0"/>
              <w:snapToGrid w:val="0"/>
              <w:spacing w:line="360" w:lineRule="auto"/>
              <w:ind w:firstLine="470" w:firstLineChars="195"/>
              <w:textAlignment w:val="auto"/>
              <w:rPr>
                <w:rFonts w:hint="default"/>
                <w:color w:val="auto"/>
                <w:lang w:val="en-US" w:eastAsia="zh-CN"/>
              </w:rPr>
            </w:pPr>
            <w:r>
              <w:rPr>
                <w:rFonts w:hint="eastAsia" w:ascii="Times New Roman" w:hAnsi="Times New Roman" w:eastAsia="宋体"/>
                <w:b/>
                <w:bCs/>
                <w:color w:val="auto"/>
                <w:sz w:val="24"/>
                <w:szCs w:val="24"/>
                <w:highlight w:val="none"/>
                <w:lang w:val="en-US" w:eastAsia="zh-CN"/>
              </w:rPr>
              <w:t>MBR膜：</w:t>
            </w:r>
            <w:r>
              <w:rPr>
                <w:rFonts w:hint="eastAsia" w:ascii="Times New Roman" w:hAnsi="Times New Roman" w:eastAsia="宋体"/>
                <w:color w:val="auto"/>
                <w:sz w:val="24"/>
                <w:szCs w:val="24"/>
                <w:highlight w:val="none"/>
                <w:lang w:val="en-US" w:eastAsia="zh-CN"/>
              </w:rPr>
              <w:t>项目污水处理站采用了一体式处理设备，MBR膜处理池代替了传统的二沉池，能够实现高效的固液分离，保证出水水质稳定。MBR膜能够有效去除悬浮固体（SS），并且对细菌和病毒也有很好的截留效果。MBR工艺的剩余污泥产量低，甚至可以实现无剩余污泥排放。MBR膜池产生的剩余污泥会返回到生化</w:t>
            </w:r>
            <w:r>
              <w:rPr>
                <w:rFonts w:hint="eastAsia" w:ascii="Times New Roman" w:hAnsi="Times New Roman" w:eastAsia="宋体" w:cs="Times New Roman"/>
                <w:color w:val="auto"/>
                <w:sz w:val="24"/>
                <w:szCs w:val="24"/>
                <w:highlight w:val="none"/>
                <w:lang w:val="en-US" w:eastAsia="zh-CN"/>
              </w:rPr>
              <w:t>处理中的O池，不进行外排。</w:t>
            </w:r>
            <w:r>
              <w:rPr>
                <w:rFonts w:hint="eastAsia" w:ascii="Times New Roman" w:hAnsi="Times New Roman"/>
                <w:color w:val="auto"/>
                <w:sz w:val="24"/>
                <w:lang w:val="en-US" w:eastAsia="zh-CN"/>
              </w:rPr>
              <w:t>本项目污水采用“二级生化处理+MBR膜处理+次氯酸钠消毒”工艺，处理过程中会产生废弃的MBR膜，为保证污水处理设备高效运行，项目一体化设备MBR膜每年更换一次，则废MBR膜产生量约为0.01t/a，属于危险废物，消毒后暂存医废间，定期交由资质单位处理。</w:t>
            </w:r>
          </w:p>
          <w:p w14:paraId="4DDF63E0">
            <w:pPr>
              <w:adjustRightInd w:val="0"/>
              <w:snapToGrid w:val="0"/>
              <w:spacing w:line="360" w:lineRule="auto"/>
              <w:ind w:firstLine="482" w:firstLineChars="200"/>
              <w:jc w:val="left"/>
              <w:rPr>
                <w:b/>
                <w:bCs/>
                <w:color w:val="auto"/>
                <w:sz w:val="24"/>
              </w:rPr>
            </w:pPr>
            <w:r>
              <w:rPr>
                <w:rFonts w:hint="eastAsia"/>
                <w:b/>
                <w:bCs/>
                <w:color w:val="auto"/>
                <w:sz w:val="24"/>
              </w:rPr>
              <w:t>2、固体废弃物情况汇总</w:t>
            </w:r>
          </w:p>
          <w:p w14:paraId="223980DB">
            <w:pPr>
              <w:adjustRightInd w:val="0"/>
              <w:snapToGrid w:val="0"/>
              <w:spacing w:line="360" w:lineRule="auto"/>
              <w:ind w:firstLine="480" w:firstLineChars="200"/>
              <w:jc w:val="left"/>
              <w:rPr>
                <w:color w:val="auto"/>
                <w:sz w:val="24"/>
              </w:rPr>
            </w:pPr>
            <w:r>
              <w:rPr>
                <w:rFonts w:hint="eastAsia"/>
                <w:color w:val="auto"/>
                <w:sz w:val="24"/>
              </w:rPr>
              <w:t>全院固体废弃物产生及处置情况见表所示。</w:t>
            </w:r>
          </w:p>
          <w:p w14:paraId="7AF4EF81">
            <w:pPr>
              <w:adjustRightInd w:val="0"/>
              <w:snapToGrid w:val="0"/>
              <w:jc w:val="center"/>
              <w:rPr>
                <w:b/>
                <w:bCs/>
                <w:color w:val="auto"/>
                <w:szCs w:val="21"/>
              </w:rPr>
            </w:pPr>
            <w:r>
              <w:rPr>
                <w:rFonts w:hint="eastAsia"/>
                <w:b/>
                <w:bCs/>
                <w:color w:val="auto"/>
                <w:szCs w:val="21"/>
              </w:rPr>
              <w:t>表4-1</w:t>
            </w:r>
            <w:r>
              <w:rPr>
                <w:rFonts w:hint="eastAsia"/>
                <w:b/>
                <w:bCs/>
                <w:color w:val="auto"/>
                <w:szCs w:val="21"/>
                <w:lang w:val="en-US" w:eastAsia="zh-CN"/>
              </w:rPr>
              <w:t>7</w:t>
            </w:r>
            <w:r>
              <w:rPr>
                <w:rFonts w:hint="eastAsia"/>
                <w:b/>
                <w:bCs/>
                <w:color w:val="auto"/>
                <w:szCs w:val="21"/>
              </w:rPr>
              <w:t xml:space="preserve"> 固体废物污染源产生、排放汇总表</w:t>
            </w:r>
          </w:p>
          <w:tbl>
            <w:tblPr>
              <w:tblStyle w:val="17"/>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9"/>
              <w:gridCol w:w="632"/>
              <w:gridCol w:w="609"/>
              <w:gridCol w:w="765"/>
              <w:gridCol w:w="783"/>
              <w:gridCol w:w="750"/>
              <w:gridCol w:w="1379"/>
              <w:gridCol w:w="622"/>
              <w:gridCol w:w="752"/>
              <w:gridCol w:w="839"/>
              <w:gridCol w:w="985"/>
            </w:tblGrid>
            <w:tr w14:paraId="4CC182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234" w:type="pct"/>
                  <w:vAlign w:val="center"/>
                </w:tcPr>
                <w:p w14:paraId="66DF46B6">
                  <w:pPr>
                    <w:pStyle w:val="25"/>
                    <w:overflowPunct w:val="0"/>
                    <w:autoSpaceDE/>
                    <w:autoSpaceDN/>
                    <w:snapToGrid w:val="0"/>
                    <w:jc w:val="both"/>
                    <w:rPr>
                      <w:rFonts w:ascii="Times New Roman" w:cs="Times New Roman"/>
                      <w:b/>
                      <w:bCs/>
                      <w:color w:val="auto"/>
                      <w:kern w:val="21"/>
                      <w:sz w:val="18"/>
                      <w:szCs w:val="21"/>
                    </w:rPr>
                  </w:pPr>
                  <w:r>
                    <w:rPr>
                      <w:rFonts w:ascii="Times New Roman" w:cs="Times New Roman"/>
                      <w:b/>
                      <w:bCs/>
                      <w:color w:val="auto"/>
                      <w:kern w:val="21"/>
                      <w:sz w:val="18"/>
                      <w:szCs w:val="21"/>
                    </w:rPr>
                    <w:t>序号</w:t>
                  </w:r>
                </w:p>
              </w:tc>
              <w:tc>
                <w:tcPr>
                  <w:tcW w:w="371" w:type="pct"/>
                  <w:vAlign w:val="center"/>
                </w:tcPr>
                <w:p w14:paraId="25CDC86A">
                  <w:pPr>
                    <w:pStyle w:val="25"/>
                    <w:overflowPunct w:val="0"/>
                    <w:autoSpaceDE/>
                    <w:autoSpaceDN/>
                    <w:snapToGrid w:val="0"/>
                    <w:jc w:val="center"/>
                    <w:rPr>
                      <w:rFonts w:ascii="Times New Roman" w:cs="Times New Roman"/>
                      <w:b/>
                      <w:bCs/>
                      <w:color w:val="auto"/>
                      <w:kern w:val="21"/>
                      <w:sz w:val="18"/>
                      <w:szCs w:val="21"/>
                    </w:rPr>
                  </w:pPr>
                  <w:r>
                    <w:rPr>
                      <w:rFonts w:ascii="Times New Roman" w:cs="Times New Roman"/>
                      <w:b/>
                      <w:bCs/>
                      <w:color w:val="auto"/>
                      <w:kern w:val="21"/>
                      <w:sz w:val="18"/>
                      <w:szCs w:val="21"/>
                    </w:rPr>
                    <w:t>固废名称</w:t>
                  </w:r>
                </w:p>
              </w:tc>
              <w:tc>
                <w:tcPr>
                  <w:tcW w:w="357" w:type="pct"/>
                  <w:vAlign w:val="center"/>
                </w:tcPr>
                <w:p w14:paraId="7F250D87">
                  <w:pPr>
                    <w:pStyle w:val="25"/>
                    <w:overflowPunct w:val="0"/>
                    <w:autoSpaceDE/>
                    <w:autoSpaceDN/>
                    <w:snapToGrid w:val="0"/>
                    <w:jc w:val="center"/>
                    <w:rPr>
                      <w:rFonts w:ascii="Times New Roman" w:cs="Times New Roman"/>
                      <w:b/>
                      <w:bCs/>
                      <w:color w:val="auto"/>
                      <w:kern w:val="21"/>
                      <w:sz w:val="18"/>
                      <w:szCs w:val="21"/>
                    </w:rPr>
                  </w:pPr>
                  <w:r>
                    <w:rPr>
                      <w:rFonts w:ascii="Times New Roman" w:cs="Times New Roman"/>
                      <w:b/>
                      <w:bCs/>
                      <w:color w:val="auto"/>
                      <w:kern w:val="21"/>
                      <w:sz w:val="18"/>
                      <w:szCs w:val="21"/>
                    </w:rPr>
                    <w:t>固废属性</w:t>
                  </w:r>
                </w:p>
              </w:tc>
              <w:tc>
                <w:tcPr>
                  <w:tcW w:w="449" w:type="pct"/>
                  <w:vAlign w:val="center"/>
                </w:tcPr>
                <w:p w14:paraId="4ADE9230">
                  <w:pPr>
                    <w:pStyle w:val="25"/>
                    <w:overflowPunct w:val="0"/>
                    <w:autoSpaceDE/>
                    <w:autoSpaceDN/>
                    <w:snapToGrid w:val="0"/>
                    <w:jc w:val="center"/>
                    <w:rPr>
                      <w:rFonts w:ascii="Times New Roman" w:cs="Times New Roman"/>
                      <w:b/>
                      <w:bCs/>
                      <w:color w:val="auto"/>
                      <w:kern w:val="21"/>
                      <w:sz w:val="18"/>
                      <w:szCs w:val="21"/>
                    </w:rPr>
                  </w:pPr>
                  <w:r>
                    <w:rPr>
                      <w:rFonts w:ascii="Times New Roman" w:cs="Times New Roman"/>
                      <w:b/>
                      <w:bCs/>
                      <w:color w:val="auto"/>
                      <w:kern w:val="21"/>
                      <w:sz w:val="18"/>
                      <w:szCs w:val="21"/>
                    </w:rPr>
                    <w:t>产生</w:t>
                  </w:r>
                </w:p>
                <w:p w14:paraId="2A87C5F6">
                  <w:pPr>
                    <w:pStyle w:val="25"/>
                    <w:overflowPunct w:val="0"/>
                    <w:autoSpaceDE/>
                    <w:autoSpaceDN/>
                    <w:snapToGrid w:val="0"/>
                    <w:jc w:val="center"/>
                    <w:rPr>
                      <w:rFonts w:ascii="Times New Roman" w:cs="Times New Roman"/>
                      <w:b/>
                      <w:bCs/>
                      <w:color w:val="auto"/>
                      <w:kern w:val="21"/>
                      <w:sz w:val="18"/>
                      <w:szCs w:val="21"/>
                    </w:rPr>
                  </w:pPr>
                  <w:r>
                    <w:rPr>
                      <w:rFonts w:ascii="Times New Roman" w:cs="Times New Roman"/>
                      <w:b/>
                      <w:bCs/>
                      <w:color w:val="auto"/>
                      <w:kern w:val="21"/>
                      <w:sz w:val="18"/>
                      <w:szCs w:val="21"/>
                    </w:rPr>
                    <w:t>环节</w:t>
                  </w:r>
                </w:p>
              </w:tc>
              <w:tc>
                <w:tcPr>
                  <w:tcW w:w="459" w:type="pct"/>
                  <w:vAlign w:val="center"/>
                </w:tcPr>
                <w:p w14:paraId="53D21219">
                  <w:pPr>
                    <w:pStyle w:val="25"/>
                    <w:overflowPunct w:val="0"/>
                    <w:autoSpaceDE/>
                    <w:autoSpaceDN/>
                    <w:snapToGrid w:val="0"/>
                    <w:jc w:val="center"/>
                    <w:rPr>
                      <w:rFonts w:ascii="Times New Roman" w:cs="Times New Roman"/>
                      <w:b/>
                      <w:bCs/>
                      <w:color w:val="auto"/>
                      <w:kern w:val="21"/>
                      <w:sz w:val="18"/>
                      <w:szCs w:val="21"/>
                    </w:rPr>
                  </w:pPr>
                  <w:r>
                    <w:rPr>
                      <w:rFonts w:hint="eastAsia" w:ascii="Times New Roman" w:cs="Times New Roman"/>
                      <w:b/>
                      <w:bCs/>
                      <w:color w:val="auto"/>
                      <w:kern w:val="21"/>
                      <w:sz w:val="18"/>
                      <w:szCs w:val="21"/>
                    </w:rPr>
                    <w:t>危险特性</w:t>
                  </w:r>
                </w:p>
              </w:tc>
              <w:tc>
                <w:tcPr>
                  <w:tcW w:w="440" w:type="pct"/>
                  <w:vAlign w:val="center"/>
                </w:tcPr>
                <w:p w14:paraId="2B693092">
                  <w:pPr>
                    <w:pStyle w:val="25"/>
                    <w:overflowPunct w:val="0"/>
                    <w:autoSpaceDE/>
                    <w:autoSpaceDN/>
                    <w:snapToGrid w:val="0"/>
                    <w:jc w:val="center"/>
                    <w:rPr>
                      <w:rFonts w:ascii="Times New Roman" w:cs="Times New Roman"/>
                      <w:b/>
                      <w:bCs/>
                      <w:color w:val="auto"/>
                      <w:kern w:val="21"/>
                      <w:sz w:val="18"/>
                      <w:szCs w:val="21"/>
                    </w:rPr>
                  </w:pPr>
                  <w:r>
                    <w:rPr>
                      <w:rFonts w:hint="eastAsia" w:ascii="Times New Roman" w:cs="Times New Roman"/>
                      <w:b/>
                      <w:bCs/>
                      <w:color w:val="auto"/>
                      <w:kern w:val="21"/>
                      <w:sz w:val="18"/>
                      <w:szCs w:val="21"/>
                    </w:rPr>
                    <w:t>固废类别</w:t>
                  </w:r>
                </w:p>
              </w:tc>
              <w:tc>
                <w:tcPr>
                  <w:tcW w:w="809" w:type="pct"/>
                  <w:vAlign w:val="center"/>
                </w:tcPr>
                <w:p w14:paraId="37617859">
                  <w:pPr>
                    <w:pStyle w:val="25"/>
                    <w:overflowPunct w:val="0"/>
                    <w:autoSpaceDE/>
                    <w:autoSpaceDN/>
                    <w:snapToGrid w:val="0"/>
                    <w:jc w:val="center"/>
                    <w:rPr>
                      <w:rFonts w:ascii="Times New Roman" w:cs="Times New Roman"/>
                      <w:b/>
                      <w:bCs/>
                      <w:color w:val="auto"/>
                      <w:kern w:val="21"/>
                      <w:sz w:val="18"/>
                      <w:szCs w:val="21"/>
                    </w:rPr>
                  </w:pPr>
                  <w:r>
                    <w:rPr>
                      <w:rFonts w:ascii="Times New Roman" w:cs="Times New Roman"/>
                      <w:b/>
                      <w:bCs/>
                      <w:color w:val="auto"/>
                      <w:kern w:val="21"/>
                      <w:sz w:val="18"/>
                      <w:szCs w:val="21"/>
                    </w:rPr>
                    <w:t>代码</w:t>
                  </w:r>
                </w:p>
              </w:tc>
              <w:tc>
                <w:tcPr>
                  <w:tcW w:w="365" w:type="pct"/>
                  <w:vAlign w:val="center"/>
                </w:tcPr>
                <w:p w14:paraId="0E26CC13">
                  <w:pPr>
                    <w:pStyle w:val="25"/>
                    <w:overflowPunct w:val="0"/>
                    <w:autoSpaceDE/>
                    <w:autoSpaceDN/>
                    <w:snapToGrid w:val="0"/>
                    <w:jc w:val="center"/>
                    <w:rPr>
                      <w:rFonts w:ascii="Times New Roman" w:cs="Times New Roman"/>
                      <w:b/>
                      <w:bCs/>
                      <w:color w:val="auto"/>
                      <w:kern w:val="21"/>
                      <w:sz w:val="18"/>
                      <w:szCs w:val="21"/>
                    </w:rPr>
                  </w:pPr>
                  <w:r>
                    <w:rPr>
                      <w:rFonts w:hint="eastAsia" w:ascii="Times New Roman" w:cs="Times New Roman"/>
                      <w:b/>
                      <w:bCs/>
                      <w:color w:val="auto"/>
                      <w:kern w:val="21"/>
                      <w:sz w:val="18"/>
                      <w:szCs w:val="21"/>
                    </w:rPr>
                    <w:t>物理性状</w:t>
                  </w:r>
                </w:p>
              </w:tc>
              <w:tc>
                <w:tcPr>
                  <w:tcW w:w="441" w:type="pct"/>
                  <w:vAlign w:val="center"/>
                </w:tcPr>
                <w:p w14:paraId="23EA3AEC">
                  <w:pPr>
                    <w:pStyle w:val="25"/>
                    <w:overflowPunct w:val="0"/>
                    <w:autoSpaceDE/>
                    <w:autoSpaceDN/>
                    <w:snapToGrid w:val="0"/>
                    <w:jc w:val="center"/>
                    <w:rPr>
                      <w:rFonts w:ascii="Times New Roman" w:cs="Times New Roman"/>
                      <w:b/>
                      <w:bCs/>
                      <w:color w:val="auto"/>
                      <w:kern w:val="21"/>
                      <w:sz w:val="18"/>
                      <w:szCs w:val="21"/>
                    </w:rPr>
                  </w:pPr>
                  <w:r>
                    <w:rPr>
                      <w:rFonts w:ascii="Times New Roman" w:cs="Times New Roman"/>
                      <w:b/>
                      <w:bCs/>
                      <w:color w:val="auto"/>
                      <w:kern w:val="21"/>
                      <w:sz w:val="18"/>
                      <w:szCs w:val="21"/>
                    </w:rPr>
                    <w:t>贮存方式</w:t>
                  </w:r>
                </w:p>
              </w:tc>
              <w:tc>
                <w:tcPr>
                  <w:tcW w:w="492" w:type="pct"/>
                  <w:vAlign w:val="center"/>
                </w:tcPr>
                <w:p w14:paraId="3B891F22">
                  <w:pPr>
                    <w:pStyle w:val="25"/>
                    <w:overflowPunct w:val="0"/>
                    <w:autoSpaceDE/>
                    <w:autoSpaceDN/>
                    <w:snapToGrid w:val="0"/>
                    <w:jc w:val="center"/>
                    <w:rPr>
                      <w:rFonts w:ascii="Times New Roman" w:cs="Times New Roman"/>
                      <w:b/>
                      <w:bCs/>
                      <w:color w:val="auto"/>
                      <w:kern w:val="21"/>
                      <w:sz w:val="18"/>
                      <w:szCs w:val="21"/>
                    </w:rPr>
                  </w:pPr>
                  <w:r>
                    <w:rPr>
                      <w:rFonts w:ascii="Times New Roman" w:cs="Times New Roman"/>
                      <w:b/>
                      <w:bCs/>
                      <w:color w:val="auto"/>
                      <w:kern w:val="21"/>
                      <w:sz w:val="18"/>
                      <w:szCs w:val="21"/>
                    </w:rPr>
                    <w:t>产生量</w:t>
                  </w:r>
                </w:p>
                <w:p w14:paraId="771D4A9D">
                  <w:pPr>
                    <w:pStyle w:val="25"/>
                    <w:overflowPunct w:val="0"/>
                    <w:autoSpaceDE/>
                    <w:autoSpaceDN/>
                    <w:snapToGrid w:val="0"/>
                    <w:jc w:val="center"/>
                    <w:rPr>
                      <w:rFonts w:ascii="Times New Roman" w:cs="Times New Roman"/>
                      <w:b/>
                      <w:bCs/>
                      <w:color w:val="auto"/>
                      <w:kern w:val="21"/>
                      <w:sz w:val="18"/>
                      <w:szCs w:val="21"/>
                    </w:rPr>
                  </w:pPr>
                  <w:r>
                    <w:rPr>
                      <w:rFonts w:ascii="Times New Roman" w:cs="Times New Roman"/>
                      <w:b/>
                      <w:bCs/>
                      <w:color w:val="auto"/>
                      <w:kern w:val="21"/>
                      <w:sz w:val="18"/>
                      <w:szCs w:val="21"/>
                    </w:rPr>
                    <w:t>t/a</w:t>
                  </w:r>
                </w:p>
              </w:tc>
              <w:tc>
                <w:tcPr>
                  <w:tcW w:w="578" w:type="pct"/>
                  <w:vAlign w:val="center"/>
                </w:tcPr>
                <w:p w14:paraId="69BF8827">
                  <w:pPr>
                    <w:pStyle w:val="25"/>
                    <w:overflowPunct w:val="0"/>
                    <w:autoSpaceDE/>
                    <w:autoSpaceDN/>
                    <w:snapToGrid w:val="0"/>
                    <w:jc w:val="center"/>
                    <w:rPr>
                      <w:rFonts w:ascii="Times New Roman" w:cs="Times New Roman"/>
                      <w:b/>
                      <w:bCs/>
                      <w:color w:val="auto"/>
                      <w:kern w:val="21"/>
                      <w:sz w:val="18"/>
                      <w:szCs w:val="21"/>
                    </w:rPr>
                  </w:pPr>
                  <w:r>
                    <w:rPr>
                      <w:rFonts w:ascii="Times New Roman" w:cs="Times New Roman"/>
                      <w:b/>
                      <w:bCs/>
                      <w:color w:val="auto"/>
                      <w:kern w:val="21"/>
                      <w:sz w:val="18"/>
                      <w:szCs w:val="21"/>
                    </w:rPr>
                    <w:t>处理方式</w:t>
                  </w:r>
                </w:p>
              </w:tc>
            </w:tr>
            <w:tr w14:paraId="509267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34" w:type="pct"/>
                  <w:vAlign w:val="center"/>
                </w:tcPr>
                <w:p w14:paraId="7864169F">
                  <w:pPr>
                    <w:pStyle w:val="25"/>
                    <w:overflowPunct w:val="0"/>
                    <w:autoSpaceDE/>
                    <w:autoSpaceDN/>
                    <w:snapToGrid w:val="0"/>
                    <w:jc w:val="both"/>
                    <w:rPr>
                      <w:rFonts w:ascii="Times New Roman" w:cs="Times New Roman"/>
                      <w:color w:val="auto"/>
                      <w:kern w:val="21"/>
                      <w:sz w:val="18"/>
                      <w:szCs w:val="21"/>
                    </w:rPr>
                  </w:pPr>
                  <w:r>
                    <w:rPr>
                      <w:rFonts w:hint="eastAsia" w:ascii="Times New Roman" w:cs="Times New Roman"/>
                      <w:color w:val="auto"/>
                      <w:kern w:val="21"/>
                      <w:sz w:val="18"/>
                      <w:szCs w:val="21"/>
                    </w:rPr>
                    <w:t>1</w:t>
                  </w:r>
                </w:p>
              </w:tc>
              <w:tc>
                <w:tcPr>
                  <w:tcW w:w="371" w:type="pct"/>
                  <w:shd w:val="clear" w:color="auto" w:fill="auto"/>
                  <w:vAlign w:val="center"/>
                </w:tcPr>
                <w:p w14:paraId="57D3A2EF">
                  <w:pPr>
                    <w:pStyle w:val="25"/>
                    <w:overflowPunct w:val="0"/>
                    <w:autoSpaceDE/>
                    <w:autoSpaceDN/>
                    <w:snapToGrid w:val="0"/>
                    <w:jc w:val="center"/>
                    <w:rPr>
                      <w:rFonts w:ascii="Times New Roman" w:cs="Times New Roman"/>
                      <w:color w:val="auto"/>
                      <w:kern w:val="21"/>
                      <w:sz w:val="18"/>
                      <w:szCs w:val="21"/>
                    </w:rPr>
                  </w:pPr>
                  <w:r>
                    <w:rPr>
                      <w:rFonts w:hint="eastAsia" w:ascii="Times New Roman" w:cs="Times New Roman"/>
                      <w:color w:val="auto"/>
                      <w:kern w:val="21"/>
                      <w:sz w:val="18"/>
                      <w:szCs w:val="21"/>
                    </w:rPr>
                    <w:t>生产生活</w:t>
                  </w:r>
                </w:p>
              </w:tc>
              <w:tc>
                <w:tcPr>
                  <w:tcW w:w="357" w:type="pct"/>
                  <w:shd w:val="clear" w:color="auto" w:fill="auto"/>
                  <w:vAlign w:val="center"/>
                </w:tcPr>
                <w:p w14:paraId="1FEF1889">
                  <w:pPr>
                    <w:pStyle w:val="25"/>
                    <w:overflowPunct w:val="0"/>
                    <w:autoSpaceDE/>
                    <w:autoSpaceDN/>
                    <w:snapToGrid w:val="0"/>
                    <w:jc w:val="center"/>
                    <w:rPr>
                      <w:rFonts w:ascii="Times New Roman" w:cs="Times New Roman"/>
                      <w:color w:val="auto"/>
                      <w:kern w:val="21"/>
                      <w:sz w:val="18"/>
                      <w:szCs w:val="21"/>
                    </w:rPr>
                  </w:pPr>
                  <w:r>
                    <w:rPr>
                      <w:rFonts w:hint="eastAsia" w:ascii="Times New Roman" w:cs="Times New Roman"/>
                      <w:color w:val="auto"/>
                      <w:kern w:val="21"/>
                      <w:sz w:val="18"/>
                      <w:szCs w:val="21"/>
                    </w:rPr>
                    <w:t>生活垃圾</w:t>
                  </w:r>
                </w:p>
              </w:tc>
              <w:tc>
                <w:tcPr>
                  <w:tcW w:w="449" w:type="pct"/>
                  <w:shd w:val="clear" w:color="auto" w:fill="auto"/>
                  <w:vAlign w:val="center"/>
                </w:tcPr>
                <w:p w14:paraId="1B9720D4">
                  <w:pPr>
                    <w:pStyle w:val="25"/>
                    <w:overflowPunct w:val="0"/>
                    <w:autoSpaceDE/>
                    <w:autoSpaceDN/>
                    <w:snapToGrid w:val="0"/>
                    <w:jc w:val="center"/>
                    <w:rPr>
                      <w:rFonts w:ascii="Times New Roman" w:cs="Times New Roman"/>
                      <w:color w:val="auto"/>
                      <w:kern w:val="21"/>
                      <w:sz w:val="18"/>
                      <w:szCs w:val="21"/>
                    </w:rPr>
                  </w:pPr>
                  <w:r>
                    <w:rPr>
                      <w:rFonts w:hint="eastAsia" w:ascii="Times New Roman" w:cs="Times New Roman"/>
                      <w:color w:val="auto"/>
                      <w:kern w:val="21"/>
                      <w:sz w:val="18"/>
                      <w:szCs w:val="21"/>
                    </w:rPr>
                    <w:t>生活</w:t>
                  </w:r>
                </w:p>
              </w:tc>
              <w:tc>
                <w:tcPr>
                  <w:tcW w:w="459" w:type="pct"/>
                  <w:shd w:val="clear" w:color="auto" w:fill="auto"/>
                  <w:vAlign w:val="center"/>
                </w:tcPr>
                <w:p w14:paraId="1E97121D">
                  <w:pPr>
                    <w:pStyle w:val="25"/>
                    <w:overflowPunct w:val="0"/>
                    <w:autoSpaceDE/>
                    <w:autoSpaceDN/>
                    <w:snapToGrid w:val="0"/>
                    <w:jc w:val="center"/>
                    <w:rPr>
                      <w:rFonts w:ascii="Times New Roman" w:cs="Times New Roman"/>
                      <w:b/>
                      <w:bCs/>
                      <w:color w:val="auto"/>
                      <w:kern w:val="21"/>
                      <w:sz w:val="18"/>
                      <w:szCs w:val="21"/>
                    </w:rPr>
                  </w:pPr>
                  <w:r>
                    <w:rPr>
                      <w:rFonts w:hint="eastAsia" w:ascii="Times New Roman" w:cs="Times New Roman"/>
                      <w:b/>
                      <w:bCs/>
                      <w:color w:val="auto"/>
                      <w:kern w:val="21"/>
                      <w:sz w:val="18"/>
                      <w:szCs w:val="21"/>
                    </w:rPr>
                    <w:t>/</w:t>
                  </w:r>
                </w:p>
              </w:tc>
              <w:tc>
                <w:tcPr>
                  <w:tcW w:w="440" w:type="pct"/>
                  <w:shd w:val="clear" w:color="auto" w:fill="auto"/>
                  <w:vAlign w:val="center"/>
                </w:tcPr>
                <w:p w14:paraId="3955EA4E">
                  <w:pPr>
                    <w:pStyle w:val="25"/>
                    <w:overflowPunct w:val="0"/>
                    <w:autoSpaceDE/>
                    <w:autoSpaceDN/>
                    <w:snapToGrid w:val="0"/>
                    <w:jc w:val="center"/>
                    <w:rPr>
                      <w:rFonts w:ascii="Times New Roman" w:cs="Times New Roman"/>
                      <w:b/>
                      <w:bCs/>
                      <w:color w:val="auto"/>
                      <w:kern w:val="21"/>
                      <w:sz w:val="18"/>
                      <w:szCs w:val="21"/>
                    </w:rPr>
                  </w:pPr>
                  <w:r>
                    <w:rPr>
                      <w:rFonts w:hint="eastAsia" w:ascii="Times New Roman" w:cs="Times New Roman"/>
                      <w:b/>
                      <w:bCs/>
                      <w:color w:val="auto"/>
                      <w:kern w:val="21"/>
                      <w:sz w:val="18"/>
                      <w:szCs w:val="21"/>
                    </w:rPr>
                    <w:t>/</w:t>
                  </w:r>
                </w:p>
              </w:tc>
              <w:tc>
                <w:tcPr>
                  <w:tcW w:w="809" w:type="pct"/>
                  <w:shd w:val="clear" w:color="auto" w:fill="auto"/>
                  <w:vAlign w:val="center"/>
                </w:tcPr>
                <w:p w14:paraId="146F1382">
                  <w:pPr>
                    <w:pStyle w:val="25"/>
                    <w:overflowPunct w:val="0"/>
                    <w:autoSpaceDE/>
                    <w:autoSpaceDN/>
                    <w:snapToGrid w:val="0"/>
                    <w:jc w:val="center"/>
                    <w:rPr>
                      <w:rFonts w:ascii="Times New Roman" w:cs="Times New Roman"/>
                      <w:b/>
                      <w:bCs/>
                      <w:color w:val="auto"/>
                      <w:kern w:val="21"/>
                      <w:sz w:val="18"/>
                      <w:szCs w:val="21"/>
                    </w:rPr>
                  </w:pPr>
                  <w:r>
                    <w:rPr>
                      <w:rFonts w:hint="eastAsia" w:ascii="Times New Roman" w:cs="Times New Roman"/>
                      <w:b/>
                      <w:bCs/>
                      <w:color w:val="auto"/>
                      <w:kern w:val="21"/>
                      <w:sz w:val="18"/>
                      <w:szCs w:val="21"/>
                    </w:rPr>
                    <w:t>/</w:t>
                  </w:r>
                </w:p>
              </w:tc>
              <w:tc>
                <w:tcPr>
                  <w:tcW w:w="365" w:type="pct"/>
                  <w:shd w:val="clear" w:color="auto" w:fill="auto"/>
                  <w:vAlign w:val="center"/>
                </w:tcPr>
                <w:p w14:paraId="064E0B80">
                  <w:pPr>
                    <w:pStyle w:val="25"/>
                    <w:overflowPunct w:val="0"/>
                    <w:autoSpaceDE/>
                    <w:autoSpaceDN/>
                    <w:snapToGrid w:val="0"/>
                    <w:jc w:val="center"/>
                    <w:rPr>
                      <w:rFonts w:ascii="Times New Roman" w:cs="Times New Roman"/>
                      <w:color w:val="auto"/>
                      <w:kern w:val="21"/>
                      <w:sz w:val="18"/>
                      <w:szCs w:val="21"/>
                    </w:rPr>
                  </w:pPr>
                  <w:r>
                    <w:rPr>
                      <w:rFonts w:hint="eastAsia" w:ascii="Times New Roman" w:cs="Times New Roman"/>
                      <w:color w:val="auto"/>
                      <w:kern w:val="21"/>
                      <w:sz w:val="18"/>
                      <w:szCs w:val="21"/>
                    </w:rPr>
                    <w:t>固态</w:t>
                  </w:r>
                </w:p>
              </w:tc>
              <w:tc>
                <w:tcPr>
                  <w:tcW w:w="441" w:type="pct"/>
                  <w:shd w:val="clear" w:color="auto" w:fill="auto"/>
                  <w:vAlign w:val="center"/>
                </w:tcPr>
                <w:p w14:paraId="31EC66C6">
                  <w:pPr>
                    <w:pStyle w:val="25"/>
                    <w:overflowPunct w:val="0"/>
                    <w:autoSpaceDE/>
                    <w:autoSpaceDN/>
                    <w:snapToGrid w:val="0"/>
                    <w:jc w:val="center"/>
                    <w:rPr>
                      <w:rFonts w:ascii="Times New Roman" w:cs="Times New Roman"/>
                      <w:color w:val="auto"/>
                      <w:kern w:val="21"/>
                      <w:sz w:val="18"/>
                      <w:szCs w:val="21"/>
                    </w:rPr>
                  </w:pPr>
                  <w:r>
                    <w:rPr>
                      <w:rFonts w:hint="eastAsia" w:ascii="Times New Roman" w:cs="Times New Roman"/>
                      <w:color w:val="auto"/>
                      <w:kern w:val="21"/>
                      <w:sz w:val="18"/>
                      <w:szCs w:val="21"/>
                    </w:rPr>
                    <w:t>垃圾桶</w:t>
                  </w:r>
                </w:p>
              </w:tc>
              <w:tc>
                <w:tcPr>
                  <w:tcW w:w="492" w:type="pct"/>
                  <w:shd w:val="clear" w:color="auto" w:fill="auto"/>
                  <w:vAlign w:val="center"/>
                </w:tcPr>
                <w:p w14:paraId="1341F3F7">
                  <w:pPr>
                    <w:pStyle w:val="25"/>
                    <w:overflowPunct w:val="0"/>
                    <w:autoSpaceDE/>
                    <w:autoSpaceDN/>
                    <w:snapToGrid w:val="0"/>
                    <w:jc w:val="center"/>
                    <w:rPr>
                      <w:rFonts w:hint="eastAsia" w:ascii="Times New Roman" w:eastAsia="宋体" w:cs="Times New Roman"/>
                      <w:color w:val="auto"/>
                      <w:kern w:val="21"/>
                      <w:sz w:val="18"/>
                      <w:szCs w:val="21"/>
                      <w:lang w:eastAsia="zh-CN"/>
                    </w:rPr>
                  </w:pPr>
                  <w:r>
                    <w:rPr>
                      <w:rFonts w:hint="eastAsia" w:ascii="Times New Roman" w:cs="Times New Roman"/>
                      <w:color w:val="auto"/>
                      <w:kern w:val="21"/>
                      <w:sz w:val="18"/>
                      <w:szCs w:val="21"/>
                      <w:lang w:eastAsia="zh-CN"/>
                    </w:rPr>
                    <w:t>13.505</w:t>
                  </w:r>
                </w:p>
              </w:tc>
              <w:tc>
                <w:tcPr>
                  <w:tcW w:w="578" w:type="pct"/>
                  <w:shd w:val="clear" w:color="auto" w:fill="auto"/>
                  <w:vAlign w:val="center"/>
                </w:tcPr>
                <w:p w14:paraId="0E8AC8C9">
                  <w:pPr>
                    <w:pStyle w:val="25"/>
                    <w:overflowPunct w:val="0"/>
                    <w:autoSpaceDE/>
                    <w:autoSpaceDN/>
                    <w:snapToGrid w:val="0"/>
                    <w:jc w:val="center"/>
                    <w:rPr>
                      <w:rFonts w:ascii="Times New Roman" w:cs="Times New Roman"/>
                      <w:b/>
                      <w:bCs/>
                      <w:color w:val="auto"/>
                      <w:kern w:val="21"/>
                      <w:sz w:val="18"/>
                      <w:szCs w:val="21"/>
                    </w:rPr>
                  </w:pPr>
                  <w:r>
                    <w:rPr>
                      <w:rFonts w:ascii="Times New Roman" w:cs="Times New Roman"/>
                      <w:color w:val="auto"/>
                      <w:sz w:val="18"/>
                      <w:szCs w:val="18"/>
                    </w:rPr>
                    <w:t>交由环卫部门处理</w:t>
                  </w:r>
                </w:p>
              </w:tc>
            </w:tr>
            <w:tr w14:paraId="37B715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234" w:type="pct"/>
                  <w:vAlign w:val="center"/>
                </w:tcPr>
                <w:p w14:paraId="2E48B92F">
                  <w:pPr>
                    <w:pStyle w:val="25"/>
                    <w:overflowPunct w:val="0"/>
                    <w:autoSpaceDE/>
                    <w:autoSpaceDN/>
                    <w:snapToGrid w:val="0"/>
                    <w:jc w:val="both"/>
                    <w:rPr>
                      <w:rFonts w:ascii="Times New Roman" w:cs="Times New Roman"/>
                      <w:color w:val="auto"/>
                      <w:kern w:val="21"/>
                      <w:sz w:val="18"/>
                      <w:szCs w:val="21"/>
                    </w:rPr>
                  </w:pPr>
                  <w:r>
                    <w:rPr>
                      <w:rFonts w:hint="eastAsia" w:ascii="Times New Roman" w:cs="Times New Roman"/>
                      <w:color w:val="auto"/>
                      <w:kern w:val="21"/>
                      <w:sz w:val="18"/>
                      <w:szCs w:val="21"/>
                    </w:rPr>
                    <w:t>2</w:t>
                  </w:r>
                </w:p>
              </w:tc>
              <w:tc>
                <w:tcPr>
                  <w:tcW w:w="371" w:type="pct"/>
                  <w:vAlign w:val="center"/>
                </w:tcPr>
                <w:p w14:paraId="4CFD2E23">
                  <w:pPr>
                    <w:pStyle w:val="25"/>
                    <w:overflowPunct w:val="0"/>
                    <w:autoSpaceDE/>
                    <w:autoSpaceDN/>
                    <w:snapToGrid w:val="0"/>
                    <w:jc w:val="center"/>
                    <w:rPr>
                      <w:rFonts w:ascii="Times New Roman" w:cs="Times New Roman"/>
                      <w:color w:val="auto"/>
                      <w:kern w:val="21"/>
                      <w:sz w:val="18"/>
                      <w:szCs w:val="21"/>
                    </w:rPr>
                  </w:pPr>
                  <w:r>
                    <w:rPr>
                      <w:rFonts w:hint="eastAsia" w:ascii="Times New Roman" w:cs="Times New Roman"/>
                      <w:color w:val="auto"/>
                      <w:kern w:val="21"/>
                      <w:sz w:val="18"/>
                      <w:szCs w:val="21"/>
                    </w:rPr>
                    <w:t>废输液瓶袋</w:t>
                  </w:r>
                </w:p>
              </w:tc>
              <w:tc>
                <w:tcPr>
                  <w:tcW w:w="357" w:type="pct"/>
                  <w:vMerge w:val="restart"/>
                  <w:vAlign w:val="center"/>
                </w:tcPr>
                <w:p w14:paraId="21EBF781">
                  <w:pPr>
                    <w:pStyle w:val="25"/>
                    <w:overflowPunct w:val="0"/>
                    <w:autoSpaceDE/>
                    <w:autoSpaceDN/>
                    <w:snapToGrid w:val="0"/>
                    <w:jc w:val="center"/>
                    <w:rPr>
                      <w:rFonts w:ascii="Times New Roman" w:cs="Times New Roman"/>
                      <w:color w:val="auto"/>
                      <w:kern w:val="21"/>
                      <w:sz w:val="18"/>
                      <w:szCs w:val="21"/>
                    </w:rPr>
                  </w:pPr>
                  <w:r>
                    <w:rPr>
                      <w:rFonts w:hint="eastAsia" w:ascii="Times New Roman" w:cs="Times New Roman"/>
                      <w:color w:val="auto"/>
                      <w:kern w:val="21"/>
                      <w:sz w:val="18"/>
                      <w:szCs w:val="21"/>
                    </w:rPr>
                    <w:t>一般固废</w:t>
                  </w:r>
                </w:p>
              </w:tc>
              <w:tc>
                <w:tcPr>
                  <w:tcW w:w="449" w:type="pct"/>
                  <w:vAlign w:val="center"/>
                </w:tcPr>
                <w:p w14:paraId="0D3DB177">
                  <w:pPr>
                    <w:pStyle w:val="25"/>
                    <w:overflowPunct w:val="0"/>
                    <w:autoSpaceDE/>
                    <w:autoSpaceDN/>
                    <w:snapToGrid w:val="0"/>
                    <w:jc w:val="center"/>
                    <w:rPr>
                      <w:rFonts w:ascii="Times New Roman" w:cs="Times New Roman"/>
                      <w:color w:val="auto"/>
                      <w:kern w:val="21"/>
                      <w:sz w:val="18"/>
                      <w:szCs w:val="21"/>
                    </w:rPr>
                  </w:pPr>
                  <w:r>
                    <w:rPr>
                      <w:rFonts w:hint="eastAsia" w:ascii="Times New Roman" w:cs="Times New Roman"/>
                      <w:color w:val="auto"/>
                      <w:kern w:val="21"/>
                      <w:sz w:val="18"/>
                      <w:szCs w:val="21"/>
                    </w:rPr>
                    <w:t>输液</w:t>
                  </w:r>
                </w:p>
              </w:tc>
              <w:tc>
                <w:tcPr>
                  <w:tcW w:w="459" w:type="pct"/>
                  <w:vAlign w:val="center"/>
                </w:tcPr>
                <w:p w14:paraId="34436BB0">
                  <w:pPr>
                    <w:pStyle w:val="25"/>
                    <w:overflowPunct w:val="0"/>
                    <w:autoSpaceDE/>
                    <w:autoSpaceDN/>
                    <w:snapToGrid w:val="0"/>
                    <w:jc w:val="center"/>
                    <w:rPr>
                      <w:rFonts w:ascii="Times New Roman" w:cs="Times New Roman"/>
                      <w:b/>
                      <w:bCs/>
                      <w:color w:val="auto"/>
                      <w:kern w:val="21"/>
                      <w:sz w:val="18"/>
                      <w:szCs w:val="21"/>
                    </w:rPr>
                  </w:pPr>
                  <w:r>
                    <w:rPr>
                      <w:rFonts w:hint="eastAsia" w:ascii="Times New Roman" w:cs="Times New Roman"/>
                      <w:b/>
                      <w:bCs/>
                      <w:color w:val="auto"/>
                      <w:kern w:val="21"/>
                      <w:sz w:val="18"/>
                      <w:szCs w:val="21"/>
                    </w:rPr>
                    <w:t>/</w:t>
                  </w:r>
                </w:p>
              </w:tc>
              <w:tc>
                <w:tcPr>
                  <w:tcW w:w="440" w:type="pct"/>
                  <w:vAlign w:val="center"/>
                </w:tcPr>
                <w:p w14:paraId="0649A5E0">
                  <w:pPr>
                    <w:pStyle w:val="25"/>
                    <w:overflowPunct w:val="0"/>
                    <w:autoSpaceDE/>
                    <w:autoSpaceDN/>
                    <w:snapToGrid w:val="0"/>
                    <w:jc w:val="center"/>
                    <w:rPr>
                      <w:rFonts w:ascii="Times New Roman" w:cs="Times New Roman"/>
                      <w:bCs/>
                      <w:color w:val="auto"/>
                      <w:sz w:val="18"/>
                      <w:szCs w:val="18"/>
                    </w:rPr>
                  </w:pPr>
                  <w:r>
                    <w:rPr>
                      <w:rFonts w:hint="eastAsia" w:ascii="Times New Roman" w:cs="Times New Roman"/>
                      <w:bCs/>
                      <w:color w:val="auto"/>
                      <w:sz w:val="18"/>
                      <w:szCs w:val="18"/>
                    </w:rPr>
                    <w:t>SW17</w:t>
                  </w:r>
                </w:p>
              </w:tc>
              <w:tc>
                <w:tcPr>
                  <w:tcW w:w="809" w:type="pct"/>
                  <w:vAlign w:val="center"/>
                </w:tcPr>
                <w:p w14:paraId="7FE46F95">
                  <w:pPr>
                    <w:pStyle w:val="25"/>
                    <w:overflowPunct w:val="0"/>
                    <w:autoSpaceDE/>
                    <w:autoSpaceDN/>
                    <w:snapToGrid w:val="0"/>
                    <w:jc w:val="center"/>
                    <w:rPr>
                      <w:rFonts w:ascii="Times New Roman" w:cs="Times New Roman"/>
                      <w:b/>
                      <w:bCs/>
                      <w:color w:val="auto"/>
                      <w:kern w:val="21"/>
                      <w:sz w:val="18"/>
                      <w:szCs w:val="21"/>
                    </w:rPr>
                  </w:pPr>
                  <w:r>
                    <w:rPr>
                      <w:rFonts w:hint="eastAsia" w:ascii="Times New Roman" w:cs="Times New Roman"/>
                      <w:bCs/>
                      <w:color w:val="auto"/>
                      <w:sz w:val="18"/>
                      <w:szCs w:val="18"/>
                    </w:rPr>
                    <w:t>900-099-S17</w:t>
                  </w:r>
                </w:p>
              </w:tc>
              <w:tc>
                <w:tcPr>
                  <w:tcW w:w="365" w:type="pct"/>
                  <w:vAlign w:val="center"/>
                </w:tcPr>
                <w:p w14:paraId="2EE352F1">
                  <w:pPr>
                    <w:pStyle w:val="25"/>
                    <w:overflowPunct w:val="0"/>
                    <w:autoSpaceDE/>
                    <w:autoSpaceDN/>
                    <w:snapToGrid w:val="0"/>
                    <w:jc w:val="center"/>
                    <w:rPr>
                      <w:rFonts w:ascii="Times New Roman" w:cs="Times New Roman"/>
                      <w:b/>
                      <w:bCs/>
                      <w:color w:val="auto"/>
                      <w:kern w:val="21"/>
                      <w:sz w:val="18"/>
                      <w:szCs w:val="21"/>
                    </w:rPr>
                  </w:pPr>
                  <w:r>
                    <w:rPr>
                      <w:rFonts w:hint="eastAsia" w:ascii="Times New Roman" w:cs="Times New Roman"/>
                      <w:color w:val="auto"/>
                      <w:kern w:val="21"/>
                      <w:sz w:val="18"/>
                      <w:szCs w:val="21"/>
                    </w:rPr>
                    <w:t>固态</w:t>
                  </w:r>
                </w:p>
              </w:tc>
              <w:tc>
                <w:tcPr>
                  <w:tcW w:w="441" w:type="pct"/>
                  <w:vAlign w:val="center"/>
                </w:tcPr>
                <w:p w14:paraId="444A23FF">
                  <w:pPr>
                    <w:pStyle w:val="25"/>
                    <w:overflowPunct w:val="0"/>
                    <w:autoSpaceDE/>
                    <w:autoSpaceDN/>
                    <w:snapToGrid w:val="0"/>
                    <w:jc w:val="center"/>
                    <w:rPr>
                      <w:rFonts w:ascii="Times New Roman" w:cs="Times New Roman"/>
                      <w:b/>
                      <w:bCs/>
                      <w:color w:val="auto"/>
                      <w:kern w:val="21"/>
                      <w:sz w:val="18"/>
                      <w:szCs w:val="21"/>
                    </w:rPr>
                  </w:pPr>
                  <w:r>
                    <w:rPr>
                      <w:rFonts w:hint="eastAsia" w:ascii="Times New Roman" w:cs="Times New Roman"/>
                      <w:color w:val="auto"/>
                      <w:kern w:val="21"/>
                      <w:sz w:val="18"/>
                      <w:szCs w:val="21"/>
                    </w:rPr>
                    <w:t>桶装</w:t>
                  </w:r>
                </w:p>
              </w:tc>
              <w:tc>
                <w:tcPr>
                  <w:tcW w:w="492" w:type="pct"/>
                  <w:vAlign w:val="center"/>
                </w:tcPr>
                <w:p w14:paraId="7249A55C">
                  <w:pPr>
                    <w:pStyle w:val="25"/>
                    <w:overflowPunct w:val="0"/>
                    <w:autoSpaceDE/>
                    <w:autoSpaceDN/>
                    <w:snapToGrid w:val="0"/>
                    <w:jc w:val="center"/>
                    <w:rPr>
                      <w:rFonts w:ascii="Times New Roman" w:cs="Times New Roman"/>
                      <w:color w:val="auto"/>
                      <w:kern w:val="21"/>
                      <w:sz w:val="18"/>
                      <w:szCs w:val="21"/>
                    </w:rPr>
                  </w:pPr>
                  <w:r>
                    <w:rPr>
                      <w:rFonts w:hint="eastAsia" w:ascii="Times New Roman" w:cs="Times New Roman"/>
                      <w:color w:val="auto"/>
                      <w:kern w:val="21"/>
                      <w:sz w:val="18"/>
                      <w:szCs w:val="21"/>
                    </w:rPr>
                    <w:t>0.08</w:t>
                  </w:r>
                </w:p>
              </w:tc>
              <w:tc>
                <w:tcPr>
                  <w:tcW w:w="578" w:type="pct"/>
                  <w:vAlign w:val="center"/>
                </w:tcPr>
                <w:p w14:paraId="076FC7EB">
                  <w:pPr>
                    <w:pStyle w:val="25"/>
                    <w:overflowPunct w:val="0"/>
                    <w:autoSpaceDE/>
                    <w:autoSpaceDN/>
                    <w:snapToGrid w:val="0"/>
                    <w:jc w:val="center"/>
                    <w:rPr>
                      <w:rFonts w:ascii="Times New Roman" w:cs="Times New Roman"/>
                      <w:color w:val="auto"/>
                      <w:sz w:val="18"/>
                      <w:szCs w:val="18"/>
                    </w:rPr>
                  </w:pPr>
                  <w:r>
                    <w:rPr>
                      <w:rFonts w:hint="eastAsia" w:ascii="Times New Roman" w:cs="Times New Roman"/>
                      <w:color w:val="auto"/>
                      <w:sz w:val="18"/>
                      <w:szCs w:val="18"/>
                    </w:rPr>
                    <w:t>交由再生资源利用单位回收处理</w:t>
                  </w:r>
                </w:p>
              </w:tc>
            </w:tr>
            <w:tr w14:paraId="6BBFF1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34" w:type="pct"/>
                  <w:vAlign w:val="center"/>
                </w:tcPr>
                <w:p w14:paraId="03ABB889">
                  <w:pPr>
                    <w:pStyle w:val="25"/>
                    <w:overflowPunct w:val="0"/>
                    <w:autoSpaceDE/>
                    <w:autoSpaceDN/>
                    <w:snapToGrid w:val="0"/>
                    <w:jc w:val="both"/>
                    <w:rPr>
                      <w:rFonts w:ascii="Times New Roman" w:cs="Times New Roman"/>
                      <w:color w:val="auto"/>
                      <w:kern w:val="21"/>
                      <w:sz w:val="18"/>
                      <w:szCs w:val="21"/>
                    </w:rPr>
                  </w:pPr>
                  <w:r>
                    <w:rPr>
                      <w:rFonts w:hint="eastAsia" w:ascii="Times New Roman" w:cs="Times New Roman"/>
                      <w:color w:val="auto"/>
                      <w:kern w:val="21"/>
                      <w:sz w:val="18"/>
                      <w:szCs w:val="21"/>
                    </w:rPr>
                    <w:t>3</w:t>
                  </w:r>
                </w:p>
              </w:tc>
              <w:tc>
                <w:tcPr>
                  <w:tcW w:w="371" w:type="pct"/>
                  <w:vAlign w:val="center"/>
                </w:tcPr>
                <w:p w14:paraId="639C2202">
                  <w:pPr>
                    <w:adjustRightInd w:val="0"/>
                    <w:snapToGrid w:val="0"/>
                    <w:jc w:val="center"/>
                    <w:rPr>
                      <w:color w:val="auto"/>
                      <w:kern w:val="21"/>
                      <w:sz w:val="18"/>
                      <w:szCs w:val="21"/>
                    </w:rPr>
                  </w:pPr>
                  <w:r>
                    <w:rPr>
                      <w:rFonts w:hint="eastAsia"/>
                      <w:color w:val="auto"/>
                      <w:kern w:val="21"/>
                      <w:sz w:val="18"/>
                      <w:szCs w:val="21"/>
                    </w:rPr>
                    <w:t>药品包装盒</w:t>
                  </w:r>
                </w:p>
              </w:tc>
              <w:tc>
                <w:tcPr>
                  <w:tcW w:w="357" w:type="pct"/>
                  <w:vMerge w:val="continue"/>
                  <w:vAlign w:val="center"/>
                </w:tcPr>
                <w:p w14:paraId="794B64FD">
                  <w:pPr>
                    <w:pStyle w:val="25"/>
                    <w:overflowPunct w:val="0"/>
                    <w:autoSpaceDE/>
                    <w:autoSpaceDN/>
                    <w:snapToGrid w:val="0"/>
                    <w:jc w:val="center"/>
                    <w:rPr>
                      <w:rFonts w:ascii="Times New Roman" w:cs="Times New Roman"/>
                      <w:color w:val="auto"/>
                      <w:kern w:val="21"/>
                      <w:sz w:val="18"/>
                      <w:szCs w:val="21"/>
                    </w:rPr>
                  </w:pPr>
                </w:p>
              </w:tc>
              <w:tc>
                <w:tcPr>
                  <w:tcW w:w="449" w:type="pct"/>
                  <w:vAlign w:val="center"/>
                </w:tcPr>
                <w:p w14:paraId="02D59A62">
                  <w:pPr>
                    <w:pStyle w:val="25"/>
                    <w:overflowPunct w:val="0"/>
                    <w:autoSpaceDE/>
                    <w:autoSpaceDN/>
                    <w:snapToGrid w:val="0"/>
                    <w:jc w:val="center"/>
                    <w:rPr>
                      <w:rFonts w:ascii="Times New Roman" w:cs="Times New Roman"/>
                      <w:color w:val="auto"/>
                      <w:kern w:val="21"/>
                      <w:sz w:val="18"/>
                      <w:szCs w:val="21"/>
                    </w:rPr>
                  </w:pPr>
                  <w:r>
                    <w:rPr>
                      <w:rFonts w:hint="eastAsia" w:ascii="Times New Roman" w:cs="Times New Roman"/>
                      <w:color w:val="auto"/>
                      <w:kern w:val="21"/>
                      <w:sz w:val="18"/>
                      <w:szCs w:val="21"/>
                    </w:rPr>
                    <w:t>药品</w:t>
                  </w:r>
                </w:p>
              </w:tc>
              <w:tc>
                <w:tcPr>
                  <w:tcW w:w="459" w:type="pct"/>
                  <w:vAlign w:val="center"/>
                </w:tcPr>
                <w:p w14:paraId="48BF89F1">
                  <w:pPr>
                    <w:pStyle w:val="25"/>
                    <w:overflowPunct w:val="0"/>
                    <w:autoSpaceDE/>
                    <w:autoSpaceDN/>
                    <w:snapToGrid w:val="0"/>
                    <w:jc w:val="center"/>
                    <w:rPr>
                      <w:rFonts w:ascii="Times New Roman" w:cs="Times New Roman"/>
                      <w:b/>
                      <w:bCs/>
                      <w:color w:val="auto"/>
                      <w:kern w:val="21"/>
                      <w:sz w:val="18"/>
                      <w:szCs w:val="21"/>
                    </w:rPr>
                  </w:pPr>
                  <w:r>
                    <w:rPr>
                      <w:rFonts w:hint="eastAsia" w:ascii="Times New Roman" w:cs="Times New Roman"/>
                      <w:b/>
                      <w:bCs/>
                      <w:color w:val="auto"/>
                      <w:kern w:val="21"/>
                      <w:sz w:val="18"/>
                      <w:szCs w:val="21"/>
                    </w:rPr>
                    <w:t>/</w:t>
                  </w:r>
                </w:p>
              </w:tc>
              <w:tc>
                <w:tcPr>
                  <w:tcW w:w="440" w:type="pct"/>
                  <w:vAlign w:val="center"/>
                </w:tcPr>
                <w:p w14:paraId="3A9F0E32">
                  <w:pPr>
                    <w:pStyle w:val="25"/>
                    <w:overflowPunct w:val="0"/>
                    <w:autoSpaceDE/>
                    <w:autoSpaceDN/>
                    <w:snapToGrid w:val="0"/>
                    <w:jc w:val="center"/>
                    <w:rPr>
                      <w:rFonts w:hint="eastAsia" w:ascii="Times New Roman" w:hAnsi="Times New Roman" w:eastAsia="宋体" w:cs="Times New Roman"/>
                      <w:bCs/>
                      <w:color w:val="auto"/>
                      <w:sz w:val="18"/>
                      <w:szCs w:val="18"/>
                    </w:rPr>
                  </w:pPr>
                  <w:r>
                    <w:rPr>
                      <w:rFonts w:hint="eastAsia" w:ascii="Times New Roman" w:hAnsi="Times New Roman" w:eastAsia="宋体" w:cs="Times New Roman"/>
                      <w:bCs/>
                      <w:color w:val="auto"/>
                      <w:sz w:val="18"/>
                      <w:szCs w:val="18"/>
                    </w:rPr>
                    <w:t>SW17</w:t>
                  </w:r>
                </w:p>
              </w:tc>
              <w:tc>
                <w:tcPr>
                  <w:tcW w:w="809" w:type="pct"/>
                  <w:vAlign w:val="center"/>
                </w:tcPr>
                <w:p w14:paraId="4027910A">
                  <w:pPr>
                    <w:pStyle w:val="25"/>
                    <w:overflowPunct w:val="0"/>
                    <w:autoSpaceDE/>
                    <w:autoSpaceDN/>
                    <w:snapToGrid w:val="0"/>
                    <w:jc w:val="center"/>
                    <w:rPr>
                      <w:rFonts w:hint="eastAsia" w:ascii="Times New Roman" w:hAnsi="Times New Roman" w:eastAsia="宋体" w:cs="Times New Roman"/>
                      <w:bCs/>
                      <w:color w:val="auto"/>
                      <w:sz w:val="18"/>
                      <w:szCs w:val="18"/>
                    </w:rPr>
                  </w:pPr>
                  <w:r>
                    <w:rPr>
                      <w:rFonts w:hint="eastAsia" w:ascii="Times New Roman" w:hAnsi="Times New Roman" w:eastAsia="宋体" w:cs="Times New Roman"/>
                      <w:bCs/>
                      <w:color w:val="auto"/>
                      <w:sz w:val="18"/>
                      <w:szCs w:val="18"/>
                    </w:rPr>
                    <w:t>900-005-S17</w:t>
                  </w:r>
                </w:p>
              </w:tc>
              <w:tc>
                <w:tcPr>
                  <w:tcW w:w="365" w:type="pct"/>
                  <w:vAlign w:val="center"/>
                </w:tcPr>
                <w:p w14:paraId="45D986E1">
                  <w:pPr>
                    <w:pStyle w:val="25"/>
                    <w:overflowPunct w:val="0"/>
                    <w:autoSpaceDE/>
                    <w:autoSpaceDN/>
                    <w:snapToGrid w:val="0"/>
                    <w:jc w:val="center"/>
                    <w:rPr>
                      <w:rFonts w:ascii="Times New Roman" w:cs="Times New Roman"/>
                      <w:b/>
                      <w:bCs/>
                      <w:color w:val="auto"/>
                      <w:kern w:val="21"/>
                      <w:sz w:val="18"/>
                      <w:szCs w:val="21"/>
                    </w:rPr>
                  </w:pPr>
                  <w:r>
                    <w:rPr>
                      <w:rFonts w:hint="eastAsia" w:ascii="Times New Roman" w:cs="Times New Roman"/>
                      <w:color w:val="auto"/>
                      <w:kern w:val="21"/>
                      <w:sz w:val="18"/>
                      <w:szCs w:val="21"/>
                    </w:rPr>
                    <w:t>固态</w:t>
                  </w:r>
                </w:p>
              </w:tc>
              <w:tc>
                <w:tcPr>
                  <w:tcW w:w="441" w:type="pct"/>
                  <w:vAlign w:val="center"/>
                </w:tcPr>
                <w:p w14:paraId="34A86167">
                  <w:pPr>
                    <w:pStyle w:val="25"/>
                    <w:overflowPunct w:val="0"/>
                    <w:autoSpaceDE/>
                    <w:autoSpaceDN/>
                    <w:snapToGrid w:val="0"/>
                    <w:jc w:val="center"/>
                    <w:rPr>
                      <w:rFonts w:ascii="Times New Roman" w:cs="Times New Roman"/>
                      <w:b/>
                      <w:bCs/>
                      <w:color w:val="auto"/>
                      <w:kern w:val="21"/>
                      <w:sz w:val="18"/>
                      <w:szCs w:val="21"/>
                    </w:rPr>
                  </w:pPr>
                  <w:r>
                    <w:rPr>
                      <w:rFonts w:hint="eastAsia" w:ascii="Times New Roman" w:cs="Times New Roman"/>
                      <w:color w:val="auto"/>
                      <w:kern w:val="21"/>
                      <w:sz w:val="18"/>
                      <w:szCs w:val="21"/>
                    </w:rPr>
                    <w:t>桶装</w:t>
                  </w:r>
                </w:p>
              </w:tc>
              <w:tc>
                <w:tcPr>
                  <w:tcW w:w="492" w:type="pct"/>
                  <w:vAlign w:val="center"/>
                </w:tcPr>
                <w:p w14:paraId="4864FF34">
                  <w:pPr>
                    <w:pStyle w:val="25"/>
                    <w:overflowPunct w:val="0"/>
                    <w:autoSpaceDE/>
                    <w:autoSpaceDN/>
                    <w:snapToGrid w:val="0"/>
                    <w:jc w:val="center"/>
                    <w:rPr>
                      <w:rFonts w:ascii="Times New Roman" w:cs="Times New Roman"/>
                      <w:color w:val="auto"/>
                      <w:kern w:val="21"/>
                      <w:sz w:val="18"/>
                      <w:szCs w:val="21"/>
                    </w:rPr>
                  </w:pPr>
                  <w:r>
                    <w:rPr>
                      <w:rFonts w:hint="eastAsia" w:ascii="Times New Roman" w:cs="Times New Roman"/>
                      <w:color w:val="auto"/>
                      <w:kern w:val="21"/>
                      <w:sz w:val="18"/>
                      <w:szCs w:val="21"/>
                    </w:rPr>
                    <w:t>0.01</w:t>
                  </w:r>
                </w:p>
              </w:tc>
              <w:tc>
                <w:tcPr>
                  <w:tcW w:w="578" w:type="pct"/>
                  <w:vAlign w:val="center"/>
                </w:tcPr>
                <w:p w14:paraId="4BF2C234">
                  <w:pPr>
                    <w:pStyle w:val="25"/>
                    <w:overflowPunct w:val="0"/>
                    <w:autoSpaceDE/>
                    <w:autoSpaceDN/>
                    <w:snapToGrid w:val="0"/>
                    <w:jc w:val="center"/>
                    <w:rPr>
                      <w:rFonts w:ascii="Times New Roman" w:cs="Times New Roman"/>
                      <w:color w:val="auto"/>
                      <w:sz w:val="18"/>
                      <w:szCs w:val="18"/>
                    </w:rPr>
                  </w:pPr>
                  <w:r>
                    <w:rPr>
                      <w:rFonts w:hint="eastAsia" w:ascii="Times New Roman" w:cs="Times New Roman"/>
                      <w:color w:val="auto"/>
                      <w:sz w:val="18"/>
                      <w:szCs w:val="18"/>
                    </w:rPr>
                    <w:t>交由有关单位回收</w:t>
                  </w:r>
                </w:p>
              </w:tc>
            </w:tr>
            <w:tr w14:paraId="49A42F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34" w:type="pct"/>
                  <w:vAlign w:val="center"/>
                </w:tcPr>
                <w:p w14:paraId="48AC6280">
                  <w:pPr>
                    <w:pStyle w:val="25"/>
                    <w:overflowPunct w:val="0"/>
                    <w:autoSpaceDE/>
                    <w:autoSpaceDN/>
                    <w:snapToGrid w:val="0"/>
                    <w:jc w:val="both"/>
                    <w:rPr>
                      <w:rFonts w:ascii="Times New Roman" w:cs="Times New Roman"/>
                      <w:color w:val="auto"/>
                      <w:kern w:val="21"/>
                      <w:sz w:val="18"/>
                      <w:szCs w:val="21"/>
                    </w:rPr>
                  </w:pPr>
                  <w:r>
                    <w:rPr>
                      <w:rFonts w:hint="eastAsia" w:ascii="Times New Roman" w:cs="Times New Roman"/>
                      <w:color w:val="auto"/>
                      <w:kern w:val="21"/>
                      <w:sz w:val="18"/>
                      <w:szCs w:val="21"/>
                    </w:rPr>
                    <w:t>4</w:t>
                  </w:r>
                </w:p>
              </w:tc>
              <w:tc>
                <w:tcPr>
                  <w:tcW w:w="371" w:type="pct"/>
                  <w:vAlign w:val="center"/>
                </w:tcPr>
                <w:p w14:paraId="1433DF78">
                  <w:pPr>
                    <w:pStyle w:val="25"/>
                    <w:overflowPunct w:val="0"/>
                    <w:autoSpaceDE/>
                    <w:autoSpaceDN/>
                    <w:snapToGrid w:val="0"/>
                    <w:jc w:val="center"/>
                    <w:rPr>
                      <w:rFonts w:ascii="Times New Roman" w:cs="Times New Roman"/>
                      <w:color w:val="auto"/>
                      <w:kern w:val="21"/>
                      <w:sz w:val="18"/>
                      <w:szCs w:val="21"/>
                    </w:rPr>
                  </w:pPr>
                  <w:r>
                    <w:rPr>
                      <w:rFonts w:hint="eastAsia" w:ascii="Times New Roman" w:cs="Times New Roman"/>
                      <w:color w:val="auto"/>
                      <w:kern w:val="21"/>
                      <w:sz w:val="18"/>
                      <w:szCs w:val="21"/>
                    </w:rPr>
                    <w:t>废中药渣</w:t>
                  </w:r>
                </w:p>
              </w:tc>
              <w:tc>
                <w:tcPr>
                  <w:tcW w:w="357" w:type="pct"/>
                  <w:vMerge w:val="continue"/>
                  <w:vAlign w:val="center"/>
                </w:tcPr>
                <w:p w14:paraId="6980C744">
                  <w:pPr>
                    <w:pStyle w:val="25"/>
                    <w:overflowPunct w:val="0"/>
                    <w:autoSpaceDE/>
                    <w:autoSpaceDN/>
                    <w:snapToGrid w:val="0"/>
                    <w:jc w:val="center"/>
                    <w:rPr>
                      <w:rFonts w:ascii="Times New Roman" w:cs="Times New Roman"/>
                      <w:color w:val="auto"/>
                      <w:kern w:val="21"/>
                      <w:sz w:val="18"/>
                      <w:szCs w:val="21"/>
                    </w:rPr>
                  </w:pPr>
                </w:p>
              </w:tc>
              <w:tc>
                <w:tcPr>
                  <w:tcW w:w="449" w:type="pct"/>
                  <w:vAlign w:val="center"/>
                </w:tcPr>
                <w:p w14:paraId="7CACAA6C">
                  <w:pPr>
                    <w:pStyle w:val="25"/>
                    <w:overflowPunct w:val="0"/>
                    <w:autoSpaceDE/>
                    <w:autoSpaceDN/>
                    <w:snapToGrid w:val="0"/>
                    <w:jc w:val="center"/>
                    <w:rPr>
                      <w:rFonts w:ascii="Times New Roman" w:cs="Times New Roman"/>
                      <w:color w:val="auto"/>
                      <w:kern w:val="21"/>
                      <w:sz w:val="18"/>
                      <w:szCs w:val="21"/>
                    </w:rPr>
                  </w:pPr>
                  <w:r>
                    <w:rPr>
                      <w:rFonts w:hint="eastAsia" w:ascii="Times New Roman" w:cs="Times New Roman"/>
                      <w:color w:val="auto"/>
                      <w:kern w:val="21"/>
                      <w:sz w:val="18"/>
                      <w:szCs w:val="21"/>
                    </w:rPr>
                    <w:t>煎中药</w:t>
                  </w:r>
                </w:p>
              </w:tc>
              <w:tc>
                <w:tcPr>
                  <w:tcW w:w="459" w:type="pct"/>
                  <w:vAlign w:val="center"/>
                </w:tcPr>
                <w:p w14:paraId="4E4C69B3">
                  <w:pPr>
                    <w:pStyle w:val="25"/>
                    <w:overflowPunct w:val="0"/>
                    <w:autoSpaceDE/>
                    <w:autoSpaceDN/>
                    <w:snapToGrid w:val="0"/>
                    <w:jc w:val="center"/>
                    <w:rPr>
                      <w:rFonts w:ascii="Times New Roman" w:cs="Times New Roman"/>
                      <w:b/>
                      <w:bCs/>
                      <w:color w:val="auto"/>
                      <w:kern w:val="21"/>
                      <w:sz w:val="18"/>
                      <w:szCs w:val="21"/>
                    </w:rPr>
                  </w:pPr>
                  <w:r>
                    <w:rPr>
                      <w:rFonts w:hint="eastAsia" w:ascii="Times New Roman" w:cs="Times New Roman"/>
                      <w:b/>
                      <w:bCs/>
                      <w:color w:val="auto"/>
                      <w:kern w:val="21"/>
                      <w:sz w:val="18"/>
                      <w:szCs w:val="21"/>
                    </w:rPr>
                    <w:t>/</w:t>
                  </w:r>
                </w:p>
              </w:tc>
              <w:tc>
                <w:tcPr>
                  <w:tcW w:w="440" w:type="pct"/>
                  <w:vAlign w:val="center"/>
                </w:tcPr>
                <w:p w14:paraId="184B079A">
                  <w:pPr>
                    <w:pStyle w:val="25"/>
                    <w:overflowPunct w:val="0"/>
                    <w:autoSpaceDE/>
                    <w:autoSpaceDN/>
                    <w:snapToGrid w:val="0"/>
                    <w:jc w:val="center"/>
                    <w:rPr>
                      <w:rFonts w:hint="eastAsia" w:ascii="Times New Roman" w:hAnsi="Times New Roman" w:eastAsia="宋体" w:cs="Times New Roman"/>
                      <w:bCs/>
                      <w:color w:val="auto"/>
                      <w:sz w:val="18"/>
                      <w:szCs w:val="18"/>
                    </w:rPr>
                  </w:pPr>
                  <w:r>
                    <w:rPr>
                      <w:rFonts w:hint="eastAsia" w:ascii="Times New Roman" w:hAnsi="Times New Roman" w:eastAsia="宋体" w:cs="Times New Roman"/>
                      <w:bCs/>
                      <w:color w:val="auto"/>
                      <w:sz w:val="18"/>
                      <w:szCs w:val="18"/>
                    </w:rPr>
                    <w:t>SW59</w:t>
                  </w:r>
                </w:p>
              </w:tc>
              <w:tc>
                <w:tcPr>
                  <w:tcW w:w="809" w:type="pct"/>
                  <w:vAlign w:val="center"/>
                </w:tcPr>
                <w:p w14:paraId="0A9F37CB">
                  <w:pPr>
                    <w:pStyle w:val="25"/>
                    <w:overflowPunct w:val="0"/>
                    <w:autoSpaceDE/>
                    <w:autoSpaceDN/>
                    <w:snapToGrid w:val="0"/>
                    <w:jc w:val="center"/>
                    <w:rPr>
                      <w:rFonts w:hint="eastAsia" w:ascii="Times New Roman" w:hAnsi="Times New Roman" w:eastAsia="宋体" w:cs="Times New Roman"/>
                      <w:bCs/>
                      <w:color w:val="auto"/>
                      <w:sz w:val="18"/>
                      <w:szCs w:val="18"/>
                    </w:rPr>
                  </w:pPr>
                  <w:r>
                    <w:rPr>
                      <w:rFonts w:hint="eastAsia" w:ascii="Times New Roman" w:hAnsi="Times New Roman" w:eastAsia="宋体" w:cs="Times New Roman"/>
                      <w:bCs/>
                      <w:color w:val="auto"/>
                      <w:sz w:val="18"/>
                      <w:szCs w:val="18"/>
                    </w:rPr>
                    <w:t>900-099-S59</w:t>
                  </w:r>
                </w:p>
              </w:tc>
              <w:tc>
                <w:tcPr>
                  <w:tcW w:w="365" w:type="pct"/>
                  <w:vAlign w:val="center"/>
                </w:tcPr>
                <w:p w14:paraId="40257A8F">
                  <w:pPr>
                    <w:pStyle w:val="25"/>
                    <w:overflowPunct w:val="0"/>
                    <w:autoSpaceDE/>
                    <w:autoSpaceDN/>
                    <w:snapToGrid w:val="0"/>
                    <w:jc w:val="center"/>
                    <w:rPr>
                      <w:rFonts w:ascii="Times New Roman" w:cs="Times New Roman"/>
                      <w:b/>
                      <w:bCs/>
                      <w:color w:val="auto"/>
                      <w:kern w:val="21"/>
                      <w:sz w:val="18"/>
                      <w:szCs w:val="21"/>
                    </w:rPr>
                  </w:pPr>
                  <w:r>
                    <w:rPr>
                      <w:rFonts w:hint="eastAsia" w:ascii="Times New Roman" w:cs="Times New Roman"/>
                      <w:color w:val="auto"/>
                      <w:kern w:val="21"/>
                      <w:sz w:val="18"/>
                      <w:szCs w:val="21"/>
                    </w:rPr>
                    <w:t>固态</w:t>
                  </w:r>
                </w:p>
              </w:tc>
              <w:tc>
                <w:tcPr>
                  <w:tcW w:w="441" w:type="pct"/>
                  <w:vAlign w:val="center"/>
                </w:tcPr>
                <w:p w14:paraId="6C35AC8B">
                  <w:pPr>
                    <w:pStyle w:val="25"/>
                    <w:overflowPunct w:val="0"/>
                    <w:autoSpaceDE/>
                    <w:autoSpaceDN/>
                    <w:snapToGrid w:val="0"/>
                    <w:jc w:val="center"/>
                    <w:rPr>
                      <w:rFonts w:ascii="Times New Roman" w:cs="Times New Roman"/>
                      <w:b/>
                      <w:bCs/>
                      <w:color w:val="auto"/>
                      <w:kern w:val="21"/>
                      <w:sz w:val="18"/>
                      <w:szCs w:val="21"/>
                    </w:rPr>
                  </w:pPr>
                  <w:r>
                    <w:rPr>
                      <w:rFonts w:hint="eastAsia" w:ascii="Times New Roman" w:cs="Times New Roman"/>
                      <w:color w:val="auto"/>
                      <w:kern w:val="21"/>
                      <w:sz w:val="18"/>
                      <w:szCs w:val="21"/>
                    </w:rPr>
                    <w:t>桶装</w:t>
                  </w:r>
                </w:p>
              </w:tc>
              <w:tc>
                <w:tcPr>
                  <w:tcW w:w="492" w:type="pct"/>
                  <w:vAlign w:val="center"/>
                </w:tcPr>
                <w:p w14:paraId="485AF99A">
                  <w:pPr>
                    <w:pStyle w:val="25"/>
                    <w:overflowPunct w:val="0"/>
                    <w:autoSpaceDE/>
                    <w:autoSpaceDN/>
                    <w:snapToGrid w:val="0"/>
                    <w:jc w:val="center"/>
                    <w:rPr>
                      <w:rFonts w:ascii="Times New Roman" w:cs="Times New Roman"/>
                      <w:color w:val="auto"/>
                      <w:kern w:val="21"/>
                      <w:sz w:val="18"/>
                      <w:szCs w:val="21"/>
                    </w:rPr>
                  </w:pPr>
                  <w:r>
                    <w:rPr>
                      <w:rFonts w:hint="eastAsia" w:ascii="Times New Roman" w:cs="Times New Roman"/>
                      <w:color w:val="auto"/>
                      <w:kern w:val="21"/>
                      <w:sz w:val="18"/>
                      <w:szCs w:val="21"/>
                    </w:rPr>
                    <w:t>0.06</w:t>
                  </w:r>
                </w:p>
              </w:tc>
              <w:tc>
                <w:tcPr>
                  <w:tcW w:w="578" w:type="pct"/>
                  <w:vAlign w:val="center"/>
                </w:tcPr>
                <w:p w14:paraId="458E09D6">
                  <w:pPr>
                    <w:pStyle w:val="25"/>
                    <w:overflowPunct w:val="0"/>
                    <w:autoSpaceDE/>
                    <w:autoSpaceDN/>
                    <w:snapToGrid w:val="0"/>
                    <w:jc w:val="center"/>
                    <w:rPr>
                      <w:rFonts w:ascii="Times New Roman" w:cs="Times New Roman"/>
                      <w:b/>
                      <w:bCs/>
                      <w:color w:val="auto"/>
                      <w:kern w:val="21"/>
                      <w:sz w:val="18"/>
                      <w:szCs w:val="21"/>
                    </w:rPr>
                  </w:pPr>
                  <w:r>
                    <w:rPr>
                      <w:rFonts w:ascii="Times New Roman" w:cs="Times New Roman"/>
                      <w:color w:val="auto"/>
                      <w:sz w:val="18"/>
                      <w:szCs w:val="18"/>
                    </w:rPr>
                    <w:t>交由环卫部门处理</w:t>
                  </w:r>
                </w:p>
              </w:tc>
            </w:tr>
            <w:tr w14:paraId="3892F3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34" w:type="pct"/>
                  <w:shd w:val="clear" w:color="auto" w:fill="auto"/>
                  <w:vAlign w:val="center"/>
                </w:tcPr>
                <w:p w14:paraId="79028646">
                  <w:pPr>
                    <w:pStyle w:val="25"/>
                    <w:overflowPunct w:val="0"/>
                    <w:autoSpaceDE/>
                    <w:autoSpaceDN/>
                    <w:snapToGrid w:val="0"/>
                    <w:jc w:val="both"/>
                    <w:rPr>
                      <w:rFonts w:hint="eastAsia" w:ascii="Times New Roman" w:hAnsi="Times New Roman" w:eastAsia="宋体" w:cs="Times New Roman"/>
                      <w:color w:val="auto"/>
                      <w:kern w:val="21"/>
                      <w:sz w:val="18"/>
                      <w:szCs w:val="21"/>
                      <w:lang w:val="en-US" w:eastAsia="zh-CN" w:bidi="ar-SA"/>
                    </w:rPr>
                  </w:pPr>
                  <w:r>
                    <w:rPr>
                      <w:rFonts w:hint="eastAsia" w:ascii="Times New Roman" w:cs="Times New Roman"/>
                      <w:color w:val="auto"/>
                      <w:kern w:val="21"/>
                      <w:sz w:val="18"/>
                      <w:szCs w:val="21"/>
                      <w:lang w:val="en-US" w:eastAsia="zh-CN"/>
                    </w:rPr>
                    <w:t>5</w:t>
                  </w:r>
                </w:p>
              </w:tc>
              <w:tc>
                <w:tcPr>
                  <w:tcW w:w="371" w:type="pct"/>
                  <w:vAlign w:val="center"/>
                </w:tcPr>
                <w:p w14:paraId="7CC8719E">
                  <w:pPr>
                    <w:pStyle w:val="25"/>
                    <w:overflowPunct w:val="0"/>
                    <w:autoSpaceDE/>
                    <w:autoSpaceDN/>
                    <w:snapToGrid w:val="0"/>
                    <w:jc w:val="center"/>
                    <w:rPr>
                      <w:rFonts w:hint="default" w:ascii="Times New Roman" w:eastAsia="宋体" w:cs="Times New Roman"/>
                      <w:color w:val="7030A0"/>
                      <w:kern w:val="21"/>
                      <w:sz w:val="18"/>
                      <w:szCs w:val="21"/>
                      <w:lang w:val="en-US" w:eastAsia="zh-CN"/>
                    </w:rPr>
                  </w:pPr>
                  <w:r>
                    <w:rPr>
                      <w:rFonts w:hint="eastAsia" w:ascii="Times New Roman" w:cs="Times New Roman"/>
                      <w:color w:val="7030A0"/>
                      <w:kern w:val="21"/>
                      <w:sz w:val="18"/>
                      <w:szCs w:val="21"/>
                      <w:lang w:val="en-US" w:eastAsia="zh-CN"/>
                    </w:rPr>
                    <w:t>棉签、卫生用品等</w:t>
                  </w:r>
                </w:p>
              </w:tc>
              <w:tc>
                <w:tcPr>
                  <w:tcW w:w="357" w:type="pct"/>
                  <w:vMerge w:val="restart"/>
                  <w:vAlign w:val="center"/>
                </w:tcPr>
                <w:p w14:paraId="7209DECC">
                  <w:pPr>
                    <w:pStyle w:val="25"/>
                    <w:overflowPunct w:val="0"/>
                    <w:autoSpaceDE/>
                    <w:autoSpaceDN/>
                    <w:snapToGrid w:val="0"/>
                    <w:jc w:val="center"/>
                    <w:rPr>
                      <w:rFonts w:ascii="Times New Roman" w:cs="Times New Roman"/>
                      <w:color w:val="auto"/>
                      <w:kern w:val="21"/>
                      <w:sz w:val="18"/>
                      <w:szCs w:val="21"/>
                    </w:rPr>
                  </w:pPr>
                  <w:r>
                    <w:rPr>
                      <w:rFonts w:hint="eastAsia" w:ascii="Times New Roman" w:cs="Times New Roman"/>
                      <w:color w:val="auto"/>
                      <w:kern w:val="21"/>
                      <w:sz w:val="18"/>
                      <w:szCs w:val="21"/>
                    </w:rPr>
                    <w:t>危险固废</w:t>
                  </w:r>
                </w:p>
              </w:tc>
              <w:tc>
                <w:tcPr>
                  <w:tcW w:w="449" w:type="pct"/>
                  <w:vAlign w:val="center"/>
                </w:tcPr>
                <w:p w14:paraId="7C6328A4">
                  <w:pPr>
                    <w:pStyle w:val="25"/>
                    <w:overflowPunct w:val="0"/>
                    <w:autoSpaceDE/>
                    <w:autoSpaceDN/>
                    <w:snapToGrid w:val="0"/>
                    <w:jc w:val="center"/>
                    <w:rPr>
                      <w:rFonts w:hint="default" w:ascii="Times New Roman" w:eastAsia="宋体" w:cs="Times New Roman"/>
                      <w:color w:val="auto"/>
                      <w:kern w:val="21"/>
                      <w:sz w:val="18"/>
                      <w:szCs w:val="21"/>
                      <w:lang w:val="en-US" w:eastAsia="zh-CN"/>
                    </w:rPr>
                  </w:pPr>
                  <w:r>
                    <w:rPr>
                      <w:rFonts w:hint="eastAsia" w:ascii="Times New Roman" w:cs="Times New Roman"/>
                      <w:color w:val="auto"/>
                      <w:kern w:val="21"/>
                      <w:sz w:val="18"/>
                      <w:szCs w:val="21"/>
                    </w:rPr>
                    <w:t>住院</w:t>
                  </w:r>
                  <w:r>
                    <w:rPr>
                      <w:rFonts w:hint="eastAsia" w:ascii="Times New Roman" w:cs="Times New Roman"/>
                      <w:color w:val="auto"/>
                      <w:kern w:val="21"/>
                      <w:sz w:val="18"/>
                      <w:szCs w:val="21"/>
                      <w:lang w:val="en-US" w:eastAsia="zh-CN"/>
                    </w:rPr>
                    <w:t>-</w:t>
                  </w:r>
                  <w:r>
                    <w:rPr>
                      <w:rFonts w:hint="eastAsia" w:ascii="Times New Roman" w:cs="Times New Roman"/>
                      <w:color w:val="7030A0"/>
                      <w:kern w:val="21"/>
                      <w:sz w:val="18"/>
                      <w:szCs w:val="21"/>
                      <w:lang w:val="en-US" w:eastAsia="zh-CN"/>
                    </w:rPr>
                    <w:t>感染性废物</w:t>
                  </w:r>
                </w:p>
              </w:tc>
              <w:tc>
                <w:tcPr>
                  <w:tcW w:w="459" w:type="pct"/>
                  <w:shd w:val="clear" w:color="auto" w:fill="auto"/>
                  <w:vAlign w:val="center"/>
                </w:tcPr>
                <w:p w14:paraId="0FE81BB4">
                  <w:pPr>
                    <w:pStyle w:val="25"/>
                    <w:overflowPunct w:val="0"/>
                    <w:autoSpaceDE/>
                    <w:autoSpaceDN/>
                    <w:snapToGrid w:val="0"/>
                    <w:jc w:val="center"/>
                    <w:rPr>
                      <w:rFonts w:ascii="Times New Roman" w:cs="Times New Roman"/>
                      <w:b/>
                      <w:bCs/>
                      <w:color w:val="auto"/>
                      <w:kern w:val="21"/>
                      <w:sz w:val="18"/>
                      <w:szCs w:val="21"/>
                    </w:rPr>
                  </w:pPr>
                  <w:r>
                    <w:rPr>
                      <w:rFonts w:ascii="Times New Roman" w:cs="Times New Roman"/>
                      <w:bCs/>
                      <w:color w:val="auto"/>
                      <w:sz w:val="18"/>
                      <w:szCs w:val="18"/>
                    </w:rPr>
                    <w:t>In</w:t>
                  </w:r>
                </w:p>
              </w:tc>
              <w:tc>
                <w:tcPr>
                  <w:tcW w:w="440" w:type="pct"/>
                  <w:vAlign w:val="center"/>
                </w:tcPr>
                <w:p w14:paraId="25CECF32">
                  <w:pPr>
                    <w:pStyle w:val="25"/>
                    <w:overflowPunct w:val="0"/>
                    <w:autoSpaceDE/>
                    <w:autoSpaceDN/>
                    <w:snapToGrid w:val="0"/>
                    <w:jc w:val="center"/>
                    <w:rPr>
                      <w:rFonts w:ascii="Times New Roman" w:cs="Times New Roman"/>
                      <w:bCs/>
                      <w:color w:val="auto"/>
                      <w:sz w:val="18"/>
                      <w:szCs w:val="18"/>
                    </w:rPr>
                  </w:pPr>
                  <w:r>
                    <w:rPr>
                      <w:rFonts w:ascii="Times New Roman" w:cs="Times New Roman"/>
                      <w:bCs/>
                      <w:color w:val="auto"/>
                      <w:sz w:val="18"/>
                      <w:szCs w:val="18"/>
                    </w:rPr>
                    <w:t>HW01</w:t>
                  </w:r>
                </w:p>
              </w:tc>
              <w:tc>
                <w:tcPr>
                  <w:tcW w:w="809" w:type="pct"/>
                  <w:vMerge w:val="restart"/>
                  <w:vAlign w:val="center"/>
                </w:tcPr>
                <w:p w14:paraId="203B82D4">
                  <w:pPr>
                    <w:pStyle w:val="25"/>
                    <w:overflowPunct w:val="0"/>
                    <w:autoSpaceDE/>
                    <w:autoSpaceDN/>
                    <w:snapToGrid w:val="0"/>
                    <w:jc w:val="center"/>
                    <w:rPr>
                      <w:rFonts w:ascii="Times New Roman" w:cs="Times New Roman"/>
                      <w:bCs/>
                      <w:color w:val="auto"/>
                      <w:sz w:val="18"/>
                      <w:szCs w:val="18"/>
                    </w:rPr>
                  </w:pPr>
                  <w:r>
                    <w:rPr>
                      <w:rFonts w:ascii="Times New Roman" w:cs="Times New Roman"/>
                      <w:bCs/>
                      <w:color w:val="auto"/>
                      <w:sz w:val="18"/>
                      <w:szCs w:val="18"/>
                    </w:rPr>
                    <w:t>8</w:t>
                  </w:r>
                  <w:r>
                    <w:rPr>
                      <w:rFonts w:hint="eastAsia" w:ascii="Times New Roman" w:cs="Times New Roman"/>
                      <w:bCs/>
                      <w:color w:val="auto"/>
                      <w:sz w:val="18"/>
                      <w:szCs w:val="18"/>
                    </w:rPr>
                    <w:t>4</w:t>
                  </w:r>
                  <w:r>
                    <w:rPr>
                      <w:rFonts w:ascii="Times New Roman" w:cs="Times New Roman"/>
                      <w:bCs/>
                      <w:color w:val="auto"/>
                      <w:sz w:val="18"/>
                      <w:szCs w:val="18"/>
                    </w:rPr>
                    <w:t>1-001-01</w:t>
                  </w:r>
                  <w:r>
                    <w:rPr>
                      <w:rFonts w:hint="eastAsia" w:ascii="Times New Roman" w:cs="Times New Roman"/>
                      <w:bCs/>
                      <w:color w:val="auto"/>
                      <w:sz w:val="18"/>
                      <w:szCs w:val="18"/>
                    </w:rPr>
                    <w:t>、</w:t>
                  </w:r>
                  <w:r>
                    <w:rPr>
                      <w:rFonts w:ascii="Times New Roman" w:cs="Times New Roman"/>
                      <w:bCs/>
                      <w:color w:val="auto"/>
                      <w:sz w:val="18"/>
                      <w:szCs w:val="18"/>
                    </w:rPr>
                    <w:t>8</w:t>
                  </w:r>
                  <w:r>
                    <w:rPr>
                      <w:rFonts w:hint="eastAsia" w:ascii="Times New Roman" w:cs="Times New Roman"/>
                      <w:bCs/>
                      <w:color w:val="auto"/>
                      <w:sz w:val="18"/>
                      <w:szCs w:val="18"/>
                    </w:rPr>
                    <w:t>4</w:t>
                  </w:r>
                  <w:r>
                    <w:rPr>
                      <w:rFonts w:ascii="Times New Roman" w:cs="Times New Roman"/>
                      <w:bCs/>
                      <w:color w:val="auto"/>
                      <w:sz w:val="18"/>
                      <w:szCs w:val="18"/>
                    </w:rPr>
                    <w:t>1-00</w:t>
                  </w:r>
                  <w:r>
                    <w:rPr>
                      <w:rFonts w:hint="eastAsia" w:ascii="Times New Roman" w:cs="Times New Roman"/>
                      <w:bCs/>
                      <w:color w:val="auto"/>
                      <w:sz w:val="18"/>
                      <w:szCs w:val="18"/>
                    </w:rPr>
                    <w:t>4</w:t>
                  </w:r>
                  <w:r>
                    <w:rPr>
                      <w:rFonts w:ascii="Times New Roman" w:cs="Times New Roman"/>
                      <w:bCs/>
                      <w:color w:val="auto"/>
                      <w:sz w:val="18"/>
                      <w:szCs w:val="18"/>
                    </w:rPr>
                    <w:t>-01</w:t>
                  </w:r>
                  <w:r>
                    <w:rPr>
                      <w:rFonts w:hint="eastAsia" w:ascii="Times New Roman" w:cs="Times New Roman"/>
                      <w:bCs/>
                      <w:color w:val="auto"/>
                      <w:sz w:val="18"/>
                      <w:szCs w:val="18"/>
                    </w:rPr>
                    <w:t>、</w:t>
                  </w:r>
                  <w:r>
                    <w:rPr>
                      <w:rFonts w:ascii="Times New Roman" w:cs="Times New Roman"/>
                      <w:bCs/>
                      <w:color w:val="auto"/>
                      <w:sz w:val="18"/>
                      <w:szCs w:val="18"/>
                    </w:rPr>
                    <w:t>8</w:t>
                  </w:r>
                  <w:r>
                    <w:rPr>
                      <w:rFonts w:hint="eastAsia" w:ascii="Times New Roman" w:cs="Times New Roman"/>
                      <w:bCs/>
                      <w:color w:val="auto"/>
                      <w:sz w:val="18"/>
                      <w:szCs w:val="18"/>
                    </w:rPr>
                    <w:t>4</w:t>
                  </w:r>
                  <w:r>
                    <w:rPr>
                      <w:rFonts w:ascii="Times New Roman" w:cs="Times New Roman"/>
                      <w:bCs/>
                      <w:color w:val="auto"/>
                      <w:sz w:val="18"/>
                      <w:szCs w:val="18"/>
                    </w:rPr>
                    <w:t>1-00</w:t>
                  </w:r>
                  <w:r>
                    <w:rPr>
                      <w:rFonts w:hint="eastAsia" w:ascii="Times New Roman" w:cs="Times New Roman"/>
                      <w:bCs/>
                      <w:color w:val="auto"/>
                      <w:sz w:val="18"/>
                      <w:szCs w:val="18"/>
                    </w:rPr>
                    <w:t>5</w:t>
                  </w:r>
                  <w:r>
                    <w:rPr>
                      <w:rFonts w:ascii="Times New Roman" w:cs="Times New Roman"/>
                      <w:bCs/>
                      <w:color w:val="auto"/>
                      <w:sz w:val="18"/>
                      <w:szCs w:val="18"/>
                    </w:rPr>
                    <w:t>-01</w:t>
                  </w:r>
                </w:p>
              </w:tc>
              <w:tc>
                <w:tcPr>
                  <w:tcW w:w="365" w:type="pct"/>
                  <w:vAlign w:val="center"/>
                </w:tcPr>
                <w:p w14:paraId="4C2F3E3F">
                  <w:pPr>
                    <w:pStyle w:val="25"/>
                    <w:overflowPunct w:val="0"/>
                    <w:autoSpaceDE/>
                    <w:autoSpaceDN/>
                    <w:snapToGrid w:val="0"/>
                    <w:jc w:val="center"/>
                    <w:rPr>
                      <w:rFonts w:ascii="Times New Roman" w:cs="Times New Roman"/>
                      <w:b/>
                      <w:bCs/>
                      <w:color w:val="auto"/>
                      <w:kern w:val="21"/>
                      <w:sz w:val="18"/>
                      <w:szCs w:val="21"/>
                    </w:rPr>
                  </w:pPr>
                  <w:r>
                    <w:rPr>
                      <w:rFonts w:hint="eastAsia" w:ascii="Times New Roman" w:cs="Times New Roman"/>
                      <w:color w:val="auto"/>
                      <w:kern w:val="21"/>
                      <w:sz w:val="18"/>
                      <w:szCs w:val="21"/>
                    </w:rPr>
                    <w:t>固态</w:t>
                  </w:r>
                </w:p>
              </w:tc>
              <w:tc>
                <w:tcPr>
                  <w:tcW w:w="441" w:type="pct"/>
                  <w:vAlign w:val="center"/>
                </w:tcPr>
                <w:p w14:paraId="7FFE3FB2">
                  <w:pPr>
                    <w:pStyle w:val="25"/>
                    <w:overflowPunct w:val="0"/>
                    <w:autoSpaceDE/>
                    <w:autoSpaceDN/>
                    <w:snapToGrid w:val="0"/>
                    <w:jc w:val="center"/>
                    <w:rPr>
                      <w:rFonts w:ascii="Times New Roman" w:cs="Times New Roman"/>
                      <w:color w:val="auto"/>
                      <w:kern w:val="21"/>
                      <w:sz w:val="18"/>
                      <w:szCs w:val="21"/>
                    </w:rPr>
                  </w:pPr>
                  <w:r>
                    <w:rPr>
                      <w:rFonts w:hint="eastAsia" w:ascii="Times New Roman" w:cs="Times New Roman"/>
                      <w:color w:val="auto"/>
                      <w:kern w:val="21"/>
                      <w:sz w:val="18"/>
                      <w:szCs w:val="21"/>
                    </w:rPr>
                    <w:t>桶装</w:t>
                  </w:r>
                </w:p>
              </w:tc>
              <w:tc>
                <w:tcPr>
                  <w:tcW w:w="492" w:type="pct"/>
                  <w:vAlign w:val="center"/>
                </w:tcPr>
                <w:p w14:paraId="4561F19D">
                  <w:pPr>
                    <w:pStyle w:val="25"/>
                    <w:overflowPunct w:val="0"/>
                    <w:autoSpaceDE/>
                    <w:autoSpaceDN/>
                    <w:snapToGrid w:val="0"/>
                    <w:jc w:val="center"/>
                    <w:rPr>
                      <w:rFonts w:ascii="Times New Roman" w:cs="Times New Roman"/>
                      <w:color w:val="auto"/>
                      <w:kern w:val="21"/>
                      <w:sz w:val="18"/>
                      <w:szCs w:val="21"/>
                    </w:rPr>
                  </w:pPr>
                  <w:r>
                    <w:rPr>
                      <w:rFonts w:hint="eastAsia" w:ascii="Times New Roman" w:cs="Times New Roman"/>
                      <w:color w:val="auto"/>
                      <w:kern w:val="21"/>
                      <w:sz w:val="18"/>
                      <w:szCs w:val="21"/>
                    </w:rPr>
                    <w:t>3.6</w:t>
                  </w:r>
                </w:p>
              </w:tc>
              <w:tc>
                <w:tcPr>
                  <w:tcW w:w="578" w:type="pct"/>
                  <w:vMerge w:val="restart"/>
                  <w:vAlign w:val="center"/>
                </w:tcPr>
                <w:p w14:paraId="393F41A6">
                  <w:pPr>
                    <w:pStyle w:val="25"/>
                    <w:overflowPunct w:val="0"/>
                    <w:autoSpaceDE/>
                    <w:autoSpaceDN/>
                    <w:snapToGrid w:val="0"/>
                    <w:jc w:val="center"/>
                    <w:rPr>
                      <w:rFonts w:ascii="Times New Roman" w:cs="Times New Roman"/>
                      <w:b/>
                      <w:bCs/>
                      <w:color w:val="auto"/>
                      <w:kern w:val="21"/>
                      <w:sz w:val="18"/>
                      <w:szCs w:val="21"/>
                    </w:rPr>
                  </w:pPr>
                  <w:r>
                    <w:rPr>
                      <w:rFonts w:hint="eastAsia" w:ascii="Times New Roman" w:cs="Times New Roman"/>
                      <w:color w:val="auto"/>
                      <w:sz w:val="18"/>
                      <w:szCs w:val="18"/>
                    </w:rPr>
                    <w:t>委托有处理资质单位处理</w:t>
                  </w:r>
                </w:p>
              </w:tc>
            </w:tr>
            <w:tr w14:paraId="01FE83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44" w:hRule="atLeast"/>
              </w:trPr>
              <w:tc>
                <w:tcPr>
                  <w:tcW w:w="234" w:type="pct"/>
                  <w:shd w:val="clear" w:color="auto" w:fill="auto"/>
                  <w:vAlign w:val="center"/>
                </w:tcPr>
                <w:p w14:paraId="0775C4A8">
                  <w:pPr>
                    <w:pStyle w:val="25"/>
                    <w:overflowPunct w:val="0"/>
                    <w:autoSpaceDE/>
                    <w:autoSpaceDN/>
                    <w:snapToGrid w:val="0"/>
                    <w:jc w:val="both"/>
                    <w:rPr>
                      <w:rFonts w:ascii="Times New Roman" w:hAnsi="Times New Roman" w:eastAsia="宋体" w:cs="Times New Roman"/>
                      <w:color w:val="auto"/>
                      <w:kern w:val="21"/>
                      <w:sz w:val="18"/>
                      <w:szCs w:val="21"/>
                      <w:lang w:val="en-US" w:eastAsia="zh-CN" w:bidi="ar-SA"/>
                    </w:rPr>
                  </w:pPr>
                  <w:r>
                    <w:rPr>
                      <w:rFonts w:hint="eastAsia" w:ascii="Times New Roman" w:cs="Times New Roman"/>
                      <w:color w:val="auto"/>
                      <w:kern w:val="21"/>
                      <w:sz w:val="18"/>
                      <w:szCs w:val="21"/>
                    </w:rPr>
                    <w:t>6</w:t>
                  </w:r>
                </w:p>
              </w:tc>
              <w:tc>
                <w:tcPr>
                  <w:tcW w:w="371" w:type="pct"/>
                  <w:vAlign w:val="center"/>
                </w:tcPr>
                <w:p w14:paraId="42170D4A">
                  <w:pPr>
                    <w:pStyle w:val="25"/>
                    <w:overflowPunct w:val="0"/>
                    <w:autoSpaceDE/>
                    <w:autoSpaceDN/>
                    <w:snapToGrid w:val="0"/>
                    <w:jc w:val="center"/>
                    <w:rPr>
                      <w:rFonts w:hint="default" w:ascii="Times New Roman" w:eastAsia="宋体" w:cs="Times New Roman"/>
                      <w:color w:val="7030A0"/>
                      <w:kern w:val="21"/>
                      <w:sz w:val="18"/>
                      <w:szCs w:val="21"/>
                      <w:lang w:val="en-US" w:eastAsia="zh-CN"/>
                    </w:rPr>
                  </w:pPr>
                  <w:r>
                    <w:rPr>
                      <w:rFonts w:hint="eastAsia" w:ascii="Times New Roman" w:cs="Times New Roman"/>
                      <w:color w:val="7030A0"/>
                      <w:kern w:val="21"/>
                      <w:sz w:val="18"/>
                      <w:szCs w:val="21"/>
                      <w:lang w:val="en-US" w:eastAsia="zh-CN"/>
                    </w:rPr>
                    <w:t>过期药品药瓶</w:t>
                  </w:r>
                </w:p>
              </w:tc>
              <w:tc>
                <w:tcPr>
                  <w:tcW w:w="357" w:type="pct"/>
                  <w:vMerge w:val="continue"/>
                  <w:vAlign w:val="center"/>
                </w:tcPr>
                <w:p w14:paraId="1B0602E6">
                  <w:pPr>
                    <w:pStyle w:val="25"/>
                    <w:overflowPunct w:val="0"/>
                    <w:autoSpaceDE/>
                    <w:autoSpaceDN/>
                    <w:snapToGrid w:val="0"/>
                    <w:jc w:val="center"/>
                    <w:rPr>
                      <w:rFonts w:ascii="Times New Roman" w:cs="Times New Roman"/>
                      <w:color w:val="auto"/>
                      <w:kern w:val="21"/>
                      <w:sz w:val="18"/>
                      <w:szCs w:val="21"/>
                    </w:rPr>
                  </w:pPr>
                </w:p>
              </w:tc>
              <w:tc>
                <w:tcPr>
                  <w:tcW w:w="449" w:type="pct"/>
                  <w:vAlign w:val="center"/>
                </w:tcPr>
                <w:p w14:paraId="46241ECE">
                  <w:pPr>
                    <w:pStyle w:val="25"/>
                    <w:overflowPunct w:val="0"/>
                    <w:autoSpaceDE/>
                    <w:autoSpaceDN/>
                    <w:snapToGrid w:val="0"/>
                    <w:jc w:val="center"/>
                    <w:rPr>
                      <w:rFonts w:hint="default" w:ascii="Times New Roman" w:eastAsia="宋体" w:cs="Times New Roman"/>
                      <w:color w:val="auto"/>
                      <w:kern w:val="21"/>
                      <w:sz w:val="18"/>
                      <w:szCs w:val="21"/>
                      <w:lang w:val="en-US" w:eastAsia="zh-CN"/>
                    </w:rPr>
                  </w:pPr>
                  <w:r>
                    <w:rPr>
                      <w:rFonts w:hint="eastAsia" w:ascii="Times New Roman" w:cs="Times New Roman"/>
                      <w:color w:val="auto"/>
                      <w:kern w:val="21"/>
                      <w:sz w:val="18"/>
                      <w:szCs w:val="21"/>
                    </w:rPr>
                    <w:t>门诊</w:t>
                  </w:r>
                  <w:r>
                    <w:rPr>
                      <w:rFonts w:hint="eastAsia" w:ascii="Times New Roman" w:cs="Times New Roman"/>
                      <w:color w:val="auto"/>
                      <w:kern w:val="21"/>
                      <w:sz w:val="18"/>
                      <w:szCs w:val="21"/>
                      <w:lang w:val="en-US" w:eastAsia="zh-CN"/>
                    </w:rPr>
                    <w:t>-</w:t>
                  </w:r>
                  <w:r>
                    <w:rPr>
                      <w:rFonts w:hint="eastAsia" w:ascii="Times New Roman" w:cs="Times New Roman"/>
                      <w:color w:val="7030A0"/>
                      <w:kern w:val="21"/>
                      <w:sz w:val="18"/>
                      <w:szCs w:val="21"/>
                      <w:lang w:val="en-US" w:eastAsia="zh-CN"/>
                    </w:rPr>
                    <w:t>药物性废物</w:t>
                  </w:r>
                </w:p>
              </w:tc>
              <w:tc>
                <w:tcPr>
                  <w:tcW w:w="459" w:type="pct"/>
                  <w:shd w:val="clear" w:color="auto" w:fill="auto"/>
                  <w:vAlign w:val="center"/>
                </w:tcPr>
                <w:p w14:paraId="3DCF8D31">
                  <w:pPr>
                    <w:pStyle w:val="25"/>
                    <w:overflowPunct w:val="0"/>
                    <w:autoSpaceDE/>
                    <w:autoSpaceDN/>
                    <w:snapToGrid w:val="0"/>
                    <w:jc w:val="center"/>
                    <w:rPr>
                      <w:rFonts w:ascii="Times New Roman" w:cs="Times New Roman"/>
                      <w:b/>
                      <w:bCs/>
                      <w:color w:val="auto"/>
                      <w:kern w:val="21"/>
                      <w:sz w:val="18"/>
                      <w:szCs w:val="21"/>
                    </w:rPr>
                  </w:pPr>
                  <w:r>
                    <w:rPr>
                      <w:rFonts w:ascii="Times New Roman" w:cs="Times New Roman"/>
                      <w:bCs/>
                      <w:color w:val="auto"/>
                      <w:sz w:val="18"/>
                      <w:szCs w:val="18"/>
                    </w:rPr>
                    <w:t>In</w:t>
                  </w:r>
                </w:p>
              </w:tc>
              <w:tc>
                <w:tcPr>
                  <w:tcW w:w="440" w:type="pct"/>
                  <w:vAlign w:val="center"/>
                </w:tcPr>
                <w:p w14:paraId="38F54B49">
                  <w:pPr>
                    <w:pStyle w:val="25"/>
                    <w:overflowPunct w:val="0"/>
                    <w:autoSpaceDE/>
                    <w:autoSpaceDN/>
                    <w:snapToGrid w:val="0"/>
                    <w:jc w:val="center"/>
                    <w:rPr>
                      <w:rFonts w:ascii="Times New Roman" w:cs="Times New Roman"/>
                      <w:bCs/>
                      <w:color w:val="auto"/>
                      <w:sz w:val="18"/>
                      <w:szCs w:val="18"/>
                    </w:rPr>
                  </w:pPr>
                  <w:r>
                    <w:rPr>
                      <w:rFonts w:ascii="Times New Roman" w:cs="Times New Roman"/>
                      <w:bCs/>
                      <w:color w:val="auto"/>
                      <w:sz w:val="18"/>
                      <w:szCs w:val="18"/>
                    </w:rPr>
                    <w:t>HW01</w:t>
                  </w:r>
                </w:p>
              </w:tc>
              <w:tc>
                <w:tcPr>
                  <w:tcW w:w="809" w:type="pct"/>
                  <w:vMerge w:val="continue"/>
                  <w:vAlign w:val="center"/>
                </w:tcPr>
                <w:p w14:paraId="5BB84D80">
                  <w:pPr>
                    <w:pStyle w:val="25"/>
                    <w:overflowPunct w:val="0"/>
                    <w:autoSpaceDE/>
                    <w:autoSpaceDN/>
                    <w:snapToGrid w:val="0"/>
                    <w:jc w:val="center"/>
                    <w:rPr>
                      <w:rFonts w:ascii="Times New Roman" w:cs="Times New Roman"/>
                      <w:bCs/>
                      <w:color w:val="auto"/>
                      <w:sz w:val="18"/>
                      <w:szCs w:val="18"/>
                    </w:rPr>
                  </w:pPr>
                </w:p>
              </w:tc>
              <w:tc>
                <w:tcPr>
                  <w:tcW w:w="365" w:type="pct"/>
                  <w:vAlign w:val="center"/>
                </w:tcPr>
                <w:p w14:paraId="12E5F222">
                  <w:pPr>
                    <w:pStyle w:val="25"/>
                    <w:overflowPunct w:val="0"/>
                    <w:autoSpaceDE/>
                    <w:autoSpaceDN/>
                    <w:snapToGrid w:val="0"/>
                    <w:jc w:val="center"/>
                    <w:rPr>
                      <w:rFonts w:ascii="Times New Roman" w:cs="Times New Roman"/>
                      <w:b/>
                      <w:bCs/>
                      <w:color w:val="auto"/>
                      <w:kern w:val="21"/>
                      <w:sz w:val="18"/>
                      <w:szCs w:val="21"/>
                    </w:rPr>
                  </w:pPr>
                  <w:r>
                    <w:rPr>
                      <w:rFonts w:hint="eastAsia" w:ascii="Times New Roman" w:cs="Times New Roman"/>
                      <w:color w:val="auto"/>
                      <w:kern w:val="21"/>
                      <w:sz w:val="18"/>
                      <w:szCs w:val="21"/>
                    </w:rPr>
                    <w:t>固态</w:t>
                  </w:r>
                </w:p>
              </w:tc>
              <w:tc>
                <w:tcPr>
                  <w:tcW w:w="441" w:type="pct"/>
                  <w:vAlign w:val="center"/>
                </w:tcPr>
                <w:p w14:paraId="719A2CE7">
                  <w:pPr>
                    <w:pStyle w:val="25"/>
                    <w:overflowPunct w:val="0"/>
                    <w:autoSpaceDE/>
                    <w:autoSpaceDN/>
                    <w:snapToGrid w:val="0"/>
                    <w:jc w:val="center"/>
                    <w:rPr>
                      <w:rFonts w:ascii="Times New Roman" w:cs="Times New Roman"/>
                      <w:color w:val="auto"/>
                      <w:kern w:val="21"/>
                      <w:sz w:val="18"/>
                      <w:szCs w:val="21"/>
                    </w:rPr>
                  </w:pPr>
                  <w:r>
                    <w:rPr>
                      <w:rFonts w:hint="eastAsia" w:ascii="Times New Roman" w:cs="Times New Roman"/>
                      <w:color w:val="auto"/>
                      <w:kern w:val="21"/>
                      <w:sz w:val="18"/>
                      <w:szCs w:val="21"/>
                    </w:rPr>
                    <w:t>桶装</w:t>
                  </w:r>
                </w:p>
              </w:tc>
              <w:tc>
                <w:tcPr>
                  <w:tcW w:w="492" w:type="pct"/>
                  <w:vAlign w:val="center"/>
                </w:tcPr>
                <w:p w14:paraId="41D7AC23">
                  <w:pPr>
                    <w:pStyle w:val="25"/>
                    <w:overflowPunct w:val="0"/>
                    <w:autoSpaceDE/>
                    <w:autoSpaceDN/>
                    <w:snapToGrid w:val="0"/>
                    <w:jc w:val="center"/>
                    <w:rPr>
                      <w:rFonts w:hint="eastAsia" w:ascii="Times New Roman" w:eastAsia="宋体" w:cs="Times New Roman"/>
                      <w:color w:val="auto"/>
                      <w:kern w:val="21"/>
                      <w:sz w:val="18"/>
                      <w:szCs w:val="21"/>
                      <w:lang w:eastAsia="zh-CN"/>
                    </w:rPr>
                  </w:pPr>
                  <w:r>
                    <w:rPr>
                      <w:rFonts w:hint="eastAsia" w:ascii="Times New Roman" w:cs="Times New Roman"/>
                      <w:color w:val="auto"/>
                      <w:kern w:val="21"/>
                      <w:sz w:val="18"/>
                      <w:szCs w:val="21"/>
                      <w:lang w:eastAsia="zh-CN"/>
                    </w:rPr>
                    <w:t>0.9125</w:t>
                  </w:r>
                </w:p>
              </w:tc>
              <w:tc>
                <w:tcPr>
                  <w:tcW w:w="578" w:type="pct"/>
                  <w:vMerge w:val="continue"/>
                  <w:vAlign w:val="center"/>
                </w:tcPr>
                <w:p w14:paraId="34C481E4">
                  <w:pPr>
                    <w:pStyle w:val="25"/>
                    <w:overflowPunct w:val="0"/>
                    <w:autoSpaceDE/>
                    <w:autoSpaceDN/>
                    <w:snapToGrid w:val="0"/>
                    <w:jc w:val="center"/>
                    <w:rPr>
                      <w:rFonts w:ascii="Times New Roman" w:cs="Times New Roman"/>
                      <w:b/>
                      <w:bCs/>
                      <w:color w:val="auto"/>
                      <w:kern w:val="21"/>
                      <w:sz w:val="18"/>
                      <w:szCs w:val="21"/>
                    </w:rPr>
                  </w:pPr>
                </w:p>
              </w:tc>
            </w:tr>
            <w:tr w14:paraId="177F80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234" w:type="pct"/>
                  <w:shd w:val="clear" w:color="auto" w:fill="auto"/>
                  <w:vAlign w:val="center"/>
                </w:tcPr>
                <w:p w14:paraId="0B098B05">
                  <w:pPr>
                    <w:pStyle w:val="25"/>
                    <w:overflowPunct w:val="0"/>
                    <w:autoSpaceDE/>
                    <w:autoSpaceDN/>
                    <w:snapToGrid w:val="0"/>
                    <w:jc w:val="both"/>
                    <w:rPr>
                      <w:rFonts w:ascii="Times New Roman" w:hAnsi="Times New Roman" w:eastAsia="宋体" w:cs="Times New Roman"/>
                      <w:color w:val="auto"/>
                      <w:kern w:val="21"/>
                      <w:sz w:val="18"/>
                      <w:szCs w:val="21"/>
                      <w:lang w:val="en-US" w:eastAsia="zh-CN" w:bidi="ar-SA"/>
                    </w:rPr>
                  </w:pPr>
                  <w:r>
                    <w:rPr>
                      <w:rFonts w:hint="eastAsia" w:ascii="Times New Roman" w:cs="Times New Roman"/>
                      <w:color w:val="auto"/>
                      <w:kern w:val="21"/>
                      <w:sz w:val="18"/>
                      <w:szCs w:val="21"/>
                    </w:rPr>
                    <w:t>7</w:t>
                  </w:r>
                </w:p>
              </w:tc>
              <w:tc>
                <w:tcPr>
                  <w:tcW w:w="371" w:type="pct"/>
                  <w:vAlign w:val="center"/>
                </w:tcPr>
                <w:p w14:paraId="66BF9BBC">
                  <w:pPr>
                    <w:pStyle w:val="25"/>
                    <w:overflowPunct w:val="0"/>
                    <w:autoSpaceDE/>
                    <w:autoSpaceDN/>
                    <w:snapToGrid w:val="0"/>
                    <w:jc w:val="center"/>
                    <w:rPr>
                      <w:rFonts w:hint="default" w:ascii="Times New Roman" w:cs="Times New Roman"/>
                      <w:color w:val="7030A0"/>
                      <w:kern w:val="21"/>
                      <w:sz w:val="18"/>
                      <w:szCs w:val="21"/>
                      <w:lang w:val="en-US"/>
                    </w:rPr>
                  </w:pPr>
                  <w:r>
                    <w:rPr>
                      <w:rFonts w:hint="eastAsia" w:ascii="Times New Roman" w:cs="Times New Roman"/>
                      <w:color w:val="7030A0"/>
                      <w:kern w:val="21"/>
                      <w:sz w:val="18"/>
                      <w:szCs w:val="21"/>
                      <w:lang w:val="en-US" w:eastAsia="zh-CN"/>
                    </w:rPr>
                    <w:t>检验废液</w:t>
                  </w:r>
                </w:p>
              </w:tc>
              <w:tc>
                <w:tcPr>
                  <w:tcW w:w="357" w:type="pct"/>
                  <w:vMerge w:val="continue"/>
                  <w:vAlign w:val="center"/>
                </w:tcPr>
                <w:p w14:paraId="23933A42">
                  <w:pPr>
                    <w:pStyle w:val="25"/>
                    <w:overflowPunct w:val="0"/>
                    <w:autoSpaceDE/>
                    <w:autoSpaceDN/>
                    <w:snapToGrid w:val="0"/>
                    <w:jc w:val="center"/>
                    <w:rPr>
                      <w:rFonts w:ascii="Times New Roman" w:cs="Times New Roman"/>
                      <w:color w:val="auto"/>
                      <w:kern w:val="21"/>
                      <w:sz w:val="18"/>
                      <w:szCs w:val="21"/>
                    </w:rPr>
                  </w:pPr>
                </w:p>
              </w:tc>
              <w:tc>
                <w:tcPr>
                  <w:tcW w:w="449" w:type="pct"/>
                  <w:vAlign w:val="center"/>
                </w:tcPr>
                <w:p w14:paraId="0CA4A916">
                  <w:pPr>
                    <w:pStyle w:val="25"/>
                    <w:overflowPunct w:val="0"/>
                    <w:autoSpaceDE/>
                    <w:autoSpaceDN/>
                    <w:snapToGrid w:val="0"/>
                    <w:jc w:val="center"/>
                    <w:rPr>
                      <w:rFonts w:hint="default" w:ascii="Times New Roman" w:eastAsia="宋体" w:cs="Times New Roman"/>
                      <w:color w:val="auto"/>
                      <w:kern w:val="21"/>
                      <w:sz w:val="18"/>
                      <w:szCs w:val="21"/>
                      <w:lang w:val="en-US" w:eastAsia="zh-CN"/>
                    </w:rPr>
                  </w:pPr>
                  <w:r>
                    <w:rPr>
                      <w:rFonts w:hint="eastAsia" w:ascii="Times New Roman" w:cs="Times New Roman"/>
                      <w:color w:val="auto"/>
                      <w:kern w:val="21"/>
                      <w:sz w:val="18"/>
                      <w:szCs w:val="21"/>
                    </w:rPr>
                    <w:t>检验科</w:t>
                  </w:r>
                  <w:r>
                    <w:rPr>
                      <w:rFonts w:hint="eastAsia" w:ascii="Times New Roman" w:cs="Times New Roman"/>
                      <w:color w:val="auto"/>
                      <w:kern w:val="21"/>
                      <w:sz w:val="18"/>
                      <w:szCs w:val="21"/>
                      <w:lang w:val="en-US" w:eastAsia="zh-CN"/>
                    </w:rPr>
                    <w:t>-</w:t>
                  </w:r>
                  <w:r>
                    <w:rPr>
                      <w:rFonts w:hint="eastAsia" w:ascii="Times New Roman" w:cs="Times New Roman"/>
                      <w:color w:val="7030A0"/>
                      <w:kern w:val="21"/>
                      <w:sz w:val="18"/>
                      <w:szCs w:val="21"/>
                      <w:lang w:val="en-US" w:eastAsia="zh-CN"/>
                    </w:rPr>
                    <w:t>化学性废物</w:t>
                  </w:r>
                </w:p>
              </w:tc>
              <w:tc>
                <w:tcPr>
                  <w:tcW w:w="459" w:type="pct"/>
                  <w:shd w:val="clear" w:color="auto" w:fill="auto"/>
                  <w:vAlign w:val="center"/>
                </w:tcPr>
                <w:p w14:paraId="4BA78EEF">
                  <w:pPr>
                    <w:pStyle w:val="25"/>
                    <w:overflowPunct w:val="0"/>
                    <w:autoSpaceDE/>
                    <w:autoSpaceDN/>
                    <w:snapToGrid w:val="0"/>
                    <w:jc w:val="center"/>
                    <w:rPr>
                      <w:rFonts w:ascii="Times New Roman" w:cs="Times New Roman"/>
                      <w:b/>
                      <w:bCs/>
                      <w:color w:val="auto"/>
                      <w:kern w:val="21"/>
                      <w:sz w:val="18"/>
                      <w:szCs w:val="21"/>
                    </w:rPr>
                  </w:pPr>
                  <w:r>
                    <w:rPr>
                      <w:rFonts w:ascii="Times New Roman" w:cs="Times New Roman"/>
                      <w:bCs/>
                      <w:color w:val="auto"/>
                      <w:sz w:val="18"/>
                      <w:szCs w:val="18"/>
                    </w:rPr>
                    <w:t>T/C/I/R</w:t>
                  </w:r>
                </w:p>
              </w:tc>
              <w:tc>
                <w:tcPr>
                  <w:tcW w:w="440" w:type="pct"/>
                  <w:vAlign w:val="center"/>
                </w:tcPr>
                <w:p w14:paraId="592E44D1">
                  <w:pPr>
                    <w:pStyle w:val="25"/>
                    <w:overflowPunct w:val="0"/>
                    <w:autoSpaceDE/>
                    <w:autoSpaceDN/>
                    <w:snapToGrid w:val="0"/>
                    <w:jc w:val="center"/>
                    <w:rPr>
                      <w:rFonts w:ascii="Times New Roman" w:cs="Times New Roman"/>
                      <w:bCs/>
                      <w:color w:val="auto"/>
                      <w:sz w:val="18"/>
                      <w:szCs w:val="18"/>
                    </w:rPr>
                  </w:pPr>
                  <w:r>
                    <w:rPr>
                      <w:rFonts w:ascii="Times New Roman" w:cs="Times New Roman"/>
                      <w:bCs/>
                      <w:color w:val="auto"/>
                      <w:sz w:val="18"/>
                      <w:szCs w:val="18"/>
                    </w:rPr>
                    <w:t>HW01</w:t>
                  </w:r>
                </w:p>
              </w:tc>
              <w:tc>
                <w:tcPr>
                  <w:tcW w:w="809" w:type="pct"/>
                  <w:vMerge w:val="continue"/>
                  <w:vAlign w:val="center"/>
                </w:tcPr>
                <w:p w14:paraId="598DF4A3">
                  <w:pPr>
                    <w:pStyle w:val="25"/>
                    <w:overflowPunct w:val="0"/>
                    <w:autoSpaceDE/>
                    <w:autoSpaceDN/>
                    <w:snapToGrid w:val="0"/>
                    <w:jc w:val="center"/>
                    <w:rPr>
                      <w:rFonts w:ascii="Times New Roman" w:cs="Times New Roman"/>
                      <w:bCs/>
                      <w:color w:val="auto"/>
                      <w:sz w:val="18"/>
                      <w:szCs w:val="18"/>
                    </w:rPr>
                  </w:pPr>
                </w:p>
              </w:tc>
              <w:tc>
                <w:tcPr>
                  <w:tcW w:w="365" w:type="pct"/>
                  <w:vAlign w:val="center"/>
                </w:tcPr>
                <w:p w14:paraId="519D8552">
                  <w:pPr>
                    <w:pStyle w:val="25"/>
                    <w:overflowPunct w:val="0"/>
                    <w:autoSpaceDE/>
                    <w:autoSpaceDN/>
                    <w:snapToGrid w:val="0"/>
                    <w:jc w:val="center"/>
                    <w:rPr>
                      <w:rFonts w:hint="eastAsia" w:ascii="Times New Roman" w:eastAsia="宋体" w:cs="Times New Roman"/>
                      <w:b/>
                      <w:bCs/>
                      <w:color w:val="auto"/>
                      <w:kern w:val="21"/>
                      <w:sz w:val="18"/>
                      <w:szCs w:val="21"/>
                      <w:lang w:eastAsia="zh-CN"/>
                    </w:rPr>
                  </w:pPr>
                  <w:r>
                    <w:rPr>
                      <w:rFonts w:hint="eastAsia" w:ascii="Times New Roman" w:cs="Times New Roman"/>
                      <w:color w:val="auto"/>
                      <w:kern w:val="21"/>
                      <w:sz w:val="18"/>
                      <w:szCs w:val="21"/>
                      <w:lang w:val="en-US" w:eastAsia="zh-CN"/>
                    </w:rPr>
                    <w:t>液态</w:t>
                  </w:r>
                </w:p>
              </w:tc>
              <w:tc>
                <w:tcPr>
                  <w:tcW w:w="441" w:type="pct"/>
                  <w:vAlign w:val="center"/>
                </w:tcPr>
                <w:p w14:paraId="3ED9B406">
                  <w:pPr>
                    <w:pStyle w:val="25"/>
                    <w:overflowPunct w:val="0"/>
                    <w:autoSpaceDE/>
                    <w:autoSpaceDN/>
                    <w:snapToGrid w:val="0"/>
                    <w:jc w:val="center"/>
                    <w:rPr>
                      <w:rFonts w:ascii="Times New Roman" w:cs="Times New Roman"/>
                      <w:color w:val="auto"/>
                      <w:kern w:val="21"/>
                      <w:sz w:val="18"/>
                      <w:szCs w:val="21"/>
                    </w:rPr>
                  </w:pPr>
                  <w:r>
                    <w:rPr>
                      <w:rFonts w:hint="eastAsia" w:ascii="Times New Roman" w:cs="Times New Roman"/>
                      <w:color w:val="auto"/>
                      <w:kern w:val="21"/>
                      <w:sz w:val="18"/>
                      <w:szCs w:val="21"/>
                    </w:rPr>
                    <w:t>桶装</w:t>
                  </w:r>
                </w:p>
              </w:tc>
              <w:tc>
                <w:tcPr>
                  <w:tcW w:w="492" w:type="pct"/>
                  <w:vAlign w:val="center"/>
                </w:tcPr>
                <w:p w14:paraId="711F0C52">
                  <w:pPr>
                    <w:pStyle w:val="25"/>
                    <w:overflowPunct w:val="0"/>
                    <w:autoSpaceDE/>
                    <w:autoSpaceDN/>
                    <w:snapToGrid w:val="0"/>
                    <w:jc w:val="center"/>
                    <w:rPr>
                      <w:rFonts w:hint="default" w:ascii="Times New Roman" w:eastAsia="宋体" w:cs="Times New Roman"/>
                      <w:color w:val="auto"/>
                      <w:kern w:val="21"/>
                      <w:sz w:val="18"/>
                      <w:szCs w:val="21"/>
                      <w:lang w:val="en-US" w:eastAsia="zh-CN"/>
                    </w:rPr>
                  </w:pPr>
                  <w:r>
                    <w:rPr>
                      <w:rFonts w:hint="eastAsia" w:ascii="Times New Roman" w:cs="Times New Roman"/>
                      <w:color w:val="auto"/>
                      <w:kern w:val="21"/>
                      <w:sz w:val="18"/>
                      <w:szCs w:val="21"/>
                      <w:lang w:val="en-US" w:eastAsia="zh-CN"/>
                    </w:rPr>
                    <w:t>0.292</w:t>
                  </w:r>
                </w:p>
              </w:tc>
              <w:tc>
                <w:tcPr>
                  <w:tcW w:w="578" w:type="pct"/>
                  <w:vMerge w:val="continue"/>
                  <w:vAlign w:val="center"/>
                </w:tcPr>
                <w:p w14:paraId="061B9825">
                  <w:pPr>
                    <w:pStyle w:val="25"/>
                    <w:overflowPunct w:val="0"/>
                    <w:autoSpaceDE/>
                    <w:autoSpaceDN/>
                    <w:snapToGrid w:val="0"/>
                    <w:jc w:val="center"/>
                    <w:rPr>
                      <w:rFonts w:ascii="Times New Roman" w:cs="Times New Roman"/>
                      <w:b/>
                      <w:bCs/>
                      <w:color w:val="auto"/>
                      <w:kern w:val="21"/>
                      <w:sz w:val="18"/>
                      <w:szCs w:val="21"/>
                    </w:rPr>
                  </w:pPr>
                </w:p>
              </w:tc>
            </w:tr>
            <w:tr w14:paraId="18EE4D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4" w:type="pct"/>
                  <w:shd w:val="clear" w:color="auto" w:fill="auto"/>
                  <w:vAlign w:val="center"/>
                </w:tcPr>
                <w:p w14:paraId="0F730313">
                  <w:pPr>
                    <w:pStyle w:val="25"/>
                    <w:overflowPunct w:val="0"/>
                    <w:autoSpaceDE/>
                    <w:autoSpaceDN/>
                    <w:snapToGrid w:val="0"/>
                    <w:jc w:val="both"/>
                    <w:rPr>
                      <w:rFonts w:ascii="Times New Roman" w:hAnsi="Times New Roman" w:eastAsia="宋体" w:cs="Times New Roman"/>
                      <w:color w:val="auto"/>
                      <w:kern w:val="21"/>
                      <w:sz w:val="18"/>
                      <w:szCs w:val="21"/>
                      <w:lang w:val="en-US" w:eastAsia="zh-CN" w:bidi="ar-SA"/>
                    </w:rPr>
                  </w:pPr>
                  <w:r>
                    <w:rPr>
                      <w:rFonts w:hint="eastAsia" w:ascii="Times New Roman" w:cs="Times New Roman"/>
                      <w:color w:val="auto"/>
                      <w:kern w:val="21"/>
                      <w:sz w:val="18"/>
                      <w:szCs w:val="21"/>
                    </w:rPr>
                    <w:t>8</w:t>
                  </w:r>
                </w:p>
              </w:tc>
              <w:tc>
                <w:tcPr>
                  <w:tcW w:w="371" w:type="pct"/>
                  <w:vAlign w:val="center"/>
                </w:tcPr>
                <w:p w14:paraId="1FF51203">
                  <w:pPr>
                    <w:pStyle w:val="25"/>
                    <w:overflowPunct w:val="0"/>
                    <w:autoSpaceDE/>
                    <w:autoSpaceDN/>
                    <w:snapToGrid w:val="0"/>
                    <w:jc w:val="center"/>
                    <w:rPr>
                      <w:rFonts w:ascii="Times New Roman" w:cs="Times New Roman"/>
                      <w:color w:val="auto"/>
                      <w:kern w:val="21"/>
                      <w:sz w:val="18"/>
                      <w:szCs w:val="21"/>
                    </w:rPr>
                  </w:pPr>
                  <w:r>
                    <w:rPr>
                      <w:rFonts w:hint="eastAsia" w:ascii="Times New Roman" w:cs="Times New Roman"/>
                      <w:color w:val="auto"/>
                      <w:kern w:val="21"/>
                      <w:sz w:val="18"/>
                      <w:szCs w:val="21"/>
                    </w:rPr>
                    <w:t>废紫外线灯管</w:t>
                  </w:r>
                </w:p>
              </w:tc>
              <w:tc>
                <w:tcPr>
                  <w:tcW w:w="357" w:type="pct"/>
                  <w:vMerge w:val="continue"/>
                  <w:vAlign w:val="center"/>
                </w:tcPr>
                <w:p w14:paraId="4F4CE7C6">
                  <w:pPr>
                    <w:pStyle w:val="25"/>
                    <w:overflowPunct w:val="0"/>
                    <w:autoSpaceDE/>
                    <w:autoSpaceDN/>
                    <w:snapToGrid w:val="0"/>
                    <w:jc w:val="center"/>
                    <w:rPr>
                      <w:rFonts w:ascii="Times New Roman" w:cs="Times New Roman"/>
                      <w:color w:val="auto"/>
                      <w:kern w:val="21"/>
                      <w:sz w:val="18"/>
                      <w:szCs w:val="21"/>
                    </w:rPr>
                  </w:pPr>
                </w:p>
              </w:tc>
              <w:tc>
                <w:tcPr>
                  <w:tcW w:w="449" w:type="pct"/>
                  <w:vAlign w:val="center"/>
                </w:tcPr>
                <w:p w14:paraId="6E09C322">
                  <w:pPr>
                    <w:pStyle w:val="25"/>
                    <w:overflowPunct w:val="0"/>
                    <w:autoSpaceDE/>
                    <w:autoSpaceDN/>
                    <w:snapToGrid w:val="0"/>
                    <w:jc w:val="center"/>
                    <w:rPr>
                      <w:rFonts w:ascii="Times New Roman" w:cs="Times New Roman"/>
                      <w:color w:val="auto"/>
                      <w:kern w:val="21"/>
                      <w:sz w:val="18"/>
                      <w:szCs w:val="21"/>
                    </w:rPr>
                  </w:pPr>
                  <w:r>
                    <w:rPr>
                      <w:rFonts w:hint="eastAsia" w:ascii="Times New Roman" w:cs="Times New Roman"/>
                      <w:color w:val="auto"/>
                      <w:kern w:val="21"/>
                      <w:sz w:val="18"/>
                      <w:szCs w:val="21"/>
                    </w:rPr>
                    <w:t>消毒</w:t>
                  </w:r>
                </w:p>
              </w:tc>
              <w:tc>
                <w:tcPr>
                  <w:tcW w:w="459" w:type="pct"/>
                  <w:shd w:val="clear" w:color="auto" w:fill="auto"/>
                  <w:vAlign w:val="center"/>
                </w:tcPr>
                <w:p w14:paraId="26D24B2A">
                  <w:pPr>
                    <w:pStyle w:val="25"/>
                    <w:overflowPunct w:val="0"/>
                    <w:autoSpaceDE/>
                    <w:autoSpaceDN/>
                    <w:snapToGrid w:val="0"/>
                    <w:jc w:val="center"/>
                    <w:rPr>
                      <w:rFonts w:ascii="Times New Roman" w:cs="Times New Roman"/>
                      <w:b/>
                      <w:bCs/>
                      <w:color w:val="auto"/>
                      <w:kern w:val="21"/>
                      <w:sz w:val="18"/>
                      <w:szCs w:val="21"/>
                    </w:rPr>
                  </w:pPr>
                  <w:r>
                    <w:rPr>
                      <w:rFonts w:ascii="Times New Roman" w:cs="Times New Roman"/>
                      <w:bCs/>
                      <w:color w:val="auto"/>
                      <w:sz w:val="18"/>
                      <w:szCs w:val="18"/>
                    </w:rPr>
                    <w:t>In</w:t>
                  </w:r>
                </w:p>
              </w:tc>
              <w:tc>
                <w:tcPr>
                  <w:tcW w:w="440" w:type="pct"/>
                  <w:vAlign w:val="center"/>
                </w:tcPr>
                <w:p w14:paraId="76173EEE">
                  <w:pPr>
                    <w:pStyle w:val="25"/>
                    <w:overflowPunct w:val="0"/>
                    <w:autoSpaceDE/>
                    <w:autoSpaceDN/>
                    <w:snapToGrid w:val="0"/>
                    <w:jc w:val="center"/>
                    <w:rPr>
                      <w:rFonts w:ascii="Times New Roman" w:cs="Times New Roman"/>
                      <w:bCs/>
                      <w:color w:val="auto"/>
                      <w:sz w:val="18"/>
                      <w:szCs w:val="18"/>
                    </w:rPr>
                  </w:pPr>
                  <w:r>
                    <w:rPr>
                      <w:rFonts w:hint="eastAsia" w:ascii="Times New Roman" w:cs="Times New Roman"/>
                      <w:bCs/>
                      <w:color w:val="auto"/>
                      <w:sz w:val="18"/>
                      <w:szCs w:val="18"/>
                    </w:rPr>
                    <w:t>HW29</w:t>
                  </w:r>
                </w:p>
              </w:tc>
              <w:tc>
                <w:tcPr>
                  <w:tcW w:w="809" w:type="pct"/>
                  <w:vAlign w:val="center"/>
                </w:tcPr>
                <w:p w14:paraId="629CF317">
                  <w:pPr>
                    <w:pStyle w:val="25"/>
                    <w:overflowPunct w:val="0"/>
                    <w:autoSpaceDE/>
                    <w:autoSpaceDN/>
                    <w:snapToGrid w:val="0"/>
                    <w:jc w:val="center"/>
                    <w:rPr>
                      <w:rFonts w:ascii="Times New Roman" w:cs="Times New Roman"/>
                      <w:bCs/>
                      <w:color w:val="auto"/>
                      <w:sz w:val="18"/>
                      <w:szCs w:val="18"/>
                    </w:rPr>
                  </w:pPr>
                  <w:r>
                    <w:rPr>
                      <w:rFonts w:ascii="Times New Roman" w:cs="Times New Roman"/>
                      <w:bCs/>
                      <w:color w:val="auto"/>
                      <w:sz w:val="18"/>
                      <w:szCs w:val="18"/>
                    </w:rPr>
                    <w:t>900-0</w:t>
                  </w:r>
                  <w:r>
                    <w:rPr>
                      <w:rFonts w:hint="eastAsia" w:ascii="Times New Roman" w:cs="Times New Roman"/>
                      <w:bCs/>
                      <w:color w:val="auto"/>
                      <w:sz w:val="18"/>
                      <w:szCs w:val="18"/>
                    </w:rPr>
                    <w:t>23</w:t>
                  </w:r>
                  <w:r>
                    <w:rPr>
                      <w:rFonts w:ascii="Times New Roman" w:cs="Times New Roman"/>
                      <w:bCs/>
                      <w:color w:val="auto"/>
                      <w:sz w:val="18"/>
                      <w:szCs w:val="18"/>
                    </w:rPr>
                    <w:t>-</w:t>
                  </w:r>
                  <w:r>
                    <w:rPr>
                      <w:rFonts w:hint="eastAsia" w:ascii="Times New Roman" w:cs="Times New Roman"/>
                      <w:bCs/>
                      <w:color w:val="auto"/>
                      <w:sz w:val="18"/>
                      <w:szCs w:val="18"/>
                    </w:rPr>
                    <w:t>2</w:t>
                  </w:r>
                  <w:r>
                    <w:rPr>
                      <w:rFonts w:ascii="Times New Roman" w:cs="Times New Roman"/>
                      <w:bCs/>
                      <w:color w:val="auto"/>
                      <w:sz w:val="18"/>
                      <w:szCs w:val="18"/>
                    </w:rPr>
                    <w:t>9</w:t>
                  </w:r>
                </w:p>
              </w:tc>
              <w:tc>
                <w:tcPr>
                  <w:tcW w:w="365" w:type="pct"/>
                  <w:vAlign w:val="center"/>
                </w:tcPr>
                <w:p w14:paraId="10E3CE75">
                  <w:pPr>
                    <w:pStyle w:val="25"/>
                    <w:overflowPunct w:val="0"/>
                    <w:autoSpaceDE/>
                    <w:autoSpaceDN/>
                    <w:snapToGrid w:val="0"/>
                    <w:jc w:val="center"/>
                    <w:rPr>
                      <w:rFonts w:ascii="Times New Roman" w:cs="Times New Roman"/>
                      <w:b/>
                      <w:bCs/>
                      <w:color w:val="auto"/>
                      <w:kern w:val="21"/>
                      <w:sz w:val="18"/>
                      <w:szCs w:val="21"/>
                    </w:rPr>
                  </w:pPr>
                  <w:r>
                    <w:rPr>
                      <w:rFonts w:hint="eastAsia" w:ascii="Times New Roman" w:cs="Times New Roman"/>
                      <w:color w:val="auto"/>
                      <w:kern w:val="21"/>
                      <w:sz w:val="18"/>
                      <w:szCs w:val="21"/>
                    </w:rPr>
                    <w:t>固态</w:t>
                  </w:r>
                </w:p>
              </w:tc>
              <w:tc>
                <w:tcPr>
                  <w:tcW w:w="441" w:type="pct"/>
                  <w:vAlign w:val="center"/>
                </w:tcPr>
                <w:p w14:paraId="732ADC6B">
                  <w:pPr>
                    <w:pStyle w:val="25"/>
                    <w:overflowPunct w:val="0"/>
                    <w:autoSpaceDE/>
                    <w:autoSpaceDN/>
                    <w:snapToGrid w:val="0"/>
                    <w:jc w:val="center"/>
                    <w:rPr>
                      <w:rFonts w:ascii="Times New Roman" w:cs="Times New Roman"/>
                      <w:color w:val="auto"/>
                      <w:kern w:val="21"/>
                      <w:sz w:val="18"/>
                      <w:szCs w:val="21"/>
                    </w:rPr>
                  </w:pPr>
                  <w:r>
                    <w:rPr>
                      <w:rFonts w:hint="eastAsia" w:ascii="Times New Roman" w:cs="Times New Roman"/>
                      <w:color w:val="auto"/>
                      <w:kern w:val="21"/>
                      <w:sz w:val="18"/>
                      <w:szCs w:val="21"/>
                    </w:rPr>
                    <w:t>箱装</w:t>
                  </w:r>
                </w:p>
              </w:tc>
              <w:tc>
                <w:tcPr>
                  <w:tcW w:w="492" w:type="pct"/>
                  <w:vAlign w:val="center"/>
                </w:tcPr>
                <w:p w14:paraId="0E98FDC8">
                  <w:pPr>
                    <w:pStyle w:val="25"/>
                    <w:overflowPunct w:val="0"/>
                    <w:autoSpaceDE/>
                    <w:autoSpaceDN/>
                    <w:snapToGrid w:val="0"/>
                    <w:jc w:val="center"/>
                    <w:rPr>
                      <w:rFonts w:ascii="Times New Roman" w:cs="Times New Roman"/>
                      <w:b/>
                      <w:bCs/>
                      <w:color w:val="auto"/>
                      <w:kern w:val="21"/>
                      <w:sz w:val="18"/>
                      <w:szCs w:val="21"/>
                    </w:rPr>
                  </w:pPr>
                  <w:r>
                    <w:rPr>
                      <w:rFonts w:hint="eastAsia" w:ascii="Times New Roman" w:cs="Times New Roman"/>
                      <w:color w:val="auto"/>
                      <w:kern w:val="21"/>
                      <w:sz w:val="18"/>
                      <w:szCs w:val="21"/>
                    </w:rPr>
                    <w:t>0.006</w:t>
                  </w:r>
                </w:p>
              </w:tc>
              <w:tc>
                <w:tcPr>
                  <w:tcW w:w="578" w:type="pct"/>
                  <w:vMerge w:val="continue"/>
                  <w:vAlign w:val="center"/>
                </w:tcPr>
                <w:p w14:paraId="4F201218">
                  <w:pPr>
                    <w:pStyle w:val="25"/>
                    <w:overflowPunct w:val="0"/>
                    <w:autoSpaceDE/>
                    <w:autoSpaceDN/>
                    <w:snapToGrid w:val="0"/>
                    <w:jc w:val="center"/>
                    <w:rPr>
                      <w:rFonts w:ascii="Times New Roman" w:cs="Times New Roman"/>
                      <w:b/>
                      <w:bCs/>
                      <w:color w:val="auto"/>
                      <w:kern w:val="21"/>
                      <w:sz w:val="18"/>
                      <w:szCs w:val="21"/>
                    </w:rPr>
                  </w:pPr>
                </w:p>
              </w:tc>
            </w:tr>
            <w:tr w14:paraId="548BC3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34" w:type="pct"/>
                  <w:shd w:val="clear" w:color="auto" w:fill="auto"/>
                  <w:vAlign w:val="center"/>
                </w:tcPr>
                <w:p w14:paraId="51E8AF1E">
                  <w:pPr>
                    <w:pStyle w:val="25"/>
                    <w:overflowPunct w:val="0"/>
                    <w:autoSpaceDE/>
                    <w:autoSpaceDN/>
                    <w:snapToGrid w:val="0"/>
                    <w:jc w:val="both"/>
                    <w:rPr>
                      <w:rFonts w:hint="default" w:ascii="Times New Roman" w:hAnsi="Times New Roman" w:eastAsia="宋体" w:cs="Times New Roman"/>
                      <w:color w:val="auto"/>
                      <w:kern w:val="21"/>
                      <w:sz w:val="18"/>
                      <w:szCs w:val="21"/>
                      <w:lang w:val="en-US" w:eastAsia="zh-CN" w:bidi="ar-SA"/>
                    </w:rPr>
                  </w:pPr>
                  <w:r>
                    <w:rPr>
                      <w:rFonts w:hint="eastAsia" w:ascii="Times New Roman" w:cs="Times New Roman"/>
                      <w:color w:val="auto"/>
                      <w:kern w:val="21"/>
                      <w:sz w:val="18"/>
                      <w:szCs w:val="21"/>
                    </w:rPr>
                    <w:t>9</w:t>
                  </w:r>
                </w:p>
              </w:tc>
              <w:tc>
                <w:tcPr>
                  <w:tcW w:w="371" w:type="pct"/>
                  <w:vAlign w:val="center"/>
                </w:tcPr>
                <w:p w14:paraId="6E1D4FE0">
                  <w:pPr>
                    <w:pStyle w:val="25"/>
                    <w:overflowPunct w:val="0"/>
                    <w:autoSpaceDE/>
                    <w:autoSpaceDN/>
                    <w:snapToGrid w:val="0"/>
                    <w:jc w:val="center"/>
                    <w:rPr>
                      <w:rFonts w:ascii="Times New Roman" w:cs="Times New Roman"/>
                      <w:color w:val="auto"/>
                      <w:kern w:val="21"/>
                      <w:sz w:val="18"/>
                      <w:szCs w:val="21"/>
                    </w:rPr>
                  </w:pPr>
                  <w:r>
                    <w:rPr>
                      <w:rFonts w:hint="eastAsia" w:ascii="Times New Roman" w:cs="Times New Roman"/>
                      <w:color w:val="auto"/>
                      <w:kern w:val="21"/>
                      <w:sz w:val="18"/>
                      <w:szCs w:val="21"/>
                    </w:rPr>
                    <w:t>废污泥</w:t>
                  </w:r>
                </w:p>
              </w:tc>
              <w:tc>
                <w:tcPr>
                  <w:tcW w:w="357" w:type="pct"/>
                  <w:vMerge w:val="continue"/>
                  <w:vAlign w:val="center"/>
                </w:tcPr>
                <w:p w14:paraId="5BE3BED5">
                  <w:pPr>
                    <w:pStyle w:val="25"/>
                    <w:overflowPunct w:val="0"/>
                    <w:autoSpaceDE/>
                    <w:autoSpaceDN/>
                    <w:snapToGrid w:val="0"/>
                    <w:jc w:val="center"/>
                    <w:rPr>
                      <w:rFonts w:ascii="Times New Roman" w:cs="Times New Roman"/>
                      <w:color w:val="auto"/>
                      <w:kern w:val="21"/>
                      <w:sz w:val="18"/>
                      <w:szCs w:val="21"/>
                    </w:rPr>
                  </w:pPr>
                </w:p>
              </w:tc>
              <w:tc>
                <w:tcPr>
                  <w:tcW w:w="449" w:type="pct"/>
                  <w:vAlign w:val="center"/>
                </w:tcPr>
                <w:p w14:paraId="3C3790C1">
                  <w:pPr>
                    <w:pStyle w:val="25"/>
                    <w:overflowPunct w:val="0"/>
                    <w:autoSpaceDE/>
                    <w:autoSpaceDN/>
                    <w:snapToGrid w:val="0"/>
                    <w:jc w:val="center"/>
                    <w:rPr>
                      <w:rFonts w:ascii="Times New Roman" w:cs="Times New Roman"/>
                      <w:color w:val="auto"/>
                      <w:kern w:val="21"/>
                      <w:sz w:val="18"/>
                      <w:szCs w:val="21"/>
                    </w:rPr>
                  </w:pPr>
                  <w:r>
                    <w:rPr>
                      <w:rFonts w:hint="eastAsia" w:ascii="Times New Roman" w:cs="Times New Roman"/>
                      <w:color w:val="auto"/>
                      <w:kern w:val="21"/>
                      <w:sz w:val="18"/>
                      <w:szCs w:val="21"/>
                    </w:rPr>
                    <w:t>污水处理</w:t>
                  </w:r>
                </w:p>
              </w:tc>
              <w:tc>
                <w:tcPr>
                  <w:tcW w:w="459" w:type="pct"/>
                  <w:shd w:val="clear" w:color="auto" w:fill="auto"/>
                  <w:vAlign w:val="center"/>
                </w:tcPr>
                <w:p w14:paraId="3393974E">
                  <w:pPr>
                    <w:pStyle w:val="25"/>
                    <w:overflowPunct w:val="0"/>
                    <w:autoSpaceDE/>
                    <w:autoSpaceDN/>
                    <w:snapToGrid w:val="0"/>
                    <w:jc w:val="center"/>
                    <w:rPr>
                      <w:rFonts w:ascii="Times New Roman" w:cs="Times New Roman"/>
                      <w:b/>
                      <w:bCs/>
                      <w:color w:val="auto"/>
                      <w:kern w:val="21"/>
                      <w:sz w:val="18"/>
                      <w:szCs w:val="21"/>
                    </w:rPr>
                  </w:pPr>
                  <w:r>
                    <w:rPr>
                      <w:rFonts w:ascii="Times New Roman" w:cs="Times New Roman"/>
                      <w:bCs/>
                      <w:color w:val="auto"/>
                      <w:sz w:val="18"/>
                      <w:szCs w:val="18"/>
                    </w:rPr>
                    <w:t>T/In</w:t>
                  </w:r>
                </w:p>
              </w:tc>
              <w:tc>
                <w:tcPr>
                  <w:tcW w:w="440" w:type="pct"/>
                  <w:vAlign w:val="center"/>
                </w:tcPr>
                <w:p w14:paraId="22AA13BA">
                  <w:pPr>
                    <w:pStyle w:val="25"/>
                    <w:overflowPunct w:val="0"/>
                    <w:autoSpaceDE/>
                    <w:autoSpaceDN/>
                    <w:snapToGrid w:val="0"/>
                    <w:jc w:val="center"/>
                    <w:rPr>
                      <w:rFonts w:ascii="Times New Roman" w:cs="Times New Roman"/>
                      <w:bCs/>
                      <w:color w:val="auto"/>
                      <w:sz w:val="18"/>
                      <w:szCs w:val="18"/>
                    </w:rPr>
                  </w:pPr>
                  <w:r>
                    <w:rPr>
                      <w:rFonts w:ascii="Times New Roman" w:cs="Times New Roman"/>
                      <w:bCs/>
                      <w:color w:val="auto"/>
                      <w:sz w:val="18"/>
                      <w:szCs w:val="18"/>
                    </w:rPr>
                    <w:t>HW</w:t>
                  </w:r>
                  <w:r>
                    <w:rPr>
                      <w:rFonts w:hint="eastAsia" w:ascii="Times New Roman" w:cs="Times New Roman"/>
                      <w:bCs/>
                      <w:color w:val="auto"/>
                      <w:sz w:val="18"/>
                      <w:szCs w:val="18"/>
                    </w:rPr>
                    <w:t>49</w:t>
                  </w:r>
                </w:p>
              </w:tc>
              <w:tc>
                <w:tcPr>
                  <w:tcW w:w="809" w:type="pct"/>
                  <w:vAlign w:val="center"/>
                </w:tcPr>
                <w:p w14:paraId="1C1896EF">
                  <w:pPr>
                    <w:pStyle w:val="25"/>
                    <w:overflowPunct w:val="0"/>
                    <w:autoSpaceDE/>
                    <w:autoSpaceDN/>
                    <w:snapToGrid w:val="0"/>
                    <w:jc w:val="center"/>
                    <w:rPr>
                      <w:rFonts w:ascii="Times New Roman" w:cs="Times New Roman"/>
                      <w:bCs/>
                      <w:color w:val="auto"/>
                      <w:sz w:val="18"/>
                      <w:szCs w:val="18"/>
                    </w:rPr>
                  </w:pPr>
                  <w:r>
                    <w:rPr>
                      <w:rFonts w:ascii="Times New Roman" w:cs="Times New Roman"/>
                      <w:bCs/>
                      <w:color w:val="auto"/>
                      <w:sz w:val="18"/>
                      <w:szCs w:val="18"/>
                    </w:rPr>
                    <w:t>772-006-49</w:t>
                  </w:r>
                </w:p>
              </w:tc>
              <w:tc>
                <w:tcPr>
                  <w:tcW w:w="365" w:type="pct"/>
                  <w:vAlign w:val="center"/>
                </w:tcPr>
                <w:p w14:paraId="127C6CDF">
                  <w:pPr>
                    <w:pStyle w:val="25"/>
                    <w:overflowPunct w:val="0"/>
                    <w:autoSpaceDE/>
                    <w:autoSpaceDN/>
                    <w:snapToGrid w:val="0"/>
                    <w:jc w:val="center"/>
                    <w:rPr>
                      <w:rFonts w:ascii="Times New Roman" w:cs="Times New Roman"/>
                      <w:b/>
                      <w:bCs/>
                      <w:color w:val="auto"/>
                      <w:kern w:val="21"/>
                      <w:sz w:val="18"/>
                      <w:szCs w:val="21"/>
                    </w:rPr>
                  </w:pPr>
                  <w:r>
                    <w:rPr>
                      <w:rFonts w:hint="eastAsia" w:ascii="Times New Roman" w:cs="Times New Roman"/>
                      <w:color w:val="auto"/>
                      <w:kern w:val="21"/>
                      <w:sz w:val="18"/>
                      <w:szCs w:val="21"/>
                    </w:rPr>
                    <w:t>固态</w:t>
                  </w:r>
                </w:p>
              </w:tc>
              <w:tc>
                <w:tcPr>
                  <w:tcW w:w="441" w:type="pct"/>
                  <w:vAlign w:val="center"/>
                </w:tcPr>
                <w:p w14:paraId="33E734E9">
                  <w:pPr>
                    <w:pStyle w:val="25"/>
                    <w:overflowPunct w:val="0"/>
                    <w:autoSpaceDE/>
                    <w:autoSpaceDN/>
                    <w:snapToGrid w:val="0"/>
                    <w:jc w:val="center"/>
                    <w:rPr>
                      <w:rFonts w:ascii="Times New Roman" w:cs="Times New Roman"/>
                      <w:b/>
                      <w:bCs/>
                      <w:color w:val="auto"/>
                      <w:kern w:val="21"/>
                      <w:sz w:val="18"/>
                      <w:szCs w:val="21"/>
                    </w:rPr>
                  </w:pPr>
                  <w:r>
                    <w:rPr>
                      <w:rFonts w:hint="eastAsia" w:ascii="Times New Roman" w:cs="Times New Roman"/>
                      <w:color w:val="auto"/>
                      <w:kern w:val="21"/>
                      <w:sz w:val="18"/>
                      <w:szCs w:val="21"/>
                    </w:rPr>
                    <w:t>桶装</w:t>
                  </w:r>
                </w:p>
              </w:tc>
              <w:tc>
                <w:tcPr>
                  <w:tcW w:w="492" w:type="pct"/>
                  <w:vAlign w:val="center"/>
                </w:tcPr>
                <w:p w14:paraId="32FD4073">
                  <w:pPr>
                    <w:pStyle w:val="25"/>
                    <w:overflowPunct w:val="0"/>
                    <w:autoSpaceDE/>
                    <w:autoSpaceDN/>
                    <w:snapToGrid w:val="0"/>
                    <w:jc w:val="center"/>
                    <w:rPr>
                      <w:rFonts w:hint="default" w:ascii="Times New Roman" w:eastAsia="宋体" w:cs="Times New Roman"/>
                      <w:b/>
                      <w:bCs/>
                      <w:color w:val="auto"/>
                      <w:kern w:val="21"/>
                      <w:sz w:val="18"/>
                      <w:szCs w:val="21"/>
                      <w:lang w:val="en-US" w:eastAsia="zh-CN"/>
                    </w:rPr>
                  </w:pPr>
                  <w:r>
                    <w:rPr>
                      <w:rFonts w:hint="eastAsia" w:ascii="Times New Roman" w:cs="Times New Roman"/>
                      <w:color w:val="auto"/>
                      <w:kern w:val="21"/>
                      <w:sz w:val="18"/>
                      <w:szCs w:val="21"/>
                      <w:lang w:val="en-US" w:eastAsia="zh-CN"/>
                    </w:rPr>
                    <w:t>7.1321</w:t>
                  </w:r>
                </w:p>
              </w:tc>
              <w:tc>
                <w:tcPr>
                  <w:tcW w:w="578" w:type="pct"/>
                  <w:vMerge w:val="continue"/>
                  <w:vAlign w:val="center"/>
                </w:tcPr>
                <w:p w14:paraId="17123C09">
                  <w:pPr>
                    <w:pStyle w:val="25"/>
                    <w:overflowPunct w:val="0"/>
                    <w:autoSpaceDE/>
                    <w:autoSpaceDN/>
                    <w:snapToGrid w:val="0"/>
                    <w:jc w:val="center"/>
                    <w:rPr>
                      <w:rFonts w:ascii="Times New Roman" w:cs="Times New Roman"/>
                      <w:b/>
                      <w:bCs/>
                      <w:color w:val="auto"/>
                      <w:kern w:val="21"/>
                      <w:sz w:val="18"/>
                      <w:szCs w:val="21"/>
                    </w:rPr>
                  </w:pPr>
                </w:p>
              </w:tc>
            </w:tr>
            <w:tr w14:paraId="39BB96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34" w:type="pct"/>
                  <w:shd w:val="clear" w:color="auto" w:fill="auto"/>
                  <w:vAlign w:val="center"/>
                </w:tcPr>
                <w:p w14:paraId="28D35F71">
                  <w:pPr>
                    <w:pStyle w:val="25"/>
                    <w:overflowPunct w:val="0"/>
                    <w:autoSpaceDE/>
                    <w:autoSpaceDN/>
                    <w:snapToGrid w:val="0"/>
                    <w:jc w:val="both"/>
                    <w:rPr>
                      <w:rFonts w:hint="eastAsia" w:ascii="Times New Roman" w:hAnsi="Times New Roman" w:eastAsia="宋体" w:cs="Times New Roman"/>
                      <w:color w:val="auto"/>
                      <w:kern w:val="21"/>
                      <w:sz w:val="18"/>
                      <w:szCs w:val="21"/>
                      <w:lang w:val="en-US" w:eastAsia="zh-CN" w:bidi="ar-SA"/>
                    </w:rPr>
                  </w:pPr>
                  <w:r>
                    <w:rPr>
                      <w:rFonts w:hint="eastAsia" w:ascii="Times New Roman" w:cs="Times New Roman"/>
                      <w:color w:val="auto"/>
                      <w:kern w:val="21"/>
                      <w:sz w:val="18"/>
                      <w:szCs w:val="21"/>
                      <w:lang w:val="en-US" w:eastAsia="zh-CN"/>
                    </w:rPr>
                    <w:t>10</w:t>
                  </w:r>
                </w:p>
              </w:tc>
              <w:tc>
                <w:tcPr>
                  <w:tcW w:w="371" w:type="pct"/>
                  <w:shd w:val="clear" w:color="auto" w:fill="auto"/>
                  <w:vAlign w:val="center"/>
                </w:tcPr>
                <w:p w14:paraId="74EEEB03">
                  <w:pPr>
                    <w:pStyle w:val="25"/>
                    <w:overflowPunct w:val="0"/>
                    <w:autoSpaceDE/>
                    <w:autoSpaceDN/>
                    <w:snapToGrid w:val="0"/>
                    <w:jc w:val="center"/>
                    <w:rPr>
                      <w:rFonts w:hint="eastAsia" w:ascii="Times New Roman" w:hAnsi="Times New Roman" w:eastAsia="宋体" w:cs="Times New Roman"/>
                      <w:color w:val="auto"/>
                      <w:kern w:val="21"/>
                      <w:sz w:val="18"/>
                      <w:szCs w:val="21"/>
                      <w:lang w:val="en-US" w:eastAsia="zh-CN" w:bidi="ar-SA"/>
                    </w:rPr>
                  </w:pPr>
                  <w:r>
                    <w:rPr>
                      <w:rFonts w:hint="eastAsia" w:ascii="Times New Roman" w:cs="Times New Roman"/>
                      <w:color w:val="auto"/>
                      <w:kern w:val="21"/>
                      <w:sz w:val="18"/>
                      <w:szCs w:val="21"/>
                      <w:lang w:val="en-US" w:eastAsia="zh-CN"/>
                    </w:rPr>
                    <w:t>废MBR膜</w:t>
                  </w:r>
                </w:p>
              </w:tc>
              <w:tc>
                <w:tcPr>
                  <w:tcW w:w="357" w:type="pct"/>
                  <w:vMerge w:val="continue"/>
                  <w:shd w:val="clear" w:color="auto" w:fill="auto"/>
                  <w:vAlign w:val="center"/>
                </w:tcPr>
                <w:p w14:paraId="6681D60C">
                  <w:pPr>
                    <w:pStyle w:val="25"/>
                    <w:overflowPunct w:val="0"/>
                    <w:autoSpaceDE/>
                    <w:autoSpaceDN/>
                    <w:snapToGrid w:val="0"/>
                    <w:jc w:val="center"/>
                    <w:rPr>
                      <w:rFonts w:hint="eastAsia" w:ascii="Times New Roman" w:hAnsi="Times New Roman" w:eastAsia="宋体" w:cs="Times New Roman"/>
                      <w:color w:val="auto"/>
                      <w:kern w:val="21"/>
                      <w:sz w:val="18"/>
                      <w:szCs w:val="21"/>
                      <w:lang w:val="en-US" w:eastAsia="zh-CN" w:bidi="ar-SA"/>
                    </w:rPr>
                  </w:pPr>
                </w:p>
              </w:tc>
              <w:tc>
                <w:tcPr>
                  <w:tcW w:w="449" w:type="pct"/>
                  <w:shd w:val="clear" w:color="auto" w:fill="auto"/>
                  <w:vAlign w:val="center"/>
                </w:tcPr>
                <w:p w14:paraId="497B4395">
                  <w:pPr>
                    <w:pStyle w:val="25"/>
                    <w:overflowPunct w:val="0"/>
                    <w:autoSpaceDE/>
                    <w:autoSpaceDN/>
                    <w:snapToGrid w:val="0"/>
                    <w:jc w:val="center"/>
                    <w:rPr>
                      <w:rFonts w:hint="eastAsia" w:ascii="Times New Roman" w:hAnsi="Times New Roman" w:eastAsia="宋体" w:cs="Times New Roman"/>
                      <w:color w:val="auto"/>
                      <w:kern w:val="21"/>
                      <w:sz w:val="18"/>
                      <w:szCs w:val="21"/>
                      <w:lang w:val="en-US" w:eastAsia="zh-CN" w:bidi="ar-SA"/>
                    </w:rPr>
                  </w:pPr>
                  <w:r>
                    <w:rPr>
                      <w:rFonts w:hint="eastAsia" w:ascii="Times New Roman" w:cs="Times New Roman"/>
                      <w:color w:val="auto"/>
                      <w:kern w:val="21"/>
                      <w:sz w:val="18"/>
                      <w:szCs w:val="21"/>
                      <w:lang w:val="en-US" w:eastAsia="zh-CN"/>
                    </w:rPr>
                    <w:t>污水处理</w:t>
                  </w:r>
                </w:p>
              </w:tc>
              <w:tc>
                <w:tcPr>
                  <w:tcW w:w="459" w:type="pct"/>
                  <w:shd w:val="clear" w:color="auto" w:fill="auto"/>
                  <w:vAlign w:val="center"/>
                </w:tcPr>
                <w:p w14:paraId="18414117">
                  <w:pPr>
                    <w:pStyle w:val="25"/>
                    <w:overflowPunct w:val="0"/>
                    <w:autoSpaceDE/>
                    <w:autoSpaceDN/>
                    <w:snapToGrid w:val="0"/>
                    <w:jc w:val="center"/>
                    <w:rPr>
                      <w:rFonts w:ascii="Times New Roman" w:cs="Times New Roman"/>
                      <w:bCs/>
                      <w:color w:val="auto"/>
                      <w:sz w:val="18"/>
                      <w:szCs w:val="18"/>
                    </w:rPr>
                  </w:pPr>
                  <w:r>
                    <w:rPr>
                      <w:rFonts w:ascii="Times New Roman" w:cs="Times New Roman"/>
                      <w:bCs/>
                      <w:color w:val="auto"/>
                      <w:sz w:val="18"/>
                      <w:szCs w:val="18"/>
                    </w:rPr>
                    <w:t>T/In</w:t>
                  </w:r>
                </w:p>
              </w:tc>
              <w:tc>
                <w:tcPr>
                  <w:tcW w:w="440" w:type="pct"/>
                  <w:shd w:val="clear" w:color="auto" w:fill="auto"/>
                  <w:vAlign w:val="center"/>
                </w:tcPr>
                <w:p w14:paraId="7711967B">
                  <w:pPr>
                    <w:pStyle w:val="25"/>
                    <w:overflowPunct w:val="0"/>
                    <w:autoSpaceDE/>
                    <w:autoSpaceDN/>
                    <w:snapToGrid w:val="0"/>
                    <w:jc w:val="center"/>
                    <w:rPr>
                      <w:rFonts w:ascii="Times New Roman" w:hAnsi="Times New Roman" w:eastAsia="宋体" w:cs="Times New Roman"/>
                      <w:bCs/>
                      <w:color w:val="auto"/>
                      <w:kern w:val="2"/>
                      <w:sz w:val="18"/>
                      <w:szCs w:val="18"/>
                      <w:lang w:val="en-US" w:eastAsia="zh-CN" w:bidi="ar-SA"/>
                    </w:rPr>
                  </w:pPr>
                  <w:r>
                    <w:rPr>
                      <w:rFonts w:ascii="Times New Roman" w:cs="Times New Roman"/>
                      <w:bCs/>
                      <w:color w:val="auto"/>
                      <w:sz w:val="18"/>
                      <w:szCs w:val="18"/>
                    </w:rPr>
                    <w:t>HW</w:t>
                  </w:r>
                  <w:r>
                    <w:rPr>
                      <w:rFonts w:hint="eastAsia" w:ascii="Times New Roman" w:cs="Times New Roman"/>
                      <w:bCs/>
                      <w:color w:val="auto"/>
                      <w:sz w:val="18"/>
                      <w:szCs w:val="18"/>
                    </w:rPr>
                    <w:t>49</w:t>
                  </w:r>
                </w:p>
              </w:tc>
              <w:tc>
                <w:tcPr>
                  <w:tcW w:w="809" w:type="pct"/>
                  <w:shd w:val="clear" w:color="auto" w:fill="auto"/>
                  <w:vAlign w:val="center"/>
                </w:tcPr>
                <w:p w14:paraId="74F4A5B6">
                  <w:pPr>
                    <w:pStyle w:val="25"/>
                    <w:overflowPunct w:val="0"/>
                    <w:autoSpaceDE/>
                    <w:autoSpaceDN/>
                    <w:snapToGrid w:val="0"/>
                    <w:jc w:val="center"/>
                    <w:rPr>
                      <w:rFonts w:ascii="Times New Roman" w:hAnsi="Times New Roman" w:eastAsia="宋体" w:cs="Times New Roman"/>
                      <w:bCs/>
                      <w:color w:val="auto"/>
                      <w:kern w:val="2"/>
                      <w:sz w:val="18"/>
                      <w:szCs w:val="18"/>
                      <w:lang w:val="en-US" w:eastAsia="zh-CN" w:bidi="ar-SA"/>
                    </w:rPr>
                  </w:pPr>
                  <w:r>
                    <w:rPr>
                      <w:rFonts w:ascii="Times New Roman" w:cs="Times New Roman"/>
                      <w:bCs/>
                      <w:color w:val="auto"/>
                      <w:sz w:val="18"/>
                      <w:szCs w:val="18"/>
                    </w:rPr>
                    <w:t>772-006-49</w:t>
                  </w:r>
                </w:p>
              </w:tc>
              <w:tc>
                <w:tcPr>
                  <w:tcW w:w="365" w:type="pct"/>
                  <w:shd w:val="clear" w:color="auto" w:fill="auto"/>
                  <w:vAlign w:val="center"/>
                </w:tcPr>
                <w:p w14:paraId="3DE66C8F">
                  <w:pPr>
                    <w:pStyle w:val="25"/>
                    <w:overflowPunct w:val="0"/>
                    <w:autoSpaceDE/>
                    <w:autoSpaceDN/>
                    <w:snapToGrid w:val="0"/>
                    <w:jc w:val="center"/>
                    <w:rPr>
                      <w:rFonts w:hint="eastAsia" w:ascii="Times New Roman" w:hAnsi="Times New Roman" w:eastAsia="宋体" w:cs="Times New Roman"/>
                      <w:b/>
                      <w:bCs/>
                      <w:color w:val="auto"/>
                      <w:kern w:val="21"/>
                      <w:sz w:val="18"/>
                      <w:szCs w:val="21"/>
                      <w:lang w:val="en-US" w:eastAsia="zh-CN" w:bidi="ar-SA"/>
                    </w:rPr>
                  </w:pPr>
                  <w:r>
                    <w:rPr>
                      <w:rFonts w:hint="eastAsia" w:ascii="Times New Roman" w:cs="Times New Roman"/>
                      <w:color w:val="auto"/>
                      <w:kern w:val="21"/>
                      <w:sz w:val="18"/>
                      <w:szCs w:val="21"/>
                    </w:rPr>
                    <w:t>固态</w:t>
                  </w:r>
                </w:p>
              </w:tc>
              <w:tc>
                <w:tcPr>
                  <w:tcW w:w="441" w:type="pct"/>
                  <w:shd w:val="clear" w:color="auto" w:fill="auto"/>
                  <w:vAlign w:val="center"/>
                </w:tcPr>
                <w:p w14:paraId="7DBF8E1E">
                  <w:pPr>
                    <w:pStyle w:val="25"/>
                    <w:overflowPunct w:val="0"/>
                    <w:autoSpaceDE/>
                    <w:autoSpaceDN/>
                    <w:snapToGrid w:val="0"/>
                    <w:jc w:val="center"/>
                    <w:rPr>
                      <w:rFonts w:hint="eastAsia" w:ascii="Times New Roman" w:hAnsi="Times New Roman" w:eastAsia="宋体" w:cs="Times New Roman"/>
                      <w:b/>
                      <w:bCs/>
                      <w:color w:val="auto"/>
                      <w:kern w:val="21"/>
                      <w:sz w:val="18"/>
                      <w:szCs w:val="21"/>
                      <w:lang w:val="en-US" w:eastAsia="zh-CN" w:bidi="ar-SA"/>
                    </w:rPr>
                  </w:pPr>
                  <w:r>
                    <w:rPr>
                      <w:rFonts w:hint="eastAsia" w:ascii="Times New Roman" w:cs="Times New Roman"/>
                      <w:color w:val="auto"/>
                      <w:kern w:val="21"/>
                      <w:sz w:val="18"/>
                      <w:szCs w:val="21"/>
                      <w:lang w:val="en-US" w:eastAsia="zh-CN"/>
                    </w:rPr>
                    <w:t>袋</w:t>
                  </w:r>
                  <w:r>
                    <w:rPr>
                      <w:rFonts w:hint="eastAsia" w:ascii="Times New Roman" w:cs="Times New Roman"/>
                      <w:color w:val="auto"/>
                      <w:kern w:val="21"/>
                      <w:sz w:val="18"/>
                      <w:szCs w:val="21"/>
                    </w:rPr>
                    <w:t>装</w:t>
                  </w:r>
                </w:p>
              </w:tc>
              <w:tc>
                <w:tcPr>
                  <w:tcW w:w="492" w:type="pct"/>
                  <w:vAlign w:val="center"/>
                </w:tcPr>
                <w:p w14:paraId="77645834">
                  <w:pPr>
                    <w:pStyle w:val="25"/>
                    <w:overflowPunct w:val="0"/>
                    <w:autoSpaceDE/>
                    <w:autoSpaceDN/>
                    <w:snapToGrid w:val="0"/>
                    <w:jc w:val="center"/>
                    <w:rPr>
                      <w:rFonts w:hint="default" w:ascii="Times New Roman" w:cs="Times New Roman"/>
                      <w:color w:val="auto"/>
                      <w:kern w:val="21"/>
                      <w:sz w:val="18"/>
                      <w:szCs w:val="21"/>
                      <w:lang w:val="en-US" w:eastAsia="zh-CN"/>
                    </w:rPr>
                  </w:pPr>
                  <w:r>
                    <w:rPr>
                      <w:rFonts w:hint="eastAsia" w:ascii="Times New Roman" w:cs="Times New Roman"/>
                      <w:color w:val="auto"/>
                      <w:kern w:val="21"/>
                      <w:sz w:val="18"/>
                      <w:szCs w:val="21"/>
                      <w:lang w:val="en-US" w:eastAsia="zh-CN"/>
                    </w:rPr>
                    <w:t>0.01</w:t>
                  </w:r>
                </w:p>
              </w:tc>
              <w:tc>
                <w:tcPr>
                  <w:tcW w:w="578" w:type="pct"/>
                  <w:vMerge w:val="continue"/>
                  <w:vAlign w:val="center"/>
                </w:tcPr>
                <w:p w14:paraId="5CF97F00">
                  <w:pPr>
                    <w:pStyle w:val="25"/>
                    <w:overflowPunct w:val="0"/>
                    <w:autoSpaceDE/>
                    <w:autoSpaceDN/>
                    <w:snapToGrid w:val="0"/>
                    <w:jc w:val="center"/>
                    <w:rPr>
                      <w:rFonts w:ascii="Times New Roman" w:cs="Times New Roman"/>
                      <w:b/>
                      <w:bCs/>
                      <w:color w:val="auto"/>
                      <w:kern w:val="21"/>
                      <w:sz w:val="18"/>
                      <w:szCs w:val="21"/>
                    </w:rPr>
                  </w:pPr>
                </w:p>
              </w:tc>
            </w:tr>
          </w:tbl>
          <w:p w14:paraId="6F19667E">
            <w:pPr>
              <w:pStyle w:val="59"/>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ascii="Times New Roman" w:hAnsi="Times New Roman" w:eastAsia="宋体"/>
                <w:b/>
                <w:bCs/>
                <w:color w:val="auto"/>
                <w:kern w:val="0"/>
                <w:sz w:val="24"/>
                <w:szCs w:val="24"/>
              </w:rPr>
            </w:pPr>
            <w:r>
              <w:rPr>
                <w:rFonts w:hint="eastAsia" w:ascii="Times New Roman" w:hAnsi="Times New Roman" w:eastAsia="宋体"/>
                <w:b/>
                <w:bCs/>
                <w:color w:val="auto"/>
                <w:sz w:val="24"/>
                <w:szCs w:val="24"/>
                <w:lang w:val="en-US" w:eastAsia="zh-CN"/>
              </w:rPr>
              <w:t>3</w:t>
            </w:r>
            <w:r>
              <w:rPr>
                <w:rFonts w:hint="default" w:ascii="Times New Roman" w:hAnsi="Times New Roman" w:eastAsia="宋体"/>
                <w:b/>
                <w:bCs/>
                <w:color w:val="auto"/>
                <w:sz w:val="24"/>
                <w:szCs w:val="24"/>
              </w:rPr>
              <w:t>、固体废物管理要求</w:t>
            </w:r>
          </w:p>
          <w:p w14:paraId="03AA50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szCs w:val="24"/>
              </w:rPr>
            </w:pPr>
            <w:r>
              <w:rPr>
                <w:rFonts w:hint="default" w:ascii="Times New Roman" w:hAnsi="Times New Roman" w:eastAsia="宋体"/>
                <w:color w:val="auto"/>
                <w:sz w:val="24"/>
                <w:szCs w:val="24"/>
              </w:rPr>
              <w:t>建设项目单位在医疗废物在收集、贮存、运输中需注意以下问题：</w:t>
            </w:r>
          </w:p>
          <w:p w14:paraId="167BF58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b/>
                <w:bCs/>
                <w:color w:val="auto"/>
                <w:sz w:val="24"/>
                <w:szCs w:val="24"/>
              </w:rPr>
            </w:pPr>
            <w:r>
              <w:rPr>
                <w:rFonts w:hint="eastAsia" w:ascii="Times New Roman" w:hAnsi="Times New Roman" w:eastAsia="宋体"/>
                <w:b/>
                <w:bCs/>
                <w:color w:val="auto"/>
                <w:sz w:val="24"/>
                <w:szCs w:val="24"/>
                <w:lang w:eastAsia="zh-CN"/>
              </w:rPr>
              <w:t>（</w:t>
            </w:r>
            <w:r>
              <w:rPr>
                <w:rFonts w:hint="eastAsia"/>
                <w:b/>
                <w:bCs/>
                <w:color w:val="auto"/>
                <w:sz w:val="24"/>
                <w:szCs w:val="24"/>
                <w:lang w:val="en-US" w:eastAsia="zh-CN"/>
              </w:rPr>
              <w:t>1</w:t>
            </w:r>
            <w:r>
              <w:rPr>
                <w:rFonts w:hint="eastAsia" w:ascii="Times New Roman" w:hAnsi="Times New Roman" w:eastAsia="宋体"/>
                <w:b/>
                <w:bCs/>
                <w:color w:val="auto"/>
                <w:sz w:val="24"/>
                <w:szCs w:val="24"/>
                <w:lang w:eastAsia="zh-CN"/>
              </w:rPr>
              <w:t>）</w:t>
            </w:r>
            <w:r>
              <w:rPr>
                <w:rFonts w:ascii="Times New Roman" w:hAnsi="Times New Roman" w:eastAsia="宋体"/>
                <w:b/>
                <w:bCs/>
                <w:color w:val="auto"/>
                <w:sz w:val="24"/>
                <w:szCs w:val="24"/>
              </w:rPr>
              <w:t>对项目产生的医疗废物进行科学的分类收集</w:t>
            </w:r>
          </w:p>
          <w:p w14:paraId="6BAC39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明确各类废弃物标识，分类包装，分类堆放，并本着及时、方便、安全、快捷的原则，进行收集。感染性废物、病理性废物、损伤性废物、药物性废物及化学性废物是不能混合收集；放入包装物或者容器内的感染性废物、病理性废物、损伤性废物不得取出。当盛装的医疗废物达到包装物或者容器的3/4时，应当使用有效的封口方式，使包装物或者容器的封口紧实、严密。对于盛装医疗废物的塑料包装袋应当符合下列规格：</w:t>
            </w:r>
          </w:p>
          <w:p w14:paraId="6EF8D6D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olor w:val="auto"/>
                <w:sz w:val="24"/>
                <w:szCs w:val="24"/>
              </w:rPr>
            </w:pPr>
            <w:r>
              <w:rPr>
                <w:rFonts w:ascii="Times New Roman" w:hAnsi="Times New Roman" w:eastAsia="宋体"/>
                <w:color w:val="auto"/>
                <w:sz w:val="24"/>
                <w:szCs w:val="24"/>
              </w:rPr>
              <w:t>黄色—700×550mm塑料袋：感染性废物；红色—700×550mm塑料袋：传染性废物；绿色—400×300mm塑料袋：损伤性废物；红色—400×300mm塑料袋：传染性损伤性废物。而盛装医疗废物的外包装纸箱应符合下列要求：印有红色“传染性废物”—600×400×500mm纸箱；印有绿色“损伤性废物”—400×200×300mm纸箱</w:t>
            </w:r>
            <w:r>
              <w:rPr>
                <w:rFonts w:hint="eastAsia" w:ascii="Times New Roman" w:hAnsi="Times New Roman" w:eastAsia="宋体"/>
                <w:color w:val="auto"/>
                <w:sz w:val="24"/>
                <w:szCs w:val="24"/>
                <w:lang w:eastAsia="zh-CN"/>
              </w:rPr>
              <w:t>，</w:t>
            </w:r>
            <w:r>
              <w:rPr>
                <w:rFonts w:ascii="Times New Roman" w:hAnsi="Times New Roman" w:eastAsia="宋体"/>
                <w:color w:val="auto"/>
                <w:sz w:val="24"/>
                <w:szCs w:val="24"/>
              </w:rPr>
              <w:t>印有红色“传染性损伤性</w:t>
            </w:r>
            <w:r>
              <w:rPr>
                <w:rFonts w:hint="eastAsia" w:ascii="Times New Roman" w:hAnsi="Times New Roman" w:eastAsia="宋体"/>
                <w:color w:val="auto"/>
                <w:sz w:val="24"/>
                <w:szCs w:val="24"/>
                <w:lang w:val="en-US" w:eastAsia="zh-CN"/>
              </w:rPr>
              <w:t>废</w:t>
            </w:r>
            <w:r>
              <w:rPr>
                <w:rFonts w:ascii="Times New Roman" w:hAnsi="Times New Roman" w:eastAsia="宋体"/>
                <w:color w:val="auto"/>
                <w:sz w:val="24"/>
                <w:szCs w:val="24"/>
              </w:rPr>
              <w:t>物”—600×400×500mm纸箱。</w:t>
            </w:r>
          </w:p>
          <w:p w14:paraId="7A071B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操作感染性或任何有潜在危害的废物时，必须穿戴手套和防护服。对有多种成份</w:t>
            </w:r>
            <w:r>
              <w:rPr>
                <w:rFonts w:hint="eastAsia" w:ascii="Times New Roman" w:hAnsi="Times New Roman" w:eastAsia="宋体"/>
                <w:color w:val="auto"/>
                <w:sz w:val="24"/>
                <w:szCs w:val="24"/>
                <w:lang w:eastAsia="zh-CN"/>
              </w:rPr>
              <w:t>混合</w:t>
            </w:r>
            <w:r>
              <w:rPr>
                <w:rFonts w:ascii="Times New Roman" w:hAnsi="Times New Roman" w:eastAsia="宋体"/>
                <w:color w:val="auto"/>
                <w:sz w:val="24"/>
                <w:szCs w:val="24"/>
              </w:rPr>
              <w:t>的医学废料，应按危害等级较高者处理。感染性废物应分类丢入垃圾袋，由专业人员严格区分感染性和非感染性废物。根据有关规定，所有收集感染性废物的容器都应有“生物危害”标志。有液体的感染性废料时，应确保容器无泄漏。</w:t>
            </w:r>
          </w:p>
          <w:p w14:paraId="756D68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所有锐利物都必须单独存放，并统一按</w:t>
            </w:r>
            <w:r>
              <w:rPr>
                <w:rFonts w:hint="eastAsia" w:ascii="Times New Roman" w:hAnsi="Times New Roman" w:eastAsia="宋体"/>
                <w:color w:val="auto"/>
                <w:sz w:val="24"/>
                <w:szCs w:val="24"/>
                <w:lang w:val="en-US" w:eastAsia="zh-CN"/>
              </w:rPr>
              <w:t>医疗</w:t>
            </w:r>
            <w:r>
              <w:rPr>
                <w:rFonts w:ascii="Times New Roman" w:hAnsi="Times New Roman" w:eastAsia="宋体"/>
                <w:color w:val="auto"/>
                <w:sz w:val="24"/>
                <w:szCs w:val="24"/>
              </w:rPr>
              <w:t>废物处理。收集锐利物日包装容器必须使用硬质、防漏、防刺破材料。针或刀应保存在有明显标记、防泄漏、防刺破的容器内。处理含有锐利物品的感染性废料时应使用防刺破手套。</w:t>
            </w:r>
          </w:p>
          <w:p w14:paraId="375A413B">
            <w:pPr>
              <w:keepNext w:val="0"/>
              <w:keepLines w:val="0"/>
              <w:pageBreakBefore w:val="0"/>
              <w:widowControl w:val="0"/>
              <w:kinsoku/>
              <w:wordWrap/>
              <w:overflowPunct/>
              <w:topLinePunct w:val="0"/>
              <w:autoSpaceDE/>
              <w:autoSpaceDN/>
              <w:bidi w:val="0"/>
              <w:adjustRightInd/>
              <w:spacing w:line="360" w:lineRule="auto"/>
              <w:ind w:leftChars="0" w:firstLine="482" w:firstLineChars="200"/>
              <w:textAlignment w:val="auto"/>
              <w:rPr>
                <w:rFonts w:ascii="Times New Roman" w:hAnsi="Times New Roman" w:eastAsia="宋体"/>
                <w:b/>
                <w:bCs/>
                <w:color w:val="auto"/>
                <w:sz w:val="24"/>
                <w:szCs w:val="24"/>
              </w:rPr>
            </w:pPr>
            <w:r>
              <w:rPr>
                <w:rFonts w:hint="eastAsia" w:ascii="Times New Roman" w:hAnsi="Times New Roman" w:eastAsia="宋体"/>
                <w:b/>
                <w:bCs/>
                <w:color w:val="auto"/>
                <w:sz w:val="24"/>
                <w:szCs w:val="24"/>
                <w:lang w:eastAsia="zh-CN"/>
              </w:rPr>
              <w:t>（</w:t>
            </w:r>
            <w:r>
              <w:rPr>
                <w:rFonts w:hint="eastAsia"/>
                <w:b/>
                <w:bCs/>
                <w:color w:val="auto"/>
                <w:sz w:val="24"/>
                <w:szCs w:val="24"/>
                <w:lang w:val="en-US" w:eastAsia="zh-CN"/>
              </w:rPr>
              <w:t>2</w:t>
            </w:r>
            <w:r>
              <w:rPr>
                <w:rFonts w:hint="eastAsia" w:ascii="Times New Roman" w:hAnsi="Times New Roman" w:eastAsia="宋体"/>
                <w:b/>
                <w:bCs/>
                <w:color w:val="auto"/>
                <w:sz w:val="24"/>
                <w:szCs w:val="24"/>
                <w:lang w:eastAsia="zh-CN"/>
              </w:rPr>
              <w:t>）</w:t>
            </w:r>
            <w:r>
              <w:rPr>
                <w:rFonts w:ascii="Times New Roman" w:hAnsi="Times New Roman" w:eastAsia="宋体"/>
                <w:b/>
                <w:bCs/>
                <w:color w:val="auto"/>
                <w:sz w:val="24"/>
                <w:szCs w:val="24"/>
              </w:rPr>
              <w:t>医疗废物的贮存和运输</w:t>
            </w:r>
          </w:p>
          <w:p w14:paraId="16D29FCF">
            <w:pPr>
              <w:keepNext w:val="0"/>
              <w:keepLines w:val="0"/>
              <w:pageBreakBefore w:val="0"/>
              <w:widowControl w:val="0"/>
              <w:kinsoku/>
              <w:wordWrap/>
              <w:overflowPunct/>
              <w:topLinePunct w:val="0"/>
              <w:autoSpaceDE/>
              <w:autoSpaceDN/>
              <w:bidi w:val="0"/>
              <w:adjustRightInd/>
              <w:spacing w:line="360" w:lineRule="auto"/>
              <w:ind w:leftChars="0"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该项目应当建立医疗废物暂时贮存设施、设备，不得露天存放医疗废物；医疗废物暂时贮存的时间不得超过2天，应当及时、有效地处理，因为在医疗废物储存过程中，会有恶臭产生</w:t>
            </w:r>
            <w:r>
              <w:rPr>
                <w:rFonts w:hint="eastAsia" w:ascii="Times New Roman" w:hAnsi="Times New Roman" w:eastAsia="宋体"/>
                <w:color w:val="auto"/>
                <w:sz w:val="24"/>
                <w:szCs w:val="24"/>
                <w:lang w:eastAsia="zh-CN"/>
              </w:rPr>
              <w:t>，</w:t>
            </w:r>
            <w:r>
              <w:rPr>
                <w:rFonts w:ascii="Times New Roman" w:hAnsi="Times New Roman" w:eastAsia="宋体"/>
                <w:color w:val="auto"/>
                <w:sz w:val="24"/>
                <w:szCs w:val="24"/>
              </w:rPr>
              <w:t>有害于人体健康。</w:t>
            </w:r>
          </w:p>
          <w:p w14:paraId="28043188">
            <w:pPr>
              <w:keepNext w:val="0"/>
              <w:keepLines w:val="0"/>
              <w:pageBreakBefore w:val="0"/>
              <w:widowControl w:val="0"/>
              <w:kinsoku/>
              <w:wordWrap/>
              <w:overflowPunct/>
              <w:topLinePunct w:val="0"/>
              <w:autoSpaceDE/>
              <w:autoSpaceDN/>
              <w:bidi w:val="0"/>
              <w:adjustRightInd/>
              <w:spacing w:line="360" w:lineRule="auto"/>
              <w:ind w:leftChars="0"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医疗卫生机构建立的医疗废物暂时贮存设施、设备应当达到以下要求：</w:t>
            </w:r>
          </w:p>
          <w:p w14:paraId="583BFF19">
            <w:pPr>
              <w:keepNext w:val="0"/>
              <w:keepLines w:val="0"/>
              <w:pageBreakBefore w:val="0"/>
              <w:widowControl w:val="0"/>
              <w:kinsoku/>
              <w:wordWrap/>
              <w:overflowPunct/>
              <w:topLinePunct w:val="0"/>
              <w:autoSpaceDE/>
              <w:autoSpaceDN/>
              <w:bidi w:val="0"/>
              <w:adjustRightInd/>
              <w:spacing w:line="360" w:lineRule="auto"/>
              <w:ind w:leftChars="0"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①</w:t>
            </w:r>
            <w:r>
              <w:rPr>
                <w:rFonts w:ascii="Times New Roman" w:hAnsi="Times New Roman" w:eastAsia="宋体"/>
                <w:color w:val="auto"/>
                <w:sz w:val="24"/>
                <w:szCs w:val="24"/>
              </w:rPr>
              <w:t>暂时贮存场所须分办公室、医疗废物贮存间、车辆存放间。</w:t>
            </w:r>
          </w:p>
          <w:p w14:paraId="7E315DCF">
            <w:pPr>
              <w:keepNext w:val="0"/>
              <w:keepLines w:val="0"/>
              <w:pageBreakBefore w:val="0"/>
              <w:widowControl w:val="0"/>
              <w:kinsoku/>
              <w:wordWrap/>
              <w:overflowPunct/>
              <w:topLinePunct w:val="0"/>
              <w:autoSpaceDE/>
              <w:autoSpaceDN/>
              <w:bidi w:val="0"/>
              <w:adjustRightInd/>
              <w:spacing w:line="360" w:lineRule="auto"/>
              <w:ind w:leftChars="0"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②</w:t>
            </w:r>
            <w:r>
              <w:rPr>
                <w:rFonts w:ascii="Times New Roman" w:hAnsi="Times New Roman" w:eastAsia="宋体"/>
                <w:color w:val="auto"/>
                <w:sz w:val="24"/>
                <w:szCs w:val="24"/>
              </w:rPr>
              <w:t>远离医疗区、食品加工区、人员活动区和生活垃圾存放场所，方便医疗废物运送人员及运送工具、车辆的出入；该项目贮存场所设在项目</w:t>
            </w:r>
            <w:r>
              <w:rPr>
                <w:rFonts w:hint="eastAsia"/>
                <w:color w:val="auto"/>
                <w:sz w:val="24"/>
                <w:szCs w:val="24"/>
                <w:lang w:val="en-US" w:eastAsia="zh-CN"/>
              </w:rPr>
              <w:t>院区西北角</w:t>
            </w:r>
            <w:r>
              <w:rPr>
                <w:rFonts w:ascii="Times New Roman" w:hAnsi="Times New Roman" w:eastAsia="宋体"/>
                <w:color w:val="auto"/>
                <w:sz w:val="24"/>
                <w:szCs w:val="24"/>
              </w:rPr>
              <w:t>，符合上述要求。</w:t>
            </w:r>
          </w:p>
          <w:p w14:paraId="18663FFA">
            <w:pPr>
              <w:keepNext w:val="0"/>
              <w:keepLines w:val="0"/>
              <w:pageBreakBefore w:val="0"/>
              <w:widowControl w:val="0"/>
              <w:kinsoku/>
              <w:wordWrap/>
              <w:overflowPunct/>
              <w:topLinePunct w:val="0"/>
              <w:autoSpaceDE/>
              <w:autoSpaceDN/>
              <w:bidi w:val="0"/>
              <w:adjustRightInd/>
              <w:spacing w:line="360" w:lineRule="auto"/>
              <w:ind w:leftChars="0"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③</w:t>
            </w:r>
            <w:r>
              <w:rPr>
                <w:rFonts w:ascii="Times New Roman" w:hAnsi="Times New Roman" w:eastAsia="宋体"/>
                <w:color w:val="auto"/>
                <w:sz w:val="24"/>
                <w:szCs w:val="24"/>
              </w:rPr>
              <w:t>有严密的封闭措施，设专（兼）职人员管理，防止非工作人员接触医疗废物；</w:t>
            </w:r>
          </w:p>
          <w:p w14:paraId="2D2C9126">
            <w:pPr>
              <w:keepNext w:val="0"/>
              <w:keepLines w:val="0"/>
              <w:pageBreakBefore w:val="0"/>
              <w:widowControl w:val="0"/>
              <w:kinsoku/>
              <w:wordWrap/>
              <w:overflowPunct/>
              <w:topLinePunct w:val="0"/>
              <w:autoSpaceDE/>
              <w:autoSpaceDN/>
              <w:bidi w:val="0"/>
              <w:adjustRightInd/>
              <w:spacing w:line="360" w:lineRule="auto"/>
              <w:ind w:leftChars="0"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④</w:t>
            </w:r>
            <w:r>
              <w:rPr>
                <w:rFonts w:ascii="Times New Roman" w:hAnsi="Times New Roman" w:eastAsia="宋体"/>
                <w:color w:val="auto"/>
                <w:sz w:val="24"/>
                <w:szCs w:val="24"/>
              </w:rPr>
              <w:t>有防鼠、防蚊蝇、防蟑螂的安全措施；防止渗漏和雨水冲刷；易于清洁和消毒；避免阳光直射；</w:t>
            </w:r>
          </w:p>
          <w:p w14:paraId="7B5A7C8D">
            <w:pPr>
              <w:keepNext w:val="0"/>
              <w:keepLines w:val="0"/>
              <w:pageBreakBefore w:val="0"/>
              <w:widowControl w:val="0"/>
              <w:kinsoku/>
              <w:wordWrap/>
              <w:overflowPunct/>
              <w:topLinePunct w:val="0"/>
              <w:autoSpaceDE/>
              <w:autoSpaceDN/>
              <w:bidi w:val="0"/>
              <w:adjustRightInd/>
              <w:spacing w:line="360" w:lineRule="auto"/>
              <w:ind w:leftChars="0"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⑤</w:t>
            </w:r>
            <w:r>
              <w:rPr>
                <w:rFonts w:ascii="Times New Roman" w:hAnsi="Times New Roman" w:eastAsia="宋体"/>
                <w:color w:val="auto"/>
                <w:sz w:val="24"/>
                <w:szCs w:val="24"/>
              </w:rPr>
              <w:t>设有明显的医疗废物警示标识和“禁止吸烟、饮食”的警示标识。</w:t>
            </w:r>
          </w:p>
          <w:p w14:paraId="7B02AFB1">
            <w:pPr>
              <w:keepNext w:val="0"/>
              <w:keepLines w:val="0"/>
              <w:pageBreakBefore w:val="0"/>
              <w:widowControl w:val="0"/>
              <w:kinsoku/>
              <w:wordWrap/>
              <w:overflowPunct/>
              <w:topLinePunct w:val="0"/>
              <w:autoSpaceDE/>
              <w:autoSpaceDN/>
              <w:bidi w:val="0"/>
              <w:adjustRightInd/>
              <w:spacing w:line="360" w:lineRule="auto"/>
              <w:ind w:leftChars="0"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对于感染性废料和锐利废物，其贮存地应有“生物危险”标志和进入管理限制，且应位于产生废物地点附近。同时感染性废物和锐利废物的贮存应满足以下要求：</w:t>
            </w:r>
          </w:p>
          <w:p w14:paraId="552E7809">
            <w:pPr>
              <w:keepNext w:val="0"/>
              <w:keepLines w:val="0"/>
              <w:pageBreakBefore w:val="0"/>
              <w:widowControl w:val="0"/>
              <w:kinsoku/>
              <w:wordWrap/>
              <w:overflowPunct/>
              <w:topLinePunct w:val="0"/>
              <w:autoSpaceDE/>
              <w:autoSpaceDN/>
              <w:bidi w:val="0"/>
              <w:adjustRightInd/>
              <w:spacing w:line="360" w:lineRule="auto"/>
              <w:ind w:leftChars="0"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①</w:t>
            </w:r>
            <w:r>
              <w:rPr>
                <w:rFonts w:ascii="Times New Roman" w:hAnsi="Times New Roman" w:eastAsia="宋体"/>
                <w:color w:val="auto"/>
                <w:sz w:val="24"/>
                <w:szCs w:val="24"/>
              </w:rPr>
              <w:t>保证包装内容物不暴露于空气和受潮；</w:t>
            </w:r>
          </w:p>
          <w:p w14:paraId="21EE47D3">
            <w:pPr>
              <w:keepNext w:val="0"/>
              <w:keepLines w:val="0"/>
              <w:pageBreakBefore w:val="0"/>
              <w:widowControl w:val="0"/>
              <w:kinsoku/>
              <w:wordWrap/>
              <w:overflowPunct/>
              <w:topLinePunct w:val="0"/>
              <w:autoSpaceDE/>
              <w:autoSpaceDN/>
              <w:bidi w:val="0"/>
              <w:adjustRightInd/>
              <w:spacing w:line="360" w:lineRule="auto"/>
              <w:ind w:leftChars="0"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②</w:t>
            </w:r>
            <w:r>
              <w:rPr>
                <w:rFonts w:ascii="Times New Roman" w:hAnsi="Times New Roman" w:eastAsia="宋体"/>
                <w:color w:val="auto"/>
                <w:sz w:val="24"/>
                <w:szCs w:val="24"/>
              </w:rPr>
              <w:t>保存温度及时间应使保存物无腐败发生，必要时，可用低温保存，以防微生物生长和产生异味；</w:t>
            </w:r>
          </w:p>
          <w:p w14:paraId="5672F0C4">
            <w:pPr>
              <w:keepNext w:val="0"/>
              <w:keepLines w:val="0"/>
              <w:pageBreakBefore w:val="0"/>
              <w:widowControl w:val="0"/>
              <w:kinsoku/>
              <w:wordWrap/>
              <w:overflowPunct/>
              <w:topLinePunct w:val="0"/>
              <w:autoSpaceDE/>
              <w:autoSpaceDN/>
              <w:bidi w:val="0"/>
              <w:adjustRightInd/>
              <w:spacing w:line="360" w:lineRule="auto"/>
              <w:ind w:leftChars="0"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③</w:t>
            </w:r>
            <w:r>
              <w:rPr>
                <w:rFonts w:ascii="Times New Roman" w:hAnsi="Times New Roman" w:eastAsia="宋体"/>
                <w:color w:val="auto"/>
                <w:sz w:val="24"/>
                <w:szCs w:val="24"/>
              </w:rPr>
              <w:t>贮存地及包装应确保内容物不成为鼠类或其他生物的食物来源；</w:t>
            </w:r>
          </w:p>
          <w:p w14:paraId="7E1964C3">
            <w:pPr>
              <w:keepNext w:val="0"/>
              <w:keepLines w:val="0"/>
              <w:pageBreakBefore w:val="0"/>
              <w:widowControl w:val="0"/>
              <w:kinsoku/>
              <w:wordWrap/>
              <w:overflowPunct/>
              <w:topLinePunct w:val="0"/>
              <w:autoSpaceDE/>
              <w:autoSpaceDN/>
              <w:bidi w:val="0"/>
              <w:adjustRightInd/>
              <w:spacing w:line="360" w:lineRule="auto"/>
              <w:ind w:leftChars="0"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④</w:t>
            </w:r>
            <w:r>
              <w:rPr>
                <w:rFonts w:ascii="Times New Roman" w:hAnsi="Times New Roman" w:eastAsia="宋体"/>
                <w:color w:val="auto"/>
                <w:sz w:val="24"/>
                <w:szCs w:val="24"/>
              </w:rPr>
              <w:t>贮存地不得对公众开放。</w:t>
            </w:r>
          </w:p>
          <w:p w14:paraId="1F0FBC9C">
            <w:pPr>
              <w:keepNext w:val="0"/>
              <w:keepLines w:val="0"/>
              <w:pageBreakBefore w:val="0"/>
              <w:widowControl w:val="0"/>
              <w:kinsoku/>
              <w:wordWrap/>
              <w:overflowPunct/>
              <w:topLinePunct w:val="0"/>
              <w:autoSpaceDE/>
              <w:autoSpaceDN/>
              <w:bidi w:val="0"/>
              <w:adjustRightInd/>
              <w:spacing w:line="360" w:lineRule="auto"/>
              <w:ind w:leftChars="0"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医疗废物转交出去后，应当对暂时贮存地点、设施及时进行清洁和消毒处理。</w:t>
            </w:r>
          </w:p>
          <w:p w14:paraId="161B77A0">
            <w:pPr>
              <w:keepNext w:val="0"/>
              <w:keepLines w:val="0"/>
              <w:pageBreakBefore w:val="0"/>
              <w:widowControl w:val="0"/>
              <w:kinsoku/>
              <w:wordWrap/>
              <w:overflowPunct/>
              <w:topLinePunct w:val="0"/>
              <w:autoSpaceDE/>
              <w:autoSpaceDN/>
              <w:bidi w:val="0"/>
              <w:adjustRightInd/>
              <w:spacing w:line="360" w:lineRule="auto"/>
              <w:textAlignment w:val="auto"/>
              <w:rPr>
                <w:rFonts w:ascii="Times New Roman" w:hAnsi="Times New Roman" w:eastAsia="宋体"/>
                <w:color w:val="auto"/>
                <w:sz w:val="24"/>
                <w:szCs w:val="24"/>
              </w:rPr>
            </w:pPr>
            <w:r>
              <w:rPr>
                <w:rFonts w:ascii="Times New Roman" w:hAnsi="Times New Roman" w:eastAsia="宋体"/>
                <w:color w:val="auto"/>
                <w:sz w:val="24"/>
                <w:szCs w:val="24"/>
              </w:rPr>
              <w:t>对于医疗固体废物，禁止将其在非收集、非暂时贮存地点倾倒、堆放；禁止将医疗废物混入</w:t>
            </w:r>
            <w:r>
              <w:rPr>
                <w:rFonts w:hint="eastAsia" w:ascii="Times New Roman" w:hAnsi="Times New Roman" w:eastAsia="宋体"/>
                <w:color w:val="auto"/>
                <w:sz w:val="24"/>
                <w:szCs w:val="24"/>
                <w:lang w:eastAsia="zh-CN"/>
              </w:rPr>
              <w:t>其他</w:t>
            </w:r>
            <w:r>
              <w:rPr>
                <w:rFonts w:ascii="Times New Roman" w:hAnsi="Times New Roman" w:eastAsia="宋体"/>
                <w:color w:val="auto"/>
                <w:sz w:val="24"/>
                <w:szCs w:val="24"/>
              </w:rPr>
              <w:t>废物和生活垃圾；禁止在内部运送过程中丢弃医疗废物。</w:t>
            </w:r>
          </w:p>
          <w:p w14:paraId="2955EC1D">
            <w:pPr>
              <w:keepNext w:val="0"/>
              <w:keepLines w:val="0"/>
              <w:pageBreakBefore w:val="0"/>
              <w:widowControl w:val="0"/>
              <w:kinsoku/>
              <w:wordWrap/>
              <w:overflowPunct/>
              <w:topLinePunct w:val="0"/>
              <w:autoSpaceDE/>
              <w:autoSpaceDN/>
              <w:bidi w:val="0"/>
              <w:adjustRightInd/>
              <w:spacing w:line="360" w:lineRule="auto"/>
              <w:ind w:leftChars="0"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根据《医疗机构水污染物排放标准》（GB18466-2005）以及《医院污水处理工程技术规范》（HJ2029-2013）的相关要求，对本项目污泥处理处置的要求如下：</w:t>
            </w:r>
          </w:p>
          <w:p w14:paraId="049D7C01">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jc w:val="both"/>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kern w:val="2"/>
                <w:sz w:val="24"/>
                <w:szCs w:val="24"/>
                <w:lang w:val="en-US" w:eastAsia="zh-CN" w:bidi="ar-SA"/>
              </w:rPr>
              <w:t>①</w:t>
            </w:r>
            <w:r>
              <w:rPr>
                <w:rFonts w:ascii="Times New Roman" w:hAnsi="Times New Roman" w:eastAsia="宋体" w:cs="Times New Roman"/>
                <w:color w:val="auto"/>
                <w:sz w:val="24"/>
                <w:szCs w:val="24"/>
              </w:rPr>
              <w:t>化粪池清掏周期为180~360d。</w:t>
            </w:r>
            <w:r>
              <w:rPr>
                <w:rFonts w:hint="eastAsia" w:cs="Times New Roman"/>
                <w:color w:val="auto"/>
                <w:sz w:val="24"/>
                <w:szCs w:val="24"/>
                <w:lang w:val="en-US" w:eastAsia="zh-CN"/>
              </w:rPr>
              <w:t>污泥、</w:t>
            </w:r>
            <w:r>
              <w:rPr>
                <w:rFonts w:ascii="Times New Roman" w:hAnsi="Times New Roman" w:eastAsia="宋体" w:cs="Times New Roman"/>
                <w:color w:val="auto"/>
                <w:sz w:val="24"/>
                <w:szCs w:val="24"/>
              </w:rPr>
              <w:t>化粪池每年清掏2次。</w:t>
            </w:r>
          </w:p>
          <w:p w14:paraId="2FC849F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jc w:val="both"/>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kern w:val="2"/>
                <w:sz w:val="24"/>
                <w:szCs w:val="24"/>
                <w:lang w:val="en-US" w:eastAsia="zh-CN" w:bidi="ar-SA"/>
              </w:rPr>
              <w:t>②</w:t>
            </w:r>
            <w:r>
              <w:rPr>
                <w:rFonts w:ascii="Times New Roman" w:hAnsi="Times New Roman" w:eastAsia="宋体" w:cs="Times New Roman"/>
                <w:color w:val="auto"/>
                <w:spacing w:val="-3"/>
                <w:sz w:val="24"/>
                <w:szCs w:val="24"/>
              </w:rPr>
              <w:t>污泥清掏前应进行监测，监测因子为粪大肠菌群数和蛔虫卵死亡率，达到</w:t>
            </w:r>
            <w:r>
              <w:rPr>
                <w:rFonts w:ascii="Times New Roman" w:hAnsi="Times New Roman" w:eastAsia="宋体" w:cs="Times New Roman"/>
                <w:color w:val="auto"/>
                <w:sz w:val="24"/>
                <w:szCs w:val="24"/>
              </w:rPr>
              <w:t>《医疗机构水污染物排放标准》（GB18466-2005）表4要求。</w:t>
            </w:r>
          </w:p>
          <w:p w14:paraId="086839DD">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jc w:val="both"/>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kern w:val="2"/>
                <w:sz w:val="24"/>
                <w:szCs w:val="24"/>
                <w:lang w:val="en-US" w:eastAsia="zh-CN" w:bidi="ar-SA"/>
              </w:rPr>
              <w:t>③</w:t>
            </w:r>
            <w:r>
              <w:rPr>
                <w:rFonts w:ascii="Times New Roman" w:hAnsi="Times New Roman" w:eastAsia="宋体" w:cs="Times New Roman"/>
                <w:color w:val="auto"/>
                <w:sz w:val="24"/>
                <w:szCs w:val="24"/>
              </w:rPr>
              <w:t>应保持医院污水处理工程场界内环境整洁，无污泥杂物遗洒、污水横流等脏乱现象，采取灭蝇、灭蚊、灭鼠措施，做到清洁整齐，文明卫生。</w:t>
            </w:r>
          </w:p>
          <w:p w14:paraId="2B461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ascii="Times New Roman" w:hAnsi="Times New Roman" w:eastAsia="宋体"/>
                <w:color w:val="auto"/>
                <w:sz w:val="24"/>
                <w:szCs w:val="24"/>
              </w:rPr>
            </w:pPr>
            <w:r>
              <w:rPr>
                <w:rFonts w:ascii="Times New Roman" w:hAnsi="Times New Roman" w:eastAsia="宋体" w:cs="Times New Roman"/>
                <w:bCs/>
                <w:color w:val="auto"/>
                <w:sz w:val="24"/>
                <w:szCs w:val="24"/>
              </w:rPr>
              <w:t>危废贮存间应按照</w:t>
            </w:r>
            <w:r>
              <w:rPr>
                <w:rFonts w:hint="eastAsia" w:ascii="Times New Roman" w:hAnsi="Times New Roman" w:eastAsia="宋体" w:cs="Times New Roman"/>
                <w:bCs/>
                <w:color w:val="auto"/>
                <w:sz w:val="24"/>
                <w:szCs w:val="24"/>
                <w:lang w:val="en-US" w:eastAsia="zh-CN"/>
              </w:rPr>
              <w:t>《医疗废物处理处置污染控制标准》</w:t>
            </w:r>
            <w:r>
              <w:rPr>
                <w:rFonts w:hint="eastAsia"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GB39707-2020</w:t>
            </w:r>
            <w:r>
              <w:rPr>
                <w:rFonts w:hint="eastAsia"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标准</w:t>
            </w:r>
            <w:r>
              <w:rPr>
                <w:rFonts w:ascii="Times New Roman" w:hAnsi="Times New Roman" w:eastAsia="宋体" w:cs="Times New Roman"/>
                <w:color w:val="auto"/>
                <w:sz w:val="24"/>
                <w:szCs w:val="24"/>
              </w:rPr>
              <w:t>要求</w:t>
            </w:r>
            <w:r>
              <w:rPr>
                <w:rFonts w:ascii="Times New Roman" w:hAnsi="Times New Roman" w:eastAsia="宋体" w:cs="Times New Roman"/>
                <w:bCs/>
                <w:color w:val="auto"/>
                <w:sz w:val="24"/>
                <w:szCs w:val="24"/>
              </w:rPr>
              <w:t>做好防渗措施，对于医疗废物及污泥等危险废物的渗出液、沥下液及地面清洗应收集并返回调节池。</w:t>
            </w:r>
            <w:r>
              <w:rPr>
                <w:rFonts w:ascii="Times New Roman" w:hAnsi="Times New Roman" w:eastAsia="宋体" w:cs="Times New Roman"/>
                <w:color w:val="auto"/>
                <w:sz w:val="24"/>
                <w:szCs w:val="24"/>
              </w:rPr>
              <w:t>包装材料</w:t>
            </w:r>
            <w:r>
              <w:rPr>
                <w:rFonts w:hint="eastAsia" w:ascii="Times New Roman" w:hAnsi="Times New Roman" w:eastAsia="宋体" w:cs="Times New Roman"/>
                <w:color w:val="auto"/>
                <w:sz w:val="24"/>
                <w:szCs w:val="24"/>
                <w:lang w:eastAsia="zh-CN"/>
              </w:rPr>
              <w:t>，</w:t>
            </w:r>
            <w:r>
              <w:rPr>
                <w:rFonts w:ascii="Times New Roman" w:hAnsi="Times New Roman" w:eastAsia="宋体"/>
                <w:color w:val="auto"/>
                <w:kern w:val="0"/>
                <w:sz w:val="24"/>
                <w:szCs w:val="24"/>
              </w:rPr>
              <w:t>废输液瓶（袋）、包装纸盒、包装塑料盒等医药包装材料属于一般固体废物，由废旧资源回收单位回收利用。</w:t>
            </w:r>
            <w:r>
              <w:rPr>
                <w:rFonts w:ascii="Times New Roman" w:hAnsi="Times New Roman" w:eastAsia="宋体"/>
                <w:color w:val="auto"/>
                <w:sz w:val="24"/>
                <w:szCs w:val="24"/>
              </w:rPr>
              <w:t>本项目固废治理措施见表所示。</w:t>
            </w:r>
          </w:p>
          <w:p w14:paraId="013A066E">
            <w:pPr>
              <w:pStyle w:val="61"/>
              <w:bidi w:val="0"/>
              <w:jc w:val="center"/>
              <w:rPr>
                <w:rFonts w:ascii="Times New Roman" w:hAnsi="Times New Roman" w:eastAsia="宋体"/>
                <w:color w:val="auto"/>
                <w:sz w:val="24"/>
                <w:szCs w:val="24"/>
                <w:lang w:val="en-US" w:eastAsia="zh-CN" w:bidi="ar-SA"/>
              </w:rPr>
            </w:pPr>
            <w:r>
              <w:rPr>
                <w:rFonts w:ascii="Times New Roman" w:hAnsi="Times New Roman" w:eastAsia="宋体" w:cs="Times New Roman"/>
                <w:color w:val="auto"/>
                <w:sz w:val="21"/>
                <w:szCs w:val="21"/>
                <w:lang w:val="en-US" w:eastAsia="zh-CN" w:bidi="ar-SA"/>
              </w:rPr>
              <w:t>表</w:t>
            </w:r>
            <w:r>
              <w:rPr>
                <w:rFonts w:hint="eastAsia" w:cs="Times New Roman"/>
                <w:color w:val="auto"/>
                <w:sz w:val="21"/>
                <w:szCs w:val="21"/>
                <w:lang w:val="en-US" w:eastAsia="zh-CN" w:bidi="ar-SA"/>
              </w:rPr>
              <w:t xml:space="preserve">4-18 </w:t>
            </w:r>
            <w:r>
              <w:rPr>
                <w:rFonts w:ascii="Times New Roman" w:hAnsi="Times New Roman" w:eastAsia="宋体" w:cs="Times New Roman"/>
                <w:color w:val="auto"/>
                <w:sz w:val="21"/>
                <w:szCs w:val="21"/>
                <w:lang w:val="en-US" w:eastAsia="zh-CN" w:bidi="ar-SA"/>
              </w:rPr>
              <w:t>固体废物处理措施</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7"/>
              <w:gridCol w:w="3439"/>
              <w:gridCol w:w="4258"/>
            </w:tblGrid>
            <w:tr w14:paraId="059C65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85" w:type="pct"/>
                  <w:tcBorders>
                    <w:tl2br w:val="nil"/>
                    <w:tr2bl w:val="nil"/>
                  </w:tcBorders>
                  <w:noWrap w:val="0"/>
                  <w:vAlign w:val="center"/>
                </w:tcPr>
                <w:p w14:paraId="0233433A">
                  <w:pPr>
                    <w:pStyle w:val="61"/>
                    <w:bidi w:val="0"/>
                    <w:jc w:val="center"/>
                    <w:rPr>
                      <w:rFonts w:ascii="Times New Roman" w:hAnsi="Times New Roman" w:eastAsia="宋体"/>
                      <w:color w:val="auto"/>
                      <w:sz w:val="21"/>
                      <w:szCs w:val="21"/>
                    </w:rPr>
                  </w:pPr>
                  <w:r>
                    <w:rPr>
                      <w:rFonts w:ascii="Times New Roman" w:hAnsi="Times New Roman" w:eastAsia="宋体"/>
                      <w:color w:val="auto"/>
                      <w:sz w:val="21"/>
                      <w:szCs w:val="21"/>
                    </w:rPr>
                    <w:t>序号</w:t>
                  </w:r>
                </w:p>
              </w:tc>
              <w:tc>
                <w:tcPr>
                  <w:tcW w:w="2017" w:type="pct"/>
                  <w:tcBorders>
                    <w:tl2br w:val="nil"/>
                    <w:tr2bl w:val="nil"/>
                  </w:tcBorders>
                  <w:noWrap w:val="0"/>
                  <w:vAlign w:val="center"/>
                </w:tcPr>
                <w:p w14:paraId="1281F23B">
                  <w:pPr>
                    <w:pStyle w:val="61"/>
                    <w:bidi w:val="0"/>
                    <w:jc w:val="center"/>
                    <w:rPr>
                      <w:rFonts w:ascii="Times New Roman" w:hAnsi="Times New Roman" w:eastAsia="宋体"/>
                      <w:color w:val="auto"/>
                      <w:sz w:val="21"/>
                      <w:szCs w:val="21"/>
                    </w:rPr>
                  </w:pPr>
                  <w:r>
                    <w:rPr>
                      <w:rFonts w:ascii="Times New Roman" w:hAnsi="Times New Roman" w:eastAsia="宋体"/>
                      <w:color w:val="auto"/>
                      <w:sz w:val="21"/>
                      <w:szCs w:val="21"/>
                    </w:rPr>
                    <w:t>固废种类</w:t>
                  </w:r>
                </w:p>
              </w:tc>
              <w:tc>
                <w:tcPr>
                  <w:tcW w:w="2497" w:type="pct"/>
                  <w:tcBorders>
                    <w:tl2br w:val="nil"/>
                    <w:tr2bl w:val="nil"/>
                  </w:tcBorders>
                  <w:noWrap w:val="0"/>
                  <w:vAlign w:val="center"/>
                </w:tcPr>
                <w:p w14:paraId="4EA09D93">
                  <w:pPr>
                    <w:pStyle w:val="61"/>
                    <w:bidi w:val="0"/>
                    <w:jc w:val="center"/>
                    <w:rPr>
                      <w:rFonts w:ascii="Times New Roman" w:hAnsi="Times New Roman" w:eastAsia="宋体"/>
                      <w:color w:val="auto"/>
                      <w:sz w:val="21"/>
                      <w:szCs w:val="21"/>
                    </w:rPr>
                  </w:pPr>
                  <w:r>
                    <w:rPr>
                      <w:rFonts w:ascii="Times New Roman" w:hAnsi="Times New Roman" w:eastAsia="宋体"/>
                      <w:color w:val="auto"/>
                      <w:sz w:val="21"/>
                      <w:szCs w:val="21"/>
                    </w:rPr>
                    <w:t>处理措施</w:t>
                  </w:r>
                </w:p>
              </w:tc>
            </w:tr>
            <w:tr w14:paraId="2CADBA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5" w:type="pct"/>
                  <w:tcBorders>
                    <w:tl2br w:val="nil"/>
                    <w:tr2bl w:val="nil"/>
                  </w:tcBorders>
                  <w:noWrap w:val="0"/>
                  <w:vAlign w:val="center"/>
                </w:tcPr>
                <w:p w14:paraId="78523AF8">
                  <w:pPr>
                    <w:pStyle w:val="59"/>
                    <w:bidi w:val="0"/>
                    <w:jc w:val="center"/>
                    <w:rPr>
                      <w:rFonts w:ascii="Times New Roman" w:hAnsi="Times New Roman" w:eastAsia="宋体"/>
                      <w:color w:val="auto"/>
                      <w:sz w:val="21"/>
                      <w:szCs w:val="21"/>
                    </w:rPr>
                  </w:pPr>
                  <w:r>
                    <w:rPr>
                      <w:rFonts w:ascii="Times New Roman" w:hAnsi="Times New Roman" w:eastAsia="宋体"/>
                      <w:color w:val="auto"/>
                      <w:sz w:val="21"/>
                      <w:szCs w:val="21"/>
                    </w:rPr>
                    <w:t>1</w:t>
                  </w:r>
                </w:p>
              </w:tc>
              <w:tc>
                <w:tcPr>
                  <w:tcW w:w="2017" w:type="pct"/>
                  <w:tcBorders>
                    <w:tl2br w:val="nil"/>
                    <w:tr2bl w:val="nil"/>
                  </w:tcBorders>
                  <w:noWrap w:val="0"/>
                  <w:vAlign w:val="center"/>
                </w:tcPr>
                <w:p w14:paraId="2FB24F2B">
                  <w:pPr>
                    <w:pStyle w:val="59"/>
                    <w:bidi w:val="0"/>
                    <w:ind w:firstLine="0" w:firstLineChars="0"/>
                    <w:jc w:val="center"/>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rPr>
                    <w:t>生活垃圾</w:t>
                  </w:r>
                  <w:r>
                    <w:rPr>
                      <w:rFonts w:hint="eastAsia"/>
                      <w:color w:val="auto"/>
                      <w:sz w:val="21"/>
                      <w:szCs w:val="21"/>
                      <w:lang w:eastAsia="zh-CN"/>
                    </w:rPr>
                    <w:t>、</w:t>
                  </w:r>
                  <w:r>
                    <w:rPr>
                      <w:rFonts w:hint="eastAsia"/>
                      <w:color w:val="auto"/>
                      <w:sz w:val="21"/>
                      <w:szCs w:val="21"/>
                      <w:lang w:val="en-US" w:eastAsia="zh-CN"/>
                    </w:rPr>
                    <w:t>废中药渣</w:t>
                  </w:r>
                </w:p>
              </w:tc>
              <w:tc>
                <w:tcPr>
                  <w:tcW w:w="2497" w:type="pct"/>
                  <w:tcBorders>
                    <w:tl2br w:val="nil"/>
                    <w:tr2bl w:val="nil"/>
                  </w:tcBorders>
                  <w:noWrap w:val="0"/>
                  <w:vAlign w:val="center"/>
                </w:tcPr>
                <w:p w14:paraId="3FACA428">
                  <w:pPr>
                    <w:pStyle w:val="59"/>
                    <w:bidi w:val="0"/>
                    <w:ind w:firstLine="0" w:firstLineChars="0"/>
                    <w:jc w:val="center"/>
                    <w:rPr>
                      <w:rFonts w:ascii="Times New Roman" w:hAnsi="Times New Roman" w:eastAsia="宋体"/>
                      <w:color w:val="auto"/>
                      <w:sz w:val="21"/>
                      <w:szCs w:val="21"/>
                    </w:rPr>
                  </w:pPr>
                  <w:r>
                    <w:rPr>
                      <w:rFonts w:hint="default" w:ascii="Times New Roman" w:hAnsi="Times New Roman" w:eastAsia="宋体"/>
                      <w:color w:val="auto"/>
                      <w:sz w:val="21"/>
                      <w:szCs w:val="21"/>
                    </w:rPr>
                    <w:t>环卫清运</w:t>
                  </w:r>
                </w:p>
              </w:tc>
            </w:tr>
            <w:tr w14:paraId="3A7A11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485" w:type="pct"/>
                  <w:tcBorders>
                    <w:tl2br w:val="nil"/>
                    <w:tr2bl w:val="nil"/>
                  </w:tcBorders>
                  <w:noWrap w:val="0"/>
                  <w:vAlign w:val="center"/>
                </w:tcPr>
                <w:p w14:paraId="4A430A9D">
                  <w:pPr>
                    <w:pStyle w:val="59"/>
                    <w:bidi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w:t>
                  </w:r>
                </w:p>
              </w:tc>
              <w:tc>
                <w:tcPr>
                  <w:tcW w:w="2017" w:type="pct"/>
                  <w:tcBorders>
                    <w:tl2br w:val="nil"/>
                    <w:tr2bl w:val="nil"/>
                  </w:tcBorders>
                  <w:noWrap w:val="0"/>
                  <w:vAlign w:val="center"/>
                </w:tcPr>
                <w:p w14:paraId="456061FE">
                  <w:pPr>
                    <w:pStyle w:val="59"/>
                    <w:bidi w:val="0"/>
                    <w:ind w:firstLine="0" w:firstLineChars="0"/>
                    <w:jc w:val="center"/>
                    <w:rPr>
                      <w:rFonts w:ascii="Times New Roman" w:hAnsi="Times New Roman" w:eastAsia="宋体"/>
                      <w:color w:val="auto"/>
                      <w:sz w:val="21"/>
                      <w:szCs w:val="21"/>
                    </w:rPr>
                  </w:pPr>
                  <w:r>
                    <w:rPr>
                      <w:rFonts w:hint="default" w:ascii="Times New Roman" w:hAnsi="Times New Roman" w:eastAsia="宋体"/>
                      <w:color w:val="auto"/>
                      <w:sz w:val="21"/>
                      <w:szCs w:val="21"/>
                    </w:rPr>
                    <w:t>药品、试剂等</w:t>
                  </w:r>
                  <w:r>
                    <w:rPr>
                      <w:rFonts w:hint="eastAsia" w:ascii="Times New Roman" w:hAnsi="Times New Roman" w:eastAsia="宋体"/>
                      <w:color w:val="auto"/>
                      <w:sz w:val="21"/>
                      <w:szCs w:val="21"/>
                      <w:lang w:val="en-US" w:eastAsia="zh-CN"/>
                    </w:rPr>
                    <w:t>外</w:t>
                  </w:r>
                  <w:r>
                    <w:rPr>
                      <w:rFonts w:hint="default" w:ascii="Times New Roman" w:hAnsi="Times New Roman" w:eastAsia="宋体"/>
                      <w:color w:val="auto"/>
                      <w:sz w:val="21"/>
                      <w:szCs w:val="21"/>
                    </w:rPr>
                    <w:t>包装材料</w:t>
                  </w:r>
                </w:p>
              </w:tc>
              <w:tc>
                <w:tcPr>
                  <w:tcW w:w="2497" w:type="pct"/>
                  <w:tcBorders>
                    <w:tl2br w:val="nil"/>
                    <w:tr2bl w:val="nil"/>
                  </w:tcBorders>
                  <w:noWrap w:val="0"/>
                  <w:vAlign w:val="center"/>
                </w:tcPr>
                <w:p w14:paraId="4BB7A0D6">
                  <w:pPr>
                    <w:pStyle w:val="59"/>
                    <w:bidi w:val="0"/>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收集统一给回收单位</w:t>
                  </w:r>
                </w:p>
              </w:tc>
            </w:tr>
            <w:tr w14:paraId="62B920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85" w:type="pct"/>
                  <w:tcBorders>
                    <w:tl2br w:val="nil"/>
                    <w:tr2bl w:val="nil"/>
                  </w:tcBorders>
                  <w:noWrap w:val="0"/>
                  <w:vAlign w:val="center"/>
                </w:tcPr>
                <w:p w14:paraId="5D7A5D0D">
                  <w:pPr>
                    <w:pStyle w:val="59"/>
                    <w:bidi w:val="0"/>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3</w:t>
                  </w:r>
                </w:p>
              </w:tc>
              <w:tc>
                <w:tcPr>
                  <w:tcW w:w="2017" w:type="pct"/>
                  <w:tcBorders>
                    <w:tl2br w:val="nil"/>
                    <w:tr2bl w:val="nil"/>
                  </w:tcBorders>
                  <w:noWrap w:val="0"/>
                  <w:vAlign w:val="center"/>
                </w:tcPr>
                <w:p w14:paraId="3C9F5F99">
                  <w:pPr>
                    <w:pStyle w:val="59"/>
                    <w:bidi w:val="0"/>
                    <w:ind w:firstLine="0" w:firstLineChars="0"/>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未污染的废输液袋</w:t>
                  </w:r>
                </w:p>
              </w:tc>
              <w:tc>
                <w:tcPr>
                  <w:tcW w:w="2497" w:type="pct"/>
                  <w:tcBorders>
                    <w:tl2br w:val="nil"/>
                    <w:tr2bl w:val="nil"/>
                  </w:tcBorders>
                  <w:noWrap w:val="0"/>
                  <w:vAlign w:val="center"/>
                </w:tcPr>
                <w:p w14:paraId="7F838795">
                  <w:pPr>
                    <w:pStyle w:val="59"/>
                    <w:bidi w:val="0"/>
                    <w:ind w:firstLine="0" w:firstLineChars="0"/>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交由再生资源利用回收单位</w:t>
                  </w:r>
                </w:p>
              </w:tc>
            </w:tr>
            <w:tr w14:paraId="1A7F7C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85" w:type="pct"/>
                  <w:tcBorders>
                    <w:tl2br w:val="nil"/>
                    <w:tr2bl w:val="nil"/>
                  </w:tcBorders>
                  <w:noWrap w:val="0"/>
                  <w:vAlign w:val="center"/>
                </w:tcPr>
                <w:p w14:paraId="35ADAAE3">
                  <w:pPr>
                    <w:pStyle w:val="59"/>
                    <w:bidi w:val="0"/>
                    <w:jc w:val="center"/>
                    <w:rPr>
                      <w:rFonts w:hint="eastAsia" w:ascii="Times New Roman" w:hAnsi="Times New Roman" w:eastAsia="宋体"/>
                      <w:color w:val="auto"/>
                      <w:sz w:val="21"/>
                      <w:szCs w:val="21"/>
                      <w:lang w:val="en-US" w:eastAsia="zh-CN"/>
                    </w:rPr>
                  </w:pPr>
                  <w:r>
                    <w:rPr>
                      <w:rFonts w:hint="eastAsia"/>
                      <w:color w:val="auto"/>
                      <w:sz w:val="21"/>
                      <w:szCs w:val="21"/>
                      <w:lang w:val="en-US" w:eastAsia="zh-CN"/>
                    </w:rPr>
                    <w:t>4</w:t>
                  </w:r>
                </w:p>
              </w:tc>
              <w:tc>
                <w:tcPr>
                  <w:tcW w:w="2017" w:type="pct"/>
                  <w:tcBorders>
                    <w:tl2br w:val="nil"/>
                    <w:tr2bl w:val="nil"/>
                  </w:tcBorders>
                  <w:noWrap w:val="0"/>
                  <w:vAlign w:val="center"/>
                </w:tcPr>
                <w:p w14:paraId="51B39519">
                  <w:pPr>
                    <w:pStyle w:val="59"/>
                    <w:bidi w:val="0"/>
                    <w:ind w:firstLine="0" w:firstLineChars="0"/>
                    <w:jc w:val="center"/>
                    <w:rPr>
                      <w:rFonts w:ascii="Times New Roman" w:hAnsi="Times New Roman" w:eastAsia="宋体"/>
                      <w:color w:val="auto"/>
                      <w:sz w:val="21"/>
                      <w:szCs w:val="21"/>
                    </w:rPr>
                  </w:pPr>
                  <w:r>
                    <w:rPr>
                      <w:rFonts w:hint="default" w:ascii="Times New Roman" w:hAnsi="Times New Roman" w:eastAsia="宋体"/>
                      <w:color w:val="auto"/>
                      <w:sz w:val="21"/>
                      <w:szCs w:val="21"/>
                    </w:rPr>
                    <w:t>医疗废物</w:t>
                  </w:r>
                </w:p>
              </w:tc>
              <w:tc>
                <w:tcPr>
                  <w:tcW w:w="2497" w:type="pct"/>
                  <w:vMerge w:val="restart"/>
                  <w:tcBorders>
                    <w:tl2br w:val="nil"/>
                    <w:tr2bl w:val="nil"/>
                  </w:tcBorders>
                  <w:noWrap w:val="0"/>
                  <w:vAlign w:val="center"/>
                </w:tcPr>
                <w:p w14:paraId="7F1DFEB0">
                  <w:pPr>
                    <w:pStyle w:val="59"/>
                    <w:bidi w:val="0"/>
                    <w:ind w:firstLine="0" w:firstLineChars="0"/>
                    <w:jc w:val="center"/>
                    <w:rPr>
                      <w:rFonts w:hint="eastAsia" w:ascii="Times New Roman" w:hAnsi="Times New Roman" w:eastAsia="宋体"/>
                      <w:color w:val="auto"/>
                      <w:sz w:val="21"/>
                      <w:szCs w:val="21"/>
                      <w:lang w:val="en-US" w:eastAsia="zh-CN"/>
                    </w:rPr>
                  </w:pPr>
                  <w:r>
                    <w:rPr>
                      <w:rFonts w:hint="default" w:ascii="Times New Roman" w:hAnsi="Times New Roman" w:eastAsia="宋体"/>
                      <w:color w:val="auto"/>
                      <w:sz w:val="21"/>
                      <w:szCs w:val="21"/>
                    </w:rPr>
                    <w:t>委托有处置资质单位</w:t>
                  </w:r>
                  <w:r>
                    <w:rPr>
                      <w:rFonts w:hint="eastAsia"/>
                      <w:color w:val="auto"/>
                      <w:sz w:val="21"/>
                      <w:szCs w:val="21"/>
                      <w:lang w:val="en-US" w:eastAsia="zh-CN"/>
                    </w:rPr>
                    <w:t>处理</w:t>
                  </w:r>
                </w:p>
              </w:tc>
            </w:tr>
            <w:tr w14:paraId="344009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85" w:type="pct"/>
                  <w:tcBorders>
                    <w:tl2br w:val="nil"/>
                    <w:tr2bl w:val="nil"/>
                  </w:tcBorders>
                  <w:noWrap w:val="0"/>
                  <w:vAlign w:val="center"/>
                </w:tcPr>
                <w:p w14:paraId="0620C561">
                  <w:pPr>
                    <w:pStyle w:val="59"/>
                    <w:bidi w:val="0"/>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5</w:t>
                  </w:r>
                </w:p>
              </w:tc>
              <w:tc>
                <w:tcPr>
                  <w:tcW w:w="2017" w:type="pct"/>
                  <w:tcBorders>
                    <w:tl2br w:val="nil"/>
                    <w:tr2bl w:val="nil"/>
                  </w:tcBorders>
                  <w:noWrap w:val="0"/>
                  <w:vAlign w:val="center"/>
                </w:tcPr>
                <w:p w14:paraId="4CAE146F">
                  <w:pPr>
                    <w:pStyle w:val="59"/>
                    <w:bidi w:val="0"/>
                    <w:jc w:val="center"/>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rPr>
                    <w:t>污泥</w:t>
                  </w:r>
                  <w:r>
                    <w:rPr>
                      <w:rFonts w:hint="eastAsia"/>
                      <w:color w:val="auto"/>
                      <w:sz w:val="21"/>
                      <w:szCs w:val="21"/>
                      <w:lang w:eastAsia="zh-CN"/>
                    </w:rPr>
                    <w:t>、</w:t>
                  </w:r>
                  <w:r>
                    <w:rPr>
                      <w:rFonts w:hint="eastAsia"/>
                      <w:color w:val="auto"/>
                      <w:sz w:val="21"/>
                      <w:szCs w:val="21"/>
                      <w:lang w:val="en-US" w:eastAsia="zh-CN"/>
                    </w:rPr>
                    <w:t>废MBR膜</w:t>
                  </w:r>
                </w:p>
              </w:tc>
              <w:tc>
                <w:tcPr>
                  <w:tcW w:w="2497" w:type="pct"/>
                  <w:vMerge w:val="continue"/>
                  <w:tcBorders>
                    <w:tl2br w:val="nil"/>
                    <w:tr2bl w:val="nil"/>
                  </w:tcBorders>
                  <w:noWrap w:val="0"/>
                  <w:vAlign w:val="center"/>
                </w:tcPr>
                <w:p w14:paraId="0B382225">
                  <w:pPr>
                    <w:pStyle w:val="59"/>
                    <w:bidi w:val="0"/>
                    <w:ind w:firstLine="0" w:firstLineChars="0"/>
                    <w:jc w:val="center"/>
                    <w:rPr>
                      <w:rFonts w:ascii="Times New Roman" w:hAnsi="Times New Roman" w:eastAsia="宋体"/>
                      <w:color w:val="auto"/>
                      <w:sz w:val="21"/>
                      <w:szCs w:val="21"/>
                    </w:rPr>
                  </w:pPr>
                </w:p>
              </w:tc>
            </w:tr>
            <w:tr w14:paraId="38ECA3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485" w:type="pct"/>
                  <w:tcBorders>
                    <w:tl2br w:val="nil"/>
                    <w:tr2bl w:val="nil"/>
                  </w:tcBorders>
                  <w:noWrap w:val="0"/>
                  <w:vAlign w:val="center"/>
                </w:tcPr>
                <w:p w14:paraId="32FD1D59">
                  <w:pPr>
                    <w:pStyle w:val="59"/>
                    <w:bidi w:val="0"/>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6</w:t>
                  </w:r>
                </w:p>
              </w:tc>
              <w:tc>
                <w:tcPr>
                  <w:tcW w:w="2017" w:type="pct"/>
                  <w:tcBorders>
                    <w:tl2br w:val="nil"/>
                    <w:tr2bl w:val="nil"/>
                  </w:tcBorders>
                  <w:noWrap w:val="0"/>
                  <w:vAlign w:val="center"/>
                </w:tcPr>
                <w:p w14:paraId="34949064">
                  <w:pPr>
                    <w:pStyle w:val="59"/>
                    <w:bidi w:val="0"/>
                    <w:ind w:firstLine="0" w:firstLineChars="0"/>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紫外线灯管</w:t>
                  </w:r>
                </w:p>
              </w:tc>
              <w:tc>
                <w:tcPr>
                  <w:tcW w:w="2497" w:type="pct"/>
                  <w:vMerge w:val="continue"/>
                  <w:tcBorders>
                    <w:tl2br w:val="nil"/>
                    <w:tr2bl w:val="nil"/>
                  </w:tcBorders>
                  <w:noWrap w:val="0"/>
                  <w:vAlign w:val="center"/>
                </w:tcPr>
                <w:p w14:paraId="7314E196">
                  <w:pPr>
                    <w:pStyle w:val="59"/>
                    <w:bidi w:val="0"/>
                    <w:ind w:firstLine="0" w:firstLineChars="0"/>
                    <w:jc w:val="center"/>
                    <w:rPr>
                      <w:rFonts w:ascii="Times New Roman" w:hAnsi="Times New Roman" w:eastAsia="宋体"/>
                      <w:color w:val="auto"/>
                      <w:sz w:val="21"/>
                      <w:szCs w:val="21"/>
                    </w:rPr>
                  </w:pPr>
                </w:p>
              </w:tc>
            </w:tr>
          </w:tbl>
          <w:p w14:paraId="356BF6EE">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both"/>
              <w:textAlignment w:val="auto"/>
              <w:rPr>
                <w:rFonts w:hint="eastAsia" w:ascii="Times New Roman" w:hAnsi="Times New Roman" w:eastAsia="宋体"/>
                <w:color w:val="auto"/>
                <w:sz w:val="24"/>
                <w:szCs w:val="24"/>
                <w:lang w:val="en-US" w:eastAsia="zh-CN"/>
              </w:rPr>
            </w:pPr>
            <w:r>
              <w:rPr>
                <w:rFonts w:ascii="Times New Roman" w:hAnsi="Times New Roman" w:eastAsia="宋体"/>
                <w:color w:val="auto"/>
                <w:sz w:val="24"/>
                <w:szCs w:val="24"/>
              </w:rPr>
              <w:t>由上分析可知，只要建设单位加强管理，对产生的固体废物进行分类、收集、消毒、无害化处理处置，并对代处理单位进行必要的监督，各类固体废物去向合理，不会对周围环境带来不利影响。</w:t>
            </w:r>
          </w:p>
          <w:p w14:paraId="4BBCFDCB">
            <w:pPr>
              <w:adjustRightInd w:val="0"/>
              <w:snapToGrid w:val="0"/>
              <w:jc w:val="center"/>
              <w:rPr>
                <w:b/>
                <w:bCs/>
                <w:color w:val="auto"/>
                <w:szCs w:val="21"/>
              </w:rPr>
            </w:pPr>
            <w:r>
              <w:rPr>
                <w:rFonts w:hint="eastAsia"/>
                <w:b/>
                <w:bCs/>
                <w:color w:val="auto"/>
                <w:szCs w:val="21"/>
              </w:rPr>
              <w:t>表4-1</w:t>
            </w:r>
            <w:r>
              <w:rPr>
                <w:rFonts w:hint="eastAsia"/>
                <w:b/>
                <w:bCs/>
                <w:color w:val="auto"/>
                <w:szCs w:val="21"/>
                <w:lang w:val="en-US" w:eastAsia="zh-CN"/>
              </w:rPr>
              <w:t>9</w:t>
            </w:r>
            <w:r>
              <w:rPr>
                <w:rFonts w:hint="eastAsia"/>
                <w:b/>
                <w:bCs/>
                <w:color w:val="auto"/>
                <w:szCs w:val="21"/>
              </w:rPr>
              <w:t xml:space="preserve">  危险废物贮存场所（设施）基本情况表</w:t>
            </w:r>
          </w:p>
          <w:tbl>
            <w:tblPr>
              <w:tblStyle w:val="17"/>
              <w:tblW w:w="499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9"/>
              <w:gridCol w:w="626"/>
              <w:gridCol w:w="416"/>
              <w:gridCol w:w="1152"/>
              <w:gridCol w:w="851"/>
              <w:gridCol w:w="1338"/>
              <w:gridCol w:w="880"/>
              <w:gridCol w:w="661"/>
              <w:gridCol w:w="926"/>
              <w:gridCol w:w="551"/>
              <w:gridCol w:w="684"/>
            </w:tblGrid>
            <w:tr w14:paraId="78DF10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252" w:type="pct"/>
                  <w:tcBorders>
                    <w:top w:val="single" w:color="auto" w:sz="12" w:space="0"/>
                  </w:tcBorders>
                  <w:vAlign w:val="center"/>
                </w:tcPr>
                <w:p w14:paraId="337FCAD3">
                  <w:pPr>
                    <w:topLinePunct/>
                    <w:adjustRightInd w:val="0"/>
                    <w:snapToGrid w:val="0"/>
                    <w:jc w:val="center"/>
                    <w:rPr>
                      <w:b/>
                      <w:bCs/>
                      <w:color w:val="auto"/>
                      <w:kern w:val="0"/>
                      <w:szCs w:val="21"/>
                    </w:rPr>
                  </w:pPr>
                  <w:r>
                    <w:rPr>
                      <w:rFonts w:hint="eastAsia" w:cs="宋体"/>
                      <w:b/>
                      <w:bCs/>
                      <w:color w:val="auto"/>
                      <w:kern w:val="0"/>
                      <w:szCs w:val="21"/>
                      <w:lang w:bidi="ar"/>
                    </w:rPr>
                    <w:t>序号</w:t>
                  </w:r>
                </w:p>
              </w:tc>
              <w:tc>
                <w:tcPr>
                  <w:tcW w:w="368" w:type="pct"/>
                  <w:tcBorders>
                    <w:top w:val="single" w:color="auto" w:sz="12" w:space="0"/>
                  </w:tcBorders>
                  <w:vAlign w:val="center"/>
                </w:tcPr>
                <w:p w14:paraId="12DD9D67">
                  <w:pPr>
                    <w:topLinePunct/>
                    <w:adjustRightInd w:val="0"/>
                    <w:snapToGrid w:val="0"/>
                    <w:jc w:val="center"/>
                    <w:rPr>
                      <w:b/>
                      <w:bCs/>
                      <w:color w:val="auto"/>
                      <w:kern w:val="0"/>
                      <w:szCs w:val="21"/>
                    </w:rPr>
                  </w:pPr>
                  <w:r>
                    <w:rPr>
                      <w:rFonts w:hint="eastAsia" w:cs="宋体"/>
                      <w:b/>
                      <w:bCs/>
                      <w:color w:val="auto"/>
                      <w:kern w:val="0"/>
                      <w:szCs w:val="21"/>
                      <w:lang w:bidi="ar"/>
                    </w:rPr>
                    <w:t>贮存场所</w:t>
                  </w:r>
                </w:p>
              </w:tc>
              <w:tc>
                <w:tcPr>
                  <w:tcW w:w="920" w:type="pct"/>
                  <w:gridSpan w:val="2"/>
                  <w:tcBorders>
                    <w:top w:val="single" w:color="auto" w:sz="12" w:space="0"/>
                  </w:tcBorders>
                  <w:vAlign w:val="center"/>
                </w:tcPr>
                <w:p w14:paraId="5233F9C0">
                  <w:pPr>
                    <w:topLinePunct/>
                    <w:adjustRightInd w:val="0"/>
                    <w:snapToGrid w:val="0"/>
                    <w:jc w:val="center"/>
                    <w:rPr>
                      <w:b/>
                      <w:bCs/>
                      <w:color w:val="auto"/>
                      <w:kern w:val="0"/>
                      <w:szCs w:val="21"/>
                    </w:rPr>
                  </w:pPr>
                  <w:r>
                    <w:rPr>
                      <w:rFonts w:hint="eastAsia" w:cs="宋体"/>
                      <w:b/>
                      <w:bCs/>
                      <w:color w:val="auto"/>
                      <w:kern w:val="0"/>
                      <w:szCs w:val="21"/>
                      <w:lang w:bidi="ar"/>
                    </w:rPr>
                    <w:t>危险废物名称</w:t>
                  </w:r>
                </w:p>
              </w:tc>
              <w:tc>
                <w:tcPr>
                  <w:tcW w:w="499" w:type="pct"/>
                  <w:tcBorders>
                    <w:top w:val="single" w:color="auto" w:sz="12" w:space="0"/>
                  </w:tcBorders>
                  <w:vAlign w:val="center"/>
                </w:tcPr>
                <w:p w14:paraId="773EC423">
                  <w:pPr>
                    <w:topLinePunct/>
                    <w:adjustRightInd w:val="0"/>
                    <w:snapToGrid w:val="0"/>
                    <w:jc w:val="center"/>
                    <w:rPr>
                      <w:b/>
                      <w:bCs/>
                      <w:color w:val="auto"/>
                      <w:kern w:val="0"/>
                      <w:szCs w:val="21"/>
                    </w:rPr>
                  </w:pPr>
                  <w:r>
                    <w:rPr>
                      <w:rFonts w:hint="eastAsia" w:cs="宋体"/>
                      <w:b/>
                      <w:bCs/>
                      <w:color w:val="auto"/>
                      <w:kern w:val="0"/>
                      <w:szCs w:val="21"/>
                      <w:lang w:bidi="ar"/>
                    </w:rPr>
                    <w:t>危险废物类别</w:t>
                  </w:r>
                </w:p>
              </w:tc>
              <w:tc>
                <w:tcPr>
                  <w:tcW w:w="785" w:type="pct"/>
                  <w:tcBorders>
                    <w:top w:val="single" w:color="auto" w:sz="12" w:space="0"/>
                  </w:tcBorders>
                  <w:vAlign w:val="center"/>
                </w:tcPr>
                <w:p w14:paraId="1AE3F184">
                  <w:pPr>
                    <w:topLinePunct/>
                    <w:adjustRightInd w:val="0"/>
                    <w:snapToGrid w:val="0"/>
                    <w:jc w:val="center"/>
                    <w:rPr>
                      <w:b/>
                      <w:bCs/>
                      <w:color w:val="auto"/>
                      <w:kern w:val="0"/>
                      <w:szCs w:val="21"/>
                    </w:rPr>
                  </w:pPr>
                  <w:r>
                    <w:rPr>
                      <w:rFonts w:hint="eastAsia" w:cs="宋体"/>
                      <w:b/>
                      <w:bCs/>
                      <w:color w:val="auto"/>
                      <w:kern w:val="0"/>
                      <w:szCs w:val="21"/>
                      <w:lang w:bidi="ar"/>
                    </w:rPr>
                    <w:t>危险废物代码</w:t>
                  </w:r>
                </w:p>
              </w:tc>
              <w:tc>
                <w:tcPr>
                  <w:tcW w:w="516" w:type="pct"/>
                  <w:tcBorders>
                    <w:top w:val="single" w:color="auto" w:sz="12" w:space="0"/>
                  </w:tcBorders>
                  <w:vAlign w:val="center"/>
                </w:tcPr>
                <w:p w14:paraId="3BA294E7">
                  <w:pPr>
                    <w:topLinePunct/>
                    <w:adjustRightInd w:val="0"/>
                    <w:snapToGrid w:val="0"/>
                    <w:jc w:val="center"/>
                    <w:rPr>
                      <w:b/>
                      <w:bCs/>
                      <w:color w:val="auto"/>
                      <w:kern w:val="0"/>
                      <w:szCs w:val="21"/>
                    </w:rPr>
                  </w:pPr>
                  <w:r>
                    <w:rPr>
                      <w:rFonts w:hint="eastAsia" w:cs="宋体"/>
                      <w:b/>
                      <w:bCs/>
                      <w:color w:val="auto"/>
                      <w:kern w:val="0"/>
                      <w:szCs w:val="21"/>
                      <w:lang w:bidi="ar"/>
                    </w:rPr>
                    <w:t>位置</w:t>
                  </w:r>
                </w:p>
              </w:tc>
              <w:tc>
                <w:tcPr>
                  <w:tcW w:w="388" w:type="pct"/>
                  <w:tcBorders>
                    <w:top w:val="single" w:color="auto" w:sz="12" w:space="0"/>
                  </w:tcBorders>
                  <w:vAlign w:val="center"/>
                </w:tcPr>
                <w:p w14:paraId="2095AB87">
                  <w:pPr>
                    <w:topLinePunct/>
                    <w:adjustRightInd w:val="0"/>
                    <w:snapToGrid w:val="0"/>
                    <w:jc w:val="center"/>
                    <w:rPr>
                      <w:b/>
                      <w:bCs/>
                      <w:color w:val="auto"/>
                      <w:kern w:val="0"/>
                      <w:szCs w:val="21"/>
                    </w:rPr>
                  </w:pPr>
                  <w:r>
                    <w:rPr>
                      <w:rFonts w:hint="eastAsia" w:cs="宋体"/>
                      <w:b/>
                      <w:bCs/>
                      <w:color w:val="auto"/>
                      <w:kern w:val="0"/>
                      <w:szCs w:val="21"/>
                      <w:lang w:bidi="ar"/>
                    </w:rPr>
                    <w:t>占地面积</w:t>
                  </w:r>
                </w:p>
              </w:tc>
              <w:tc>
                <w:tcPr>
                  <w:tcW w:w="543" w:type="pct"/>
                  <w:tcBorders>
                    <w:top w:val="single" w:color="auto" w:sz="12" w:space="0"/>
                  </w:tcBorders>
                  <w:vAlign w:val="center"/>
                </w:tcPr>
                <w:p w14:paraId="0B668ECF">
                  <w:pPr>
                    <w:topLinePunct/>
                    <w:adjustRightInd w:val="0"/>
                    <w:snapToGrid w:val="0"/>
                    <w:jc w:val="center"/>
                    <w:rPr>
                      <w:b/>
                      <w:bCs/>
                      <w:color w:val="auto"/>
                      <w:kern w:val="0"/>
                      <w:szCs w:val="21"/>
                    </w:rPr>
                  </w:pPr>
                  <w:r>
                    <w:rPr>
                      <w:rFonts w:hint="eastAsia" w:cs="宋体"/>
                      <w:b/>
                      <w:bCs/>
                      <w:color w:val="auto"/>
                      <w:kern w:val="0"/>
                      <w:szCs w:val="21"/>
                      <w:lang w:bidi="ar"/>
                    </w:rPr>
                    <w:t>贮存方式</w:t>
                  </w:r>
                </w:p>
              </w:tc>
              <w:tc>
                <w:tcPr>
                  <w:tcW w:w="323" w:type="pct"/>
                  <w:tcBorders>
                    <w:top w:val="single" w:color="auto" w:sz="12" w:space="0"/>
                  </w:tcBorders>
                  <w:vAlign w:val="center"/>
                </w:tcPr>
                <w:p w14:paraId="242D20AB">
                  <w:pPr>
                    <w:topLinePunct/>
                    <w:adjustRightInd w:val="0"/>
                    <w:snapToGrid w:val="0"/>
                    <w:jc w:val="center"/>
                    <w:rPr>
                      <w:b/>
                      <w:bCs/>
                      <w:color w:val="auto"/>
                      <w:kern w:val="0"/>
                      <w:szCs w:val="21"/>
                    </w:rPr>
                  </w:pPr>
                  <w:r>
                    <w:rPr>
                      <w:rFonts w:hint="eastAsia" w:cs="宋体"/>
                      <w:b/>
                      <w:bCs/>
                      <w:color w:val="auto"/>
                      <w:kern w:val="0"/>
                      <w:szCs w:val="21"/>
                      <w:lang w:bidi="ar"/>
                    </w:rPr>
                    <w:t>贮存能力</w:t>
                  </w:r>
                </w:p>
              </w:tc>
              <w:tc>
                <w:tcPr>
                  <w:tcW w:w="400" w:type="pct"/>
                  <w:tcBorders>
                    <w:top w:val="single" w:color="auto" w:sz="12" w:space="0"/>
                  </w:tcBorders>
                  <w:vAlign w:val="center"/>
                </w:tcPr>
                <w:p w14:paraId="375FA8FD">
                  <w:pPr>
                    <w:topLinePunct/>
                    <w:adjustRightInd w:val="0"/>
                    <w:snapToGrid w:val="0"/>
                    <w:jc w:val="center"/>
                    <w:rPr>
                      <w:b/>
                      <w:bCs/>
                      <w:color w:val="auto"/>
                      <w:kern w:val="0"/>
                      <w:szCs w:val="21"/>
                    </w:rPr>
                  </w:pPr>
                  <w:r>
                    <w:rPr>
                      <w:rFonts w:hint="eastAsia" w:cs="宋体"/>
                      <w:b/>
                      <w:bCs/>
                      <w:color w:val="auto"/>
                      <w:kern w:val="0"/>
                      <w:szCs w:val="21"/>
                      <w:lang w:bidi="ar"/>
                    </w:rPr>
                    <w:t>贮存周期</w:t>
                  </w:r>
                </w:p>
              </w:tc>
            </w:tr>
            <w:tr w14:paraId="3F70AD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2" w:type="pct"/>
                  <w:vMerge w:val="restart"/>
                  <w:vAlign w:val="center"/>
                </w:tcPr>
                <w:p w14:paraId="6229BEF0">
                  <w:pPr>
                    <w:topLinePunct/>
                    <w:adjustRightInd w:val="0"/>
                    <w:snapToGrid w:val="0"/>
                    <w:jc w:val="center"/>
                    <w:rPr>
                      <w:color w:val="auto"/>
                      <w:kern w:val="0"/>
                      <w:szCs w:val="21"/>
                    </w:rPr>
                  </w:pPr>
                  <w:r>
                    <w:rPr>
                      <w:rFonts w:hint="eastAsia"/>
                      <w:color w:val="auto"/>
                      <w:kern w:val="0"/>
                      <w:szCs w:val="21"/>
                      <w:lang w:bidi="ar"/>
                    </w:rPr>
                    <w:t>1</w:t>
                  </w:r>
                </w:p>
              </w:tc>
              <w:tc>
                <w:tcPr>
                  <w:tcW w:w="368" w:type="pct"/>
                  <w:vMerge w:val="restart"/>
                  <w:vAlign w:val="center"/>
                </w:tcPr>
                <w:p w14:paraId="41CA578A">
                  <w:pPr>
                    <w:topLinePunct/>
                    <w:adjustRightInd w:val="0"/>
                    <w:snapToGrid w:val="0"/>
                    <w:jc w:val="center"/>
                    <w:rPr>
                      <w:color w:val="auto"/>
                      <w:kern w:val="0"/>
                      <w:szCs w:val="21"/>
                    </w:rPr>
                  </w:pPr>
                  <w:r>
                    <w:rPr>
                      <w:rFonts w:hint="eastAsia" w:cs="宋体"/>
                      <w:color w:val="auto"/>
                      <w:kern w:val="0"/>
                      <w:szCs w:val="21"/>
                      <w:lang w:bidi="ar"/>
                    </w:rPr>
                    <w:t>医疗废物暂存间</w:t>
                  </w:r>
                </w:p>
              </w:tc>
              <w:tc>
                <w:tcPr>
                  <w:tcW w:w="244" w:type="pct"/>
                  <w:vMerge w:val="restart"/>
                  <w:tcBorders>
                    <w:right w:val="single" w:color="000000" w:sz="4" w:space="0"/>
                  </w:tcBorders>
                  <w:vAlign w:val="center"/>
                </w:tcPr>
                <w:p w14:paraId="4245F339">
                  <w:pPr>
                    <w:adjustRightInd w:val="0"/>
                    <w:snapToGrid w:val="0"/>
                    <w:jc w:val="center"/>
                    <w:rPr>
                      <w:color w:val="auto"/>
                      <w:spacing w:val="-9"/>
                      <w:szCs w:val="21"/>
                    </w:rPr>
                  </w:pPr>
                  <w:r>
                    <w:rPr>
                      <w:rFonts w:hint="eastAsia"/>
                      <w:color w:val="auto"/>
                      <w:spacing w:val="-9"/>
                      <w:szCs w:val="21"/>
                    </w:rPr>
                    <w:t>医疗废物</w:t>
                  </w:r>
                </w:p>
              </w:tc>
              <w:tc>
                <w:tcPr>
                  <w:tcW w:w="676" w:type="pct"/>
                  <w:tcBorders>
                    <w:left w:val="single" w:color="000000" w:sz="4" w:space="0"/>
                  </w:tcBorders>
                  <w:vAlign w:val="center"/>
                </w:tcPr>
                <w:p w14:paraId="1534556A">
                  <w:pPr>
                    <w:adjustRightInd w:val="0"/>
                    <w:snapToGrid w:val="0"/>
                    <w:jc w:val="center"/>
                    <w:rPr>
                      <w:color w:val="auto"/>
                      <w:spacing w:val="-9"/>
                      <w:szCs w:val="21"/>
                    </w:rPr>
                  </w:pPr>
                  <w:r>
                    <w:rPr>
                      <w:color w:val="auto"/>
                      <w:spacing w:val="-9"/>
                      <w:szCs w:val="21"/>
                    </w:rPr>
                    <w:t>感染性废物</w:t>
                  </w:r>
                </w:p>
              </w:tc>
              <w:tc>
                <w:tcPr>
                  <w:tcW w:w="499" w:type="pct"/>
                  <w:vAlign w:val="center"/>
                </w:tcPr>
                <w:p w14:paraId="547F9792">
                  <w:pPr>
                    <w:adjustRightInd w:val="0"/>
                    <w:snapToGrid w:val="0"/>
                    <w:jc w:val="center"/>
                    <w:rPr>
                      <w:color w:val="auto"/>
                      <w:spacing w:val="-9"/>
                      <w:szCs w:val="21"/>
                    </w:rPr>
                  </w:pPr>
                  <w:r>
                    <w:rPr>
                      <w:color w:val="auto"/>
                      <w:spacing w:val="-9"/>
                      <w:szCs w:val="21"/>
                    </w:rPr>
                    <w:t>HW01</w:t>
                  </w:r>
                </w:p>
              </w:tc>
              <w:tc>
                <w:tcPr>
                  <w:tcW w:w="785" w:type="pct"/>
                  <w:vAlign w:val="center"/>
                </w:tcPr>
                <w:p w14:paraId="23D073F2">
                  <w:pPr>
                    <w:adjustRightInd w:val="0"/>
                    <w:snapToGrid w:val="0"/>
                    <w:jc w:val="center"/>
                    <w:rPr>
                      <w:color w:val="auto"/>
                      <w:spacing w:val="-9"/>
                      <w:szCs w:val="21"/>
                    </w:rPr>
                  </w:pPr>
                  <w:r>
                    <w:rPr>
                      <w:color w:val="auto"/>
                      <w:szCs w:val="21"/>
                    </w:rPr>
                    <w:t>8</w:t>
                  </w:r>
                  <w:r>
                    <w:rPr>
                      <w:rFonts w:hint="eastAsia"/>
                      <w:color w:val="auto"/>
                      <w:szCs w:val="21"/>
                    </w:rPr>
                    <w:t>4</w:t>
                  </w:r>
                  <w:r>
                    <w:rPr>
                      <w:color w:val="auto"/>
                      <w:szCs w:val="21"/>
                    </w:rPr>
                    <w:t>1-001-01</w:t>
                  </w:r>
                </w:p>
              </w:tc>
              <w:tc>
                <w:tcPr>
                  <w:tcW w:w="516" w:type="pct"/>
                  <w:vMerge w:val="restart"/>
                  <w:vAlign w:val="center"/>
                </w:tcPr>
                <w:p w14:paraId="1137D09F">
                  <w:pPr>
                    <w:topLinePunct/>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院区西北角</w:t>
                  </w:r>
                </w:p>
              </w:tc>
              <w:tc>
                <w:tcPr>
                  <w:tcW w:w="388" w:type="pct"/>
                  <w:vMerge w:val="restart"/>
                  <w:vAlign w:val="center"/>
                </w:tcPr>
                <w:p w14:paraId="027D3B5B">
                  <w:pPr>
                    <w:topLinePunct/>
                    <w:adjustRightInd w:val="0"/>
                    <w:snapToGrid w:val="0"/>
                    <w:jc w:val="center"/>
                    <w:rPr>
                      <w:color w:val="auto"/>
                    </w:rPr>
                  </w:pPr>
                  <w:r>
                    <w:rPr>
                      <w:rFonts w:hint="eastAsia"/>
                      <w:color w:val="auto"/>
                      <w:kern w:val="0"/>
                      <w:szCs w:val="21"/>
                      <w:lang w:val="en-US" w:eastAsia="zh-CN"/>
                    </w:rPr>
                    <w:t>39.4</w:t>
                  </w:r>
                  <w:r>
                    <w:rPr>
                      <w:rFonts w:hint="eastAsia"/>
                      <w:color w:val="auto"/>
                      <w:kern w:val="0"/>
                      <w:szCs w:val="21"/>
                    </w:rPr>
                    <w:t>m</w:t>
                  </w:r>
                  <w:r>
                    <w:rPr>
                      <w:rFonts w:hint="eastAsia"/>
                      <w:color w:val="auto"/>
                      <w:kern w:val="0"/>
                      <w:szCs w:val="21"/>
                      <w:vertAlign w:val="superscript"/>
                    </w:rPr>
                    <w:t>2</w:t>
                  </w:r>
                </w:p>
              </w:tc>
              <w:tc>
                <w:tcPr>
                  <w:tcW w:w="543" w:type="pct"/>
                  <w:vAlign w:val="center"/>
                </w:tcPr>
                <w:p w14:paraId="64360E7F">
                  <w:pPr>
                    <w:topLinePunct/>
                    <w:adjustRightInd w:val="0"/>
                    <w:snapToGrid w:val="0"/>
                    <w:jc w:val="center"/>
                    <w:rPr>
                      <w:color w:val="auto"/>
                      <w:kern w:val="0"/>
                      <w:szCs w:val="21"/>
                    </w:rPr>
                  </w:pPr>
                  <w:r>
                    <w:rPr>
                      <w:rFonts w:hint="eastAsia" w:cs="宋体"/>
                      <w:color w:val="auto"/>
                      <w:kern w:val="0"/>
                      <w:szCs w:val="21"/>
                      <w:lang w:bidi="ar"/>
                    </w:rPr>
                    <w:t>桶装</w:t>
                  </w:r>
                </w:p>
              </w:tc>
              <w:tc>
                <w:tcPr>
                  <w:tcW w:w="323" w:type="pct"/>
                  <w:vMerge w:val="restart"/>
                  <w:vAlign w:val="center"/>
                </w:tcPr>
                <w:p w14:paraId="44132E0E">
                  <w:pPr>
                    <w:topLinePunct/>
                    <w:adjustRightInd w:val="0"/>
                    <w:snapToGrid w:val="0"/>
                    <w:jc w:val="center"/>
                    <w:rPr>
                      <w:color w:val="auto"/>
                      <w:kern w:val="0"/>
                      <w:szCs w:val="21"/>
                    </w:rPr>
                  </w:pPr>
                  <w:r>
                    <w:rPr>
                      <w:rFonts w:hint="eastAsia"/>
                      <w:color w:val="auto"/>
                      <w:kern w:val="0"/>
                      <w:szCs w:val="21"/>
                      <w:lang w:bidi="ar"/>
                    </w:rPr>
                    <w:t>8</w:t>
                  </w:r>
                  <w:r>
                    <w:rPr>
                      <w:color w:val="auto"/>
                      <w:kern w:val="0"/>
                      <w:szCs w:val="21"/>
                      <w:lang w:bidi="ar"/>
                    </w:rPr>
                    <w:t>t</w:t>
                  </w:r>
                </w:p>
              </w:tc>
              <w:tc>
                <w:tcPr>
                  <w:tcW w:w="400" w:type="pct"/>
                  <w:vMerge w:val="restart"/>
                  <w:vAlign w:val="center"/>
                </w:tcPr>
                <w:p w14:paraId="20823A7F">
                  <w:pPr>
                    <w:topLinePunct/>
                    <w:adjustRightInd w:val="0"/>
                    <w:snapToGrid w:val="0"/>
                    <w:rPr>
                      <w:color w:val="auto"/>
                      <w:kern w:val="0"/>
                      <w:szCs w:val="21"/>
                    </w:rPr>
                  </w:pPr>
                  <w:r>
                    <w:rPr>
                      <w:rFonts w:hint="eastAsia"/>
                      <w:color w:val="auto"/>
                      <w:kern w:val="0"/>
                      <w:szCs w:val="21"/>
                    </w:rPr>
                    <w:t>每日（</w:t>
                  </w:r>
                  <w:r>
                    <w:rPr>
                      <w:color w:val="auto"/>
                      <w:kern w:val="0"/>
                      <w:szCs w:val="21"/>
                    </w:rPr>
                    <w:t>时间最长不超过48小时</w:t>
                  </w:r>
                  <w:r>
                    <w:rPr>
                      <w:rFonts w:hint="eastAsia"/>
                      <w:color w:val="auto"/>
                      <w:kern w:val="0"/>
                      <w:szCs w:val="21"/>
                    </w:rPr>
                    <w:t>）</w:t>
                  </w:r>
                </w:p>
              </w:tc>
            </w:tr>
            <w:tr w14:paraId="46A849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continue"/>
                  <w:vAlign w:val="center"/>
                </w:tcPr>
                <w:p w14:paraId="006321E7">
                  <w:pPr>
                    <w:topLinePunct/>
                    <w:adjustRightInd w:val="0"/>
                    <w:snapToGrid w:val="0"/>
                    <w:jc w:val="center"/>
                    <w:rPr>
                      <w:color w:val="auto"/>
                      <w:kern w:val="0"/>
                      <w:szCs w:val="21"/>
                    </w:rPr>
                  </w:pPr>
                </w:p>
              </w:tc>
              <w:tc>
                <w:tcPr>
                  <w:tcW w:w="368" w:type="pct"/>
                  <w:vMerge w:val="continue"/>
                  <w:vAlign w:val="center"/>
                </w:tcPr>
                <w:p w14:paraId="486DE2C8">
                  <w:pPr>
                    <w:adjustRightInd w:val="0"/>
                    <w:snapToGrid w:val="0"/>
                    <w:jc w:val="center"/>
                    <w:rPr>
                      <w:color w:val="auto"/>
                      <w:szCs w:val="21"/>
                    </w:rPr>
                  </w:pPr>
                </w:p>
              </w:tc>
              <w:tc>
                <w:tcPr>
                  <w:tcW w:w="244" w:type="pct"/>
                  <w:vMerge w:val="continue"/>
                  <w:tcBorders>
                    <w:right w:val="single" w:color="000000" w:sz="4" w:space="0"/>
                  </w:tcBorders>
                  <w:vAlign w:val="center"/>
                </w:tcPr>
                <w:p w14:paraId="62F4D334">
                  <w:pPr>
                    <w:adjustRightInd w:val="0"/>
                    <w:snapToGrid w:val="0"/>
                    <w:jc w:val="center"/>
                    <w:rPr>
                      <w:color w:val="auto"/>
                      <w:spacing w:val="-9"/>
                      <w:szCs w:val="21"/>
                    </w:rPr>
                  </w:pPr>
                </w:p>
              </w:tc>
              <w:tc>
                <w:tcPr>
                  <w:tcW w:w="676" w:type="pct"/>
                  <w:tcBorders>
                    <w:left w:val="single" w:color="000000" w:sz="4" w:space="0"/>
                  </w:tcBorders>
                  <w:vAlign w:val="center"/>
                </w:tcPr>
                <w:p w14:paraId="606F44E7">
                  <w:pPr>
                    <w:adjustRightInd w:val="0"/>
                    <w:snapToGrid w:val="0"/>
                    <w:jc w:val="center"/>
                    <w:rPr>
                      <w:color w:val="auto"/>
                      <w:spacing w:val="-9"/>
                      <w:szCs w:val="21"/>
                    </w:rPr>
                  </w:pPr>
                  <w:r>
                    <w:rPr>
                      <w:rFonts w:hint="eastAsia"/>
                      <w:color w:val="auto"/>
                      <w:spacing w:val="-9"/>
                      <w:szCs w:val="21"/>
                    </w:rPr>
                    <w:t>化学</w:t>
                  </w:r>
                  <w:r>
                    <w:rPr>
                      <w:color w:val="auto"/>
                      <w:spacing w:val="-9"/>
                      <w:szCs w:val="21"/>
                    </w:rPr>
                    <w:t>性废物</w:t>
                  </w:r>
                </w:p>
              </w:tc>
              <w:tc>
                <w:tcPr>
                  <w:tcW w:w="499" w:type="pct"/>
                  <w:vAlign w:val="center"/>
                </w:tcPr>
                <w:p w14:paraId="0418DD06">
                  <w:pPr>
                    <w:adjustRightInd w:val="0"/>
                    <w:snapToGrid w:val="0"/>
                    <w:jc w:val="center"/>
                    <w:rPr>
                      <w:color w:val="auto"/>
                      <w:spacing w:val="-9"/>
                      <w:szCs w:val="21"/>
                    </w:rPr>
                  </w:pPr>
                  <w:r>
                    <w:rPr>
                      <w:color w:val="auto"/>
                      <w:spacing w:val="-9"/>
                      <w:szCs w:val="21"/>
                    </w:rPr>
                    <w:t>HW01</w:t>
                  </w:r>
                </w:p>
              </w:tc>
              <w:tc>
                <w:tcPr>
                  <w:tcW w:w="785" w:type="pct"/>
                  <w:vAlign w:val="center"/>
                </w:tcPr>
                <w:p w14:paraId="2B78B33C">
                  <w:pPr>
                    <w:adjustRightInd w:val="0"/>
                    <w:snapToGrid w:val="0"/>
                    <w:jc w:val="center"/>
                    <w:rPr>
                      <w:color w:val="auto"/>
                      <w:szCs w:val="21"/>
                    </w:rPr>
                  </w:pPr>
                  <w:r>
                    <w:rPr>
                      <w:color w:val="auto"/>
                      <w:szCs w:val="21"/>
                    </w:rPr>
                    <w:t>8</w:t>
                  </w:r>
                  <w:r>
                    <w:rPr>
                      <w:rFonts w:hint="eastAsia"/>
                      <w:color w:val="auto"/>
                      <w:szCs w:val="21"/>
                    </w:rPr>
                    <w:t>4</w:t>
                  </w:r>
                  <w:r>
                    <w:rPr>
                      <w:color w:val="auto"/>
                      <w:szCs w:val="21"/>
                    </w:rPr>
                    <w:t>1-00</w:t>
                  </w:r>
                  <w:r>
                    <w:rPr>
                      <w:rFonts w:hint="eastAsia"/>
                      <w:color w:val="auto"/>
                      <w:szCs w:val="21"/>
                    </w:rPr>
                    <w:t>4</w:t>
                  </w:r>
                  <w:r>
                    <w:rPr>
                      <w:color w:val="auto"/>
                      <w:szCs w:val="21"/>
                    </w:rPr>
                    <w:t>-01</w:t>
                  </w:r>
                </w:p>
              </w:tc>
              <w:tc>
                <w:tcPr>
                  <w:tcW w:w="516" w:type="pct"/>
                  <w:vMerge w:val="continue"/>
                  <w:vAlign w:val="center"/>
                </w:tcPr>
                <w:p w14:paraId="0A7E1683">
                  <w:pPr>
                    <w:adjustRightInd w:val="0"/>
                    <w:snapToGrid w:val="0"/>
                    <w:jc w:val="center"/>
                    <w:rPr>
                      <w:color w:val="auto"/>
                      <w:szCs w:val="21"/>
                    </w:rPr>
                  </w:pPr>
                </w:p>
              </w:tc>
              <w:tc>
                <w:tcPr>
                  <w:tcW w:w="388" w:type="pct"/>
                  <w:vMerge w:val="continue"/>
                  <w:vAlign w:val="center"/>
                </w:tcPr>
                <w:p w14:paraId="087AD858">
                  <w:pPr>
                    <w:adjustRightInd w:val="0"/>
                    <w:snapToGrid w:val="0"/>
                    <w:jc w:val="center"/>
                    <w:rPr>
                      <w:color w:val="auto"/>
                      <w:szCs w:val="21"/>
                    </w:rPr>
                  </w:pPr>
                </w:p>
              </w:tc>
              <w:tc>
                <w:tcPr>
                  <w:tcW w:w="543" w:type="pct"/>
                  <w:vAlign w:val="center"/>
                </w:tcPr>
                <w:p w14:paraId="594CBFC6">
                  <w:pPr>
                    <w:topLinePunct/>
                    <w:adjustRightInd w:val="0"/>
                    <w:snapToGrid w:val="0"/>
                    <w:jc w:val="center"/>
                    <w:rPr>
                      <w:color w:val="auto"/>
                      <w:kern w:val="0"/>
                      <w:szCs w:val="21"/>
                    </w:rPr>
                  </w:pPr>
                  <w:r>
                    <w:rPr>
                      <w:rFonts w:hint="eastAsia" w:cs="宋体"/>
                      <w:color w:val="auto"/>
                      <w:kern w:val="0"/>
                      <w:szCs w:val="21"/>
                      <w:lang w:bidi="ar"/>
                    </w:rPr>
                    <w:t>桶装</w:t>
                  </w:r>
                </w:p>
              </w:tc>
              <w:tc>
                <w:tcPr>
                  <w:tcW w:w="323" w:type="pct"/>
                  <w:vMerge w:val="continue"/>
                  <w:vAlign w:val="center"/>
                </w:tcPr>
                <w:p w14:paraId="66A42EB1">
                  <w:pPr>
                    <w:adjustRightInd w:val="0"/>
                    <w:snapToGrid w:val="0"/>
                    <w:jc w:val="center"/>
                    <w:rPr>
                      <w:color w:val="auto"/>
                      <w:szCs w:val="21"/>
                    </w:rPr>
                  </w:pPr>
                </w:p>
              </w:tc>
              <w:tc>
                <w:tcPr>
                  <w:tcW w:w="400" w:type="pct"/>
                  <w:vMerge w:val="continue"/>
                  <w:vAlign w:val="center"/>
                </w:tcPr>
                <w:p w14:paraId="6964772B">
                  <w:pPr>
                    <w:topLinePunct/>
                    <w:adjustRightInd w:val="0"/>
                    <w:snapToGrid w:val="0"/>
                    <w:jc w:val="center"/>
                    <w:rPr>
                      <w:color w:val="auto"/>
                      <w:kern w:val="0"/>
                      <w:szCs w:val="21"/>
                    </w:rPr>
                  </w:pPr>
                </w:p>
              </w:tc>
            </w:tr>
            <w:tr w14:paraId="013CA8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Merge w:val="continue"/>
                  <w:vAlign w:val="center"/>
                </w:tcPr>
                <w:p w14:paraId="7D04B33F">
                  <w:pPr>
                    <w:topLinePunct/>
                    <w:adjustRightInd w:val="0"/>
                    <w:snapToGrid w:val="0"/>
                    <w:jc w:val="center"/>
                    <w:rPr>
                      <w:color w:val="auto"/>
                      <w:kern w:val="0"/>
                      <w:szCs w:val="21"/>
                    </w:rPr>
                  </w:pPr>
                </w:p>
              </w:tc>
              <w:tc>
                <w:tcPr>
                  <w:tcW w:w="368" w:type="pct"/>
                  <w:vMerge w:val="continue"/>
                  <w:vAlign w:val="center"/>
                </w:tcPr>
                <w:p w14:paraId="4229BAEF">
                  <w:pPr>
                    <w:adjustRightInd w:val="0"/>
                    <w:snapToGrid w:val="0"/>
                    <w:jc w:val="center"/>
                    <w:rPr>
                      <w:color w:val="auto"/>
                      <w:szCs w:val="21"/>
                    </w:rPr>
                  </w:pPr>
                </w:p>
              </w:tc>
              <w:tc>
                <w:tcPr>
                  <w:tcW w:w="244" w:type="pct"/>
                  <w:vMerge w:val="continue"/>
                  <w:tcBorders>
                    <w:right w:val="single" w:color="000000" w:sz="4" w:space="0"/>
                  </w:tcBorders>
                  <w:vAlign w:val="center"/>
                </w:tcPr>
                <w:p w14:paraId="0F98F3FD">
                  <w:pPr>
                    <w:adjustRightInd w:val="0"/>
                    <w:snapToGrid w:val="0"/>
                    <w:jc w:val="center"/>
                    <w:rPr>
                      <w:color w:val="auto"/>
                      <w:spacing w:val="-9"/>
                      <w:szCs w:val="21"/>
                    </w:rPr>
                  </w:pPr>
                </w:p>
              </w:tc>
              <w:tc>
                <w:tcPr>
                  <w:tcW w:w="676" w:type="pct"/>
                  <w:tcBorders>
                    <w:left w:val="single" w:color="000000" w:sz="4" w:space="0"/>
                  </w:tcBorders>
                  <w:vAlign w:val="center"/>
                </w:tcPr>
                <w:p w14:paraId="190A90F5">
                  <w:pPr>
                    <w:adjustRightInd w:val="0"/>
                    <w:snapToGrid w:val="0"/>
                    <w:jc w:val="center"/>
                    <w:rPr>
                      <w:color w:val="auto"/>
                      <w:spacing w:val="-9"/>
                      <w:szCs w:val="21"/>
                    </w:rPr>
                  </w:pPr>
                  <w:r>
                    <w:rPr>
                      <w:color w:val="auto"/>
                      <w:spacing w:val="-9"/>
                      <w:szCs w:val="21"/>
                    </w:rPr>
                    <w:t>药物性废物</w:t>
                  </w:r>
                </w:p>
              </w:tc>
              <w:tc>
                <w:tcPr>
                  <w:tcW w:w="499" w:type="pct"/>
                  <w:vAlign w:val="center"/>
                </w:tcPr>
                <w:p w14:paraId="19966E94">
                  <w:pPr>
                    <w:adjustRightInd w:val="0"/>
                    <w:snapToGrid w:val="0"/>
                    <w:jc w:val="center"/>
                    <w:rPr>
                      <w:color w:val="auto"/>
                      <w:spacing w:val="-9"/>
                      <w:szCs w:val="21"/>
                    </w:rPr>
                  </w:pPr>
                  <w:r>
                    <w:rPr>
                      <w:color w:val="auto"/>
                      <w:spacing w:val="-9"/>
                      <w:szCs w:val="21"/>
                    </w:rPr>
                    <w:t>HW01</w:t>
                  </w:r>
                </w:p>
              </w:tc>
              <w:tc>
                <w:tcPr>
                  <w:tcW w:w="785" w:type="pct"/>
                  <w:vAlign w:val="center"/>
                </w:tcPr>
                <w:p w14:paraId="0D4C7751">
                  <w:pPr>
                    <w:adjustRightInd w:val="0"/>
                    <w:snapToGrid w:val="0"/>
                    <w:jc w:val="center"/>
                    <w:rPr>
                      <w:color w:val="auto"/>
                      <w:szCs w:val="21"/>
                    </w:rPr>
                  </w:pPr>
                  <w:r>
                    <w:rPr>
                      <w:color w:val="auto"/>
                      <w:szCs w:val="21"/>
                    </w:rPr>
                    <w:t>8</w:t>
                  </w:r>
                  <w:r>
                    <w:rPr>
                      <w:rFonts w:hint="eastAsia"/>
                      <w:color w:val="auto"/>
                      <w:szCs w:val="21"/>
                    </w:rPr>
                    <w:t>4</w:t>
                  </w:r>
                  <w:r>
                    <w:rPr>
                      <w:color w:val="auto"/>
                      <w:szCs w:val="21"/>
                    </w:rPr>
                    <w:t>1-005-01</w:t>
                  </w:r>
                </w:p>
              </w:tc>
              <w:tc>
                <w:tcPr>
                  <w:tcW w:w="516" w:type="pct"/>
                  <w:vMerge w:val="continue"/>
                  <w:vAlign w:val="center"/>
                </w:tcPr>
                <w:p w14:paraId="78125966">
                  <w:pPr>
                    <w:adjustRightInd w:val="0"/>
                    <w:snapToGrid w:val="0"/>
                    <w:jc w:val="center"/>
                    <w:rPr>
                      <w:color w:val="auto"/>
                      <w:szCs w:val="21"/>
                    </w:rPr>
                  </w:pPr>
                </w:p>
              </w:tc>
              <w:tc>
                <w:tcPr>
                  <w:tcW w:w="388" w:type="pct"/>
                  <w:vMerge w:val="continue"/>
                  <w:vAlign w:val="center"/>
                </w:tcPr>
                <w:p w14:paraId="7BD6571C">
                  <w:pPr>
                    <w:adjustRightInd w:val="0"/>
                    <w:snapToGrid w:val="0"/>
                    <w:jc w:val="center"/>
                    <w:rPr>
                      <w:color w:val="auto"/>
                      <w:szCs w:val="21"/>
                    </w:rPr>
                  </w:pPr>
                </w:p>
              </w:tc>
              <w:tc>
                <w:tcPr>
                  <w:tcW w:w="543" w:type="pct"/>
                  <w:vAlign w:val="center"/>
                </w:tcPr>
                <w:p w14:paraId="173CA1F7">
                  <w:pPr>
                    <w:topLinePunct/>
                    <w:adjustRightInd w:val="0"/>
                    <w:snapToGrid w:val="0"/>
                    <w:jc w:val="center"/>
                    <w:rPr>
                      <w:color w:val="auto"/>
                      <w:kern w:val="0"/>
                      <w:szCs w:val="21"/>
                    </w:rPr>
                  </w:pPr>
                  <w:r>
                    <w:rPr>
                      <w:rFonts w:hint="eastAsia" w:cs="宋体"/>
                      <w:color w:val="auto"/>
                      <w:kern w:val="0"/>
                      <w:szCs w:val="21"/>
                      <w:lang w:bidi="ar"/>
                    </w:rPr>
                    <w:t>桶装</w:t>
                  </w:r>
                </w:p>
              </w:tc>
              <w:tc>
                <w:tcPr>
                  <w:tcW w:w="323" w:type="pct"/>
                  <w:vMerge w:val="continue"/>
                  <w:vAlign w:val="center"/>
                </w:tcPr>
                <w:p w14:paraId="2CB279EE">
                  <w:pPr>
                    <w:adjustRightInd w:val="0"/>
                    <w:snapToGrid w:val="0"/>
                    <w:jc w:val="center"/>
                    <w:rPr>
                      <w:color w:val="auto"/>
                      <w:szCs w:val="21"/>
                    </w:rPr>
                  </w:pPr>
                </w:p>
              </w:tc>
              <w:tc>
                <w:tcPr>
                  <w:tcW w:w="400" w:type="pct"/>
                  <w:vMerge w:val="continue"/>
                  <w:vAlign w:val="center"/>
                </w:tcPr>
                <w:p w14:paraId="6D5414E1">
                  <w:pPr>
                    <w:topLinePunct/>
                    <w:adjustRightInd w:val="0"/>
                    <w:snapToGrid w:val="0"/>
                    <w:jc w:val="center"/>
                    <w:rPr>
                      <w:color w:val="auto"/>
                      <w:kern w:val="0"/>
                      <w:szCs w:val="21"/>
                    </w:rPr>
                  </w:pPr>
                </w:p>
              </w:tc>
            </w:tr>
            <w:tr w14:paraId="01DFC0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252" w:type="pct"/>
                  <w:vAlign w:val="center"/>
                </w:tcPr>
                <w:p w14:paraId="000A2A0C">
                  <w:pPr>
                    <w:topLinePunct/>
                    <w:adjustRightInd w:val="0"/>
                    <w:snapToGrid w:val="0"/>
                    <w:jc w:val="center"/>
                    <w:rPr>
                      <w:color w:val="auto"/>
                      <w:kern w:val="0"/>
                      <w:szCs w:val="21"/>
                      <w:lang w:bidi="ar"/>
                    </w:rPr>
                  </w:pPr>
                  <w:r>
                    <w:rPr>
                      <w:rFonts w:hint="eastAsia"/>
                      <w:color w:val="auto"/>
                      <w:kern w:val="0"/>
                      <w:szCs w:val="21"/>
                      <w:lang w:bidi="ar"/>
                    </w:rPr>
                    <w:t>2</w:t>
                  </w:r>
                </w:p>
              </w:tc>
              <w:tc>
                <w:tcPr>
                  <w:tcW w:w="368" w:type="pct"/>
                  <w:vMerge w:val="continue"/>
                  <w:vAlign w:val="center"/>
                </w:tcPr>
                <w:p w14:paraId="7E7F629C">
                  <w:pPr>
                    <w:adjustRightInd w:val="0"/>
                    <w:snapToGrid w:val="0"/>
                    <w:jc w:val="center"/>
                    <w:rPr>
                      <w:color w:val="auto"/>
                      <w:szCs w:val="21"/>
                    </w:rPr>
                  </w:pPr>
                </w:p>
              </w:tc>
              <w:tc>
                <w:tcPr>
                  <w:tcW w:w="920" w:type="pct"/>
                  <w:gridSpan w:val="2"/>
                  <w:vAlign w:val="center"/>
                </w:tcPr>
                <w:p w14:paraId="019941A5">
                  <w:pPr>
                    <w:adjustRightInd w:val="0"/>
                    <w:snapToGrid w:val="0"/>
                    <w:jc w:val="center"/>
                    <w:rPr>
                      <w:color w:val="auto"/>
                      <w:spacing w:val="-9"/>
                      <w:szCs w:val="21"/>
                    </w:rPr>
                  </w:pPr>
                  <w:r>
                    <w:rPr>
                      <w:rFonts w:hint="eastAsia"/>
                      <w:color w:val="auto"/>
                      <w:spacing w:val="-9"/>
                      <w:szCs w:val="21"/>
                    </w:rPr>
                    <w:t>紫外线灯管</w:t>
                  </w:r>
                </w:p>
              </w:tc>
              <w:tc>
                <w:tcPr>
                  <w:tcW w:w="499" w:type="pct"/>
                  <w:shd w:val="clear" w:color="auto" w:fill="auto"/>
                  <w:vAlign w:val="center"/>
                </w:tcPr>
                <w:p w14:paraId="63F1C1E4">
                  <w:pPr>
                    <w:pStyle w:val="25"/>
                    <w:overflowPunct w:val="0"/>
                    <w:autoSpaceDE/>
                    <w:autoSpaceDN/>
                    <w:snapToGrid w:val="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HW29</w:t>
                  </w:r>
                </w:p>
              </w:tc>
              <w:tc>
                <w:tcPr>
                  <w:tcW w:w="785" w:type="pct"/>
                  <w:shd w:val="clear" w:color="auto" w:fill="auto"/>
                  <w:vAlign w:val="center"/>
                </w:tcPr>
                <w:p w14:paraId="6028838D">
                  <w:pPr>
                    <w:pStyle w:val="25"/>
                    <w:overflowPunct w:val="0"/>
                    <w:autoSpaceDE/>
                    <w:autoSpaceDN/>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900-0</w:t>
                  </w:r>
                  <w:r>
                    <w:rPr>
                      <w:rFonts w:hint="eastAsia" w:ascii="Times New Roman" w:hAnsi="Times New Roman" w:eastAsia="宋体" w:cs="Times New Roman"/>
                      <w:color w:val="auto"/>
                      <w:kern w:val="2"/>
                      <w:sz w:val="21"/>
                      <w:szCs w:val="21"/>
                      <w:lang w:val="en-US" w:eastAsia="zh-CN" w:bidi="ar-SA"/>
                    </w:rPr>
                    <w:t>23</w:t>
                  </w:r>
                  <w:r>
                    <w:rPr>
                      <w:rFonts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2</w:t>
                  </w:r>
                  <w:r>
                    <w:rPr>
                      <w:rFonts w:ascii="Times New Roman" w:hAnsi="Times New Roman" w:eastAsia="宋体" w:cs="Times New Roman"/>
                      <w:color w:val="auto"/>
                      <w:kern w:val="2"/>
                      <w:sz w:val="21"/>
                      <w:szCs w:val="21"/>
                      <w:lang w:val="en-US" w:eastAsia="zh-CN" w:bidi="ar-SA"/>
                    </w:rPr>
                    <w:t>9</w:t>
                  </w:r>
                </w:p>
              </w:tc>
              <w:tc>
                <w:tcPr>
                  <w:tcW w:w="516" w:type="pct"/>
                  <w:vMerge w:val="continue"/>
                  <w:vAlign w:val="center"/>
                </w:tcPr>
                <w:p w14:paraId="2AEBE8F0">
                  <w:pPr>
                    <w:adjustRightInd w:val="0"/>
                    <w:snapToGrid w:val="0"/>
                    <w:jc w:val="center"/>
                    <w:rPr>
                      <w:color w:val="auto"/>
                      <w:szCs w:val="21"/>
                    </w:rPr>
                  </w:pPr>
                </w:p>
              </w:tc>
              <w:tc>
                <w:tcPr>
                  <w:tcW w:w="388" w:type="pct"/>
                  <w:vMerge w:val="continue"/>
                  <w:vAlign w:val="center"/>
                </w:tcPr>
                <w:p w14:paraId="7E299EF3">
                  <w:pPr>
                    <w:adjustRightInd w:val="0"/>
                    <w:snapToGrid w:val="0"/>
                    <w:jc w:val="center"/>
                    <w:rPr>
                      <w:color w:val="auto"/>
                      <w:szCs w:val="21"/>
                    </w:rPr>
                  </w:pPr>
                </w:p>
              </w:tc>
              <w:tc>
                <w:tcPr>
                  <w:tcW w:w="543" w:type="pct"/>
                  <w:vAlign w:val="center"/>
                </w:tcPr>
                <w:p w14:paraId="607F723A">
                  <w:pPr>
                    <w:topLinePunct/>
                    <w:adjustRightInd w:val="0"/>
                    <w:snapToGrid w:val="0"/>
                    <w:jc w:val="center"/>
                    <w:rPr>
                      <w:rFonts w:cs="宋体"/>
                      <w:color w:val="auto"/>
                      <w:kern w:val="0"/>
                      <w:szCs w:val="21"/>
                      <w:lang w:bidi="ar"/>
                    </w:rPr>
                  </w:pPr>
                  <w:r>
                    <w:rPr>
                      <w:rFonts w:hint="eastAsia" w:cs="宋体"/>
                      <w:color w:val="auto"/>
                      <w:kern w:val="0"/>
                      <w:szCs w:val="21"/>
                      <w:lang w:bidi="ar"/>
                    </w:rPr>
                    <w:t>桶装</w:t>
                  </w:r>
                </w:p>
              </w:tc>
              <w:tc>
                <w:tcPr>
                  <w:tcW w:w="323" w:type="pct"/>
                  <w:vMerge w:val="continue"/>
                  <w:vAlign w:val="center"/>
                </w:tcPr>
                <w:p w14:paraId="5282B3F0">
                  <w:pPr>
                    <w:adjustRightInd w:val="0"/>
                    <w:snapToGrid w:val="0"/>
                    <w:jc w:val="center"/>
                    <w:rPr>
                      <w:color w:val="auto"/>
                      <w:szCs w:val="21"/>
                    </w:rPr>
                  </w:pPr>
                </w:p>
              </w:tc>
              <w:tc>
                <w:tcPr>
                  <w:tcW w:w="400" w:type="pct"/>
                  <w:vMerge w:val="continue"/>
                  <w:vAlign w:val="center"/>
                </w:tcPr>
                <w:p w14:paraId="1A4620ED">
                  <w:pPr>
                    <w:topLinePunct/>
                    <w:adjustRightInd w:val="0"/>
                    <w:snapToGrid w:val="0"/>
                    <w:jc w:val="center"/>
                    <w:rPr>
                      <w:color w:val="auto"/>
                      <w:kern w:val="0"/>
                      <w:szCs w:val="21"/>
                    </w:rPr>
                  </w:pPr>
                </w:p>
              </w:tc>
            </w:tr>
            <w:tr w14:paraId="502A50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252" w:type="pct"/>
                  <w:vAlign w:val="center"/>
                </w:tcPr>
                <w:p w14:paraId="74473632">
                  <w:pPr>
                    <w:topLinePunct/>
                    <w:adjustRightInd w:val="0"/>
                    <w:snapToGrid w:val="0"/>
                    <w:jc w:val="center"/>
                    <w:rPr>
                      <w:rFonts w:hint="eastAsia" w:eastAsia="宋体"/>
                      <w:color w:val="auto"/>
                      <w:kern w:val="0"/>
                      <w:szCs w:val="21"/>
                      <w:lang w:val="en-US" w:eastAsia="zh-CN" w:bidi="ar"/>
                    </w:rPr>
                  </w:pPr>
                  <w:r>
                    <w:rPr>
                      <w:rFonts w:hint="eastAsia"/>
                      <w:color w:val="auto"/>
                      <w:kern w:val="0"/>
                      <w:szCs w:val="21"/>
                      <w:lang w:val="en-US" w:eastAsia="zh-CN" w:bidi="ar"/>
                    </w:rPr>
                    <w:t>3</w:t>
                  </w:r>
                </w:p>
              </w:tc>
              <w:tc>
                <w:tcPr>
                  <w:tcW w:w="368" w:type="pct"/>
                  <w:vMerge w:val="continue"/>
                  <w:vAlign w:val="center"/>
                </w:tcPr>
                <w:p w14:paraId="1E88819F">
                  <w:pPr>
                    <w:adjustRightInd w:val="0"/>
                    <w:snapToGrid w:val="0"/>
                    <w:jc w:val="center"/>
                    <w:rPr>
                      <w:color w:val="auto"/>
                      <w:szCs w:val="21"/>
                    </w:rPr>
                  </w:pPr>
                </w:p>
              </w:tc>
              <w:tc>
                <w:tcPr>
                  <w:tcW w:w="920" w:type="pct"/>
                  <w:gridSpan w:val="2"/>
                  <w:shd w:val="clear" w:color="auto" w:fill="auto"/>
                  <w:vAlign w:val="center"/>
                </w:tcPr>
                <w:p w14:paraId="4B93D616">
                  <w:pPr>
                    <w:adjustRightInd w:val="0"/>
                    <w:snapToGrid w:val="0"/>
                    <w:jc w:val="center"/>
                    <w:rPr>
                      <w:rFonts w:hint="eastAsia" w:ascii="Times New Roman" w:hAnsi="Times New Roman" w:eastAsia="宋体" w:cs="Times New Roman"/>
                      <w:color w:val="auto"/>
                      <w:spacing w:val="-9"/>
                      <w:kern w:val="2"/>
                      <w:sz w:val="21"/>
                      <w:szCs w:val="21"/>
                      <w:lang w:val="en-US" w:eastAsia="zh-CN" w:bidi="ar-SA"/>
                    </w:rPr>
                  </w:pPr>
                  <w:r>
                    <w:rPr>
                      <w:rFonts w:hint="eastAsia"/>
                      <w:color w:val="auto"/>
                      <w:spacing w:val="-9"/>
                      <w:szCs w:val="21"/>
                      <w:lang w:val="en-US" w:eastAsia="zh-CN"/>
                    </w:rPr>
                    <w:t>废MBR膜</w:t>
                  </w:r>
                </w:p>
              </w:tc>
              <w:tc>
                <w:tcPr>
                  <w:tcW w:w="499" w:type="pct"/>
                  <w:shd w:val="clear" w:color="auto" w:fill="auto"/>
                  <w:vAlign w:val="center"/>
                </w:tcPr>
                <w:p w14:paraId="5D49F71B">
                  <w:pPr>
                    <w:pStyle w:val="25"/>
                    <w:overflowPunct w:val="0"/>
                    <w:autoSpaceDE/>
                    <w:autoSpaceDN/>
                    <w:snapToGrid w:val="0"/>
                    <w:jc w:val="center"/>
                    <w:rPr>
                      <w:rFonts w:hint="eastAsia" w:ascii="Times New Roman" w:hAnsi="Times New Roman" w:eastAsia="宋体" w:cs="Times New Roman"/>
                      <w:color w:val="auto"/>
                      <w:spacing w:val="-9"/>
                      <w:kern w:val="2"/>
                      <w:sz w:val="21"/>
                      <w:szCs w:val="21"/>
                      <w:lang w:val="en-US" w:eastAsia="zh-CN" w:bidi="ar-SA"/>
                    </w:rPr>
                  </w:pPr>
                  <w:r>
                    <w:rPr>
                      <w:rFonts w:ascii="Times New Roman" w:hAnsi="Times New Roman" w:eastAsia="宋体" w:cs="Times New Roman"/>
                      <w:color w:val="auto"/>
                      <w:spacing w:val="-9"/>
                      <w:kern w:val="2"/>
                      <w:sz w:val="21"/>
                      <w:szCs w:val="21"/>
                      <w:lang w:val="en-US" w:eastAsia="zh-CN" w:bidi="ar-SA"/>
                    </w:rPr>
                    <w:t>HW</w:t>
                  </w:r>
                  <w:r>
                    <w:rPr>
                      <w:rFonts w:hint="eastAsia" w:ascii="Times New Roman" w:hAnsi="Times New Roman" w:eastAsia="宋体" w:cs="Times New Roman"/>
                      <w:color w:val="auto"/>
                      <w:spacing w:val="-9"/>
                      <w:kern w:val="2"/>
                      <w:sz w:val="21"/>
                      <w:szCs w:val="21"/>
                      <w:lang w:val="en-US" w:eastAsia="zh-CN" w:bidi="ar-SA"/>
                    </w:rPr>
                    <w:t>49</w:t>
                  </w:r>
                </w:p>
              </w:tc>
              <w:tc>
                <w:tcPr>
                  <w:tcW w:w="785" w:type="pct"/>
                  <w:shd w:val="clear" w:color="auto" w:fill="auto"/>
                  <w:vAlign w:val="center"/>
                </w:tcPr>
                <w:p w14:paraId="48C9588F">
                  <w:pPr>
                    <w:pStyle w:val="25"/>
                    <w:overflowPunct w:val="0"/>
                    <w:autoSpaceDE/>
                    <w:autoSpaceDN/>
                    <w:snapToGrid w:val="0"/>
                    <w:jc w:val="center"/>
                    <w:rPr>
                      <w:rFonts w:ascii="Times New Roman" w:hAnsi="Times New Roman" w:eastAsia="宋体" w:cs="Times New Roman"/>
                      <w:color w:val="auto"/>
                      <w:spacing w:val="-9"/>
                      <w:kern w:val="2"/>
                      <w:sz w:val="21"/>
                      <w:szCs w:val="21"/>
                      <w:lang w:val="en-US" w:eastAsia="zh-CN" w:bidi="ar-SA"/>
                    </w:rPr>
                  </w:pPr>
                  <w:r>
                    <w:rPr>
                      <w:rFonts w:ascii="Times New Roman" w:hAnsi="Times New Roman" w:eastAsia="宋体" w:cs="Times New Roman"/>
                      <w:color w:val="auto"/>
                      <w:spacing w:val="-9"/>
                      <w:kern w:val="2"/>
                      <w:sz w:val="21"/>
                      <w:szCs w:val="21"/>
                      <w:lang w:val="en-US" w:eastAsia="zh-CN" w:bidi="ar-SA"/>
                    </w:rPr>
                    <w:t>772-006-49</w:t>
                  </w:r>
                </w:p>
              </w:tc>
              <w:tc>
                <w:tcPr>
                  <w:tcW w:w="516" w:type="pct"/>
                  <w:vAlign w:val="center"/>
                </w:tcPr>
                <w:p w14:paraId="7ADD8B12">
                  <w:pPr>
                    <w:adjustRightInd w:val="0"/>
                    <w:snapToGrid w:val="0"/>
                    <w:jc w:val="center"/>
                    <w:rPr>
                      <w:color w:val="auto"/>
                      <w:szCs w:val="21"/>
                    </w:rPr>
                  </w:pPr>
                </w:p>
              </w:tc>
              <w:tc>
                <w:tcPr>
                  <w:tcW w:w="388" w:type="pct"/>
                  <w:vAlign w:val="center"/>
                </w:tcPr>
                <w:p w14:paraId="2BEF1EEC">
                  <w:pPr>
                    <w:adjustRightInd w:val="0"/>
                    <w:snapToGrid w:val="0"/>
                    <w:jc w:val="center"/>
                    <w:rPr>
                      <w:color w:val="auto"/>
                      <w:szCs w:val="21"/>
                    </w:rPr>
                  </w:pPr>
                </w:p>
              </w:tc>
              <w:tc>
                <w:tcPr>
                  <w:tcW w:w="543" w:type="pct"/>
                  <w:vAlign w:val="center"/>
                </w:tcPr>
                <w:p w14:paraId="7936D486">
                  <w:pPr>
                    <w:topLinePunct/>
                    <w:adjustRightInd w:val="0"/>
                    <w:snapToGrid w:val="0"/>
                    <w:jc w:val="center"/>
                    <w:rPr>
                      <w:rFonts w:hint="default" w:eastAsia="宋体" w:cs="宋体"/>
                      <w:color w:val="auto"/>
                      <w:kern w:val="0"/>
                      <w:szCs w:val="21"/>
                      <w:lang w:val="en-US" w:eastAsia="zh-CN" w:bidi="ar"/>
                    </w:rPr>
                  </w:pPr>
                  <w:r>
                    <w:rPr>
                      <w:rFonts w:hint="eastAsia" w:cs="宋体"/>
                      <w:color w:val="auto"/>
                      <w:kern w:val="0"/>
                      <w:szCs w:val="21"/>
                      <w:lang w:val="en-US" w:eastAsia="zh-CN" w:bidi="ar"/>
                    </w:rPr>
                    <w:t>袋装</w:t>
                  </w:r>
                </w:p>
              </w:tc>
              <w:tc>
                <w:tcPr>
                  <w:tcW w:w="323" w:type="pct"/>
                  <w:vMerge w:val="continue"/>
                  <w:vAlign w:val="center"/>
                </w:tcPr>
                <w:p w14:paraId="2FBF5DBE">
                  <w:pPr>
                    <w:adjustRightInd w:val="0"/>
                    <w:snapToGrid w:val="0"/>
                    <w:jc w:val="center"/>
                    <w:rPr>
                      <w:color w:val="auto"/>
                      <w:szCs w:val="21"/>
                    </w:rPr>
                  </w:pPr>
                </w:p>
              </w:tc>
              <w:tc>
                <w:tcPr>
                  <w:tcW w:w="400" w:type="pct"/>
                  <w:vMerge w:val="continue"/>
                  <w:vAlign w:val="center"/>
                </w:tcPr>
                <w:p w14:paraId="0D4EF39D">
                  <w:pPr>
                    <w:topLinePunct/>
                    <w:adjustRightInd w:val="0"/>
                    <w:snapToGrid w:val="0"/>
                    <w:jc w:val="center"/>
                    <w:rPr>
                      <w:color w:val="auto"/>
                      <w:kern w:val="0"/>
                      <w:szCs w:val="21"/>
                    </w:rPr>
                  </w:pPr>
                </w:p>
              </w:tc>
            </w:tr>
            <w:tr w14:paraId="68FC91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252" w:type="pct"/>
                  <w:vAlign w:val="center"/>
                </w:tcPr>
                <w:p w14:paraId="0F408C16">
                  <w:pPr>
                    <w:topLinePunct/>
                    <w:adjustRightInd w:val="0"/>
                    <w:snapToGrid w:val="0"/>
                    <w:jc w:val="center"/>
                    <w:rPr>
                      <w:rFonts w:hint="eastAsia" w:eastAsia="宋体"/>
                      <w:color w:val="auto"/>
                      <w:kern w:val="0"/>
                      <w:szCs w:val="21"/>
                      <w:lang w:val="en-US" w:eastAsia="zh-CN" w:bidi="ar"/>
                    </w:rPr>
                  </w:pPr>
                  <w:r>
                    <w:rPr>
                      <w:rFonts w:hint="eastAsia"/>
                      <w:color w:val="auto"/>
                      <w:kern w:val="0"/>
                      <w:szCs w:val="21"/>
                      <w:lang w:val="en-US" w:eastAsia="zh-CN" w:bidi="ar"/>
                    </w:rPr>
                    <w:t>4</w:t>
                  </w:r>
                </w:p>
              </w:tc>
              <w:tc>
                <w:tcPr>
                  <w:tcW w:w="368" w:type="pct"/>
                  <w:vAlign w:val="center"/>
                </w:tcPr>
                <w:p w14:paraId="2BBE438F">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c>
                <w:tcPr>
                  <w:tcW w:w="920" w:type="pct"/>
                  <w:gridSpan w:val="2"/>
                  <w:vAlign w:val="center"/>
                </w:tcPr>
                <w:p w14:paraId="1C35DD69">
                  <w:pPr>
                    <w:adjustRightInd w:val="0"/>
                    <w:snapToGrid w:val="0"/>
                    <w:jc w:val="center"/>
                    <w:rPr>
                      <w:rFonts w:hint="eastAsia" w:eastAsia="宋体"/>
                      <w:color w:val="auto"/>
                      <w:spacing w:val="-9"/>
                      <w:szCs w:val="21"/>
                      <w:lang w:val="en-US" w:eastAsia="zh-CN"/>
                    </w:rPr>
                  </w:pPr>
                  <w:r>
                    <w:rPr>
                      <w:rFonts w:hint="eastAsia"/>
                      <w:color w:val="auto"/>
                      <w:spacing w:val="-9"/>
                      <w:szCs w:val="21"/>
                      <w:lang w:val="en-US" w:eastAsia="zh-CN"/>
                    </w:rPr>
                    <w:t>污泥</w:t>
                  </w:r>
                </w:p>
              </w:tc>
              <w:tc>
                <w:tcPr>
                  <w:tcW w:w="499" w:type="pct"/>
                  <w:shd w:val="clear" w:color="auto" w:fill="auto"/>
                  <w:vAlign w:val="center"/>
                </w:tcPr>
                <w:p w14:paraId="62E28E0B">
                  <w:pPr>
                    <w:pStyle w:val="25"/>
                    <w:overflowPunct w:val="0"/>
                    <w:autoSpaceDE/>
                    <w:autoSpaceDN/>
                    <w:snapToGrid w:val="0"/>
                    <w:jc w:val="center"/>
                    <w:rPr>
                      <w:rFonts w:hint="eastAsia" w:ascii="Times New Roman" w:hAnsi="Times New Roman" w:eastAsia="宋体" w:cs="Times New Roman"/>
                      <w:color w:val="auto"/>
                      <w:spacing w:val="-9"/>
                      <w:kern w:val="2"/>
                      <w:sz w:val="21"/>
                      <w:szCs w:val="21"/>
                      <w:lang w:val="en-US" w:eastAsia="zh-CN" w:bidi="ar-SA"/>
                    </w:rPr>
                  </w:pPr>
                  <w:r>
                    <w:rPr>
                      <w:rFonts w:ascii="Times New Roman" w:hAnsi="Times New Roman" w:eastAsia="宋体" w:cs="Times New Roman"/>
                      <w:color w:val="auto"/>
                      <w:spacing w:val="-9"/>
                      <w:kern w:val="2"/>
                      <w:sz w:val="21"/>
                      <w:szCs w:val="21"/>
                      <w:lang w:val="en-US" w:eastAsia="zh-CN" w:bidi="ar-SA"/>
                    </w:rPr>
                    <w:t>HW</w:t>
                  </w:r>
                  <w:r>
                    <w:rPr>
                      <w:rFonts w:hint="eastAsia" w:ascii="Times New Roman" w:hAnsi="Times New Roman" w:eastAsia="宋体" w:cs="Times New Roman"/>
                      <w:color w:val="auto"/>
                      <w:spacing w:val="-9"/>
                      <w:kern w:val="2"/>
                      <w:sz w:val="21"/>
                      <w:szCs w:val="21"/>
                      <w:lang w:val="en-US" w:eastAsia="zh-CN" w:bidi="ar-SA"/>
                    </w:rPr>
                    <w:t>49</w:t>
                  </w:r>
                </w:p>
              </w:tc>
              <w:tc>
                <w:tcPr>
                  <w:tcW w:w="785" w:type="pct"/>
                  <w:shd w:val="clear" w:color="auto" w:fill="auto"/>
                  <w:vAlign w:val="center"/>
                </w:tcPr>
                <w:p w14:paraId="55FD3A3F">
                  <w:pPr>
                    <w:pStyle w:val="25"/>
                    <w:overflowPunct w:val="0"/>
                    <w:autoSpaceDE/>
                    <w:autoSpaceDN/>
                    <w:snapToGrid w:val="0"/>
                    <w:jc w:val="center"/>
                    <w:rPr>
                      <w:rFonts w:ascii="Times New Roman" w:hAnsi="Times New Roman" w:eastAsia="宋体" w:cs="Times New Roman"/>
                      <w:color w:val="auto"/>
                      <w:spacing w:val="-9"/>
                      <w:kern w:val="2"/>
                      <w:sz w:val="21"/>
                      <w:szCs w:val="21"/>
                      <w:lang w:val="en-US" w:eastAsia="zh-CN" w:bidi="ar-SA"/>
                    </w:rPr>
                  </w:pPr>
                  <w:r>
                    <w:rPr>
                      <w:rFonts w:ascii="Times New Roman" w:hAnsi="Times New Roman" w:eastAsia="宋体" w:cs="Times New Roman"/>
                      <w:color w:val="auto"/>
                      <w:spacing w:val="-9"/>
                      <w:kern w:val="2"/>
                      <w:sz w:val="21"/>
                      <w:szCs w:val="21"/>
                      <w:lang w:val="en-US" w:eastAsia="zh-CN" w:bidi="ar-SA"/>
                    </w:rPr>
                    <w:t>772-006-49</w:t>
                  </w:r>
                </w:p>
              </w:tc>
              <w:tc>
                <w:tcPr>
                  <w:tcW w:w="516" w:type="pct"/>
                  <w:vAlign w:val="center"/>
                </w:tcPr>
                <w:p w14:paraId="5D80F759">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c>
                <w:tcPr>
                  <w:tcW w:w="388" w:type="pct"/>
                  <w:vAlign w:val="center"/>
                </w:tcPr>
                <w:p w14:paraId="3DDCC977">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c>
                <w:tcPr>
                  <w:tcW w:w="1267" w:type="pct"/>
                  <w:gridSpan w:val="3"/>
                  <w:vAlign w:val="center"/>
                </w:tcPr>
                <w:p w14:paraId="7734EE3B">
                  <w:pPr>
                    <w:topLinePunct/>
                    <w:adjustRightInd w:val="0"/>
                    <w:snapToGrid w:val="0"/>
                    <w:jc w:val="center"/>
                    <w:rPr>
                      <w:rFonts w:hint="default" w:eastAsia="宋体"/>
                      <w:color w:val="auto"/>
                      <w:kern w:val="0"/>
                      <w:szCs w:val="21"/>
                      <w:lang w:val="en-US" w:eastAsia="zh-CN"/>
                    </w:rPr>
                  </w:pPr>
                  <w:r>
                    <w:rPr>
                      <w:rFonts w:hint="eastAsia" w:ascii="Times New Roman" w:hAnsi="Times New Roman" w:eastAsia="宋体" w:cs="宋体"/>
                      <w:color w:val="auto"/>
                      <w:kern w:val="0"/>
                      <w:szCs w:val="21"/>
                      <w:lang w:val="en-US" w:eastAsia="zh-CN" w:bidi="ar"/>
                    </w:rPr>
                    <w:t>不进行贮</w:t>
                  </w:r>
                  <w:r>
                    <w:rPr>
                      <w:rFonts w:hint="eastAsia" w:cs="宋体"/>
                      <w:color w:val="auto"/>
                      <w:kern w:val="0"/>
                      <w:szCs w:val="21"/>
                      <w:lang w:val="en-US" w:eastAsia="zh-CN" w:bidi="ar"/>
                    </w:rPr>
                    <w:t>存</w:t>
                  </w:r>
                  <w:r>
                    <w:rPr>
                      <w:rFonts w:hint="eastAsia" w:ascii="Times New Roman" w:hAnsi="Times New Roman" w:eastAsia="宋体" w:cs="宋体"/>
                      <w:color w:val="auto"/>
                      <w:kern w:val="0"/>
                      <w:szCs w:val="21"/>
                      <w:lang w:val="en-US" w:eastAsia="zh-CN" w:bidi="ar"/>
                    </w:rPr>
                    <w:t>，及时清运</w:t>
                  </w:r>
                </w:p>
              </w:tc>
            </w:tr>
          </w:tbl>
          <w:p w14:paraId="32825D68">
            <w:pPr>
              <w:adjustRightInd w:val="0"/>
              <w:spacing w:line="360" w:lineRule="auto"/>
              <w:ind w:firstLine="482" w:firstLineChars="200"/>
              <w:rPr>
                <w:b/>
                <w:bCs/>
                <w:color w:val="auto"/>
                <w:sz w:val="24"/>
              </w:rPr>
            </w:pPr>
            <w:r>
              <w:rPr>
                <w:rFonts w:hint="eastAsia"/>
                <w:b/>
                <w:bCs/>
                <w:color w:val="auto"/>
                <w:sz w:val="24"/>
              </w:rPr>
              <w:t>4、污泥监测计划</w:t>
            </w:r>
          </w:p>
          <w:p w14:paraId="19E65DF1">
            <w:pPr>
              <w:adjustRightInd w:val="0"/>
              <w:spacing w:line="360" w:lineRule="auto"/>
              <w:ind w:firstLine="480" w:firstLineChars="200"/>
              <w:rPr>
                <w:color w:val="auto"/>
                <w:sz w:val="24"/>
              </w:rPr>
            </w:pPr>
            <w:r>
              <w:rPr>
                <w:rFonts w:hint="eastAsia"/>
                <w:color w:val="auto"/>
                <w:sz w:val="24"/>
              </w:rPr>
              <w:t>根据《医疗机构水污染物排放标准》（GB18466-2005）中污泥清运前应进行监测。</w:t>
            </w:r>
          </w:p>
          <w:p w14:paraId="66BFBCB8">
            <w:pPr>
              <w:adjustRightInd w:val="0"/>
              <w:snapToGrid w:val="0"/>
              <w:jc w:val="center"/>
              <w:rPr>
                <w:b/>
                <w:bCs/>
                <w:color w:val="auto"/>
                <w:szCs w:val="21"/>
              </w:rPr>
            </w:pPr>
            <w:r>
              <w:rPr>
                <w:rFonts w:hint="eastAsia"/>
                <w:b/>
                <w:bCs/>
                <w:color w:val="auto"/>
                <w:szCs w:val="21"/>
              </w:rPr>
              <w:t>表4-</w:t>
            </w:r>
            <w:r>
              <w:rPr>
                <w:rFonts w:hint="eastAsia"/>
                <w:b/>
                <w:bCs/>
                <w:color w:val="auto"/>
                <w:szCs w:val="21"/>
                <w:lang w:val="en-US" w:eastAsia="zh-CN"/>
              </w:rPr>
              <w:t>20</w:t>
            </w:r>
            <w:r>
              <w:rPr>
                <w:rFonts w:hint="eastAsia"/>
                <w:b/>
                <w:bCs/>
                <w:color w:val="auto"/>
                <w:szCs w:val="21"/>
              </w:rPr>
              <w:t xml:space="preserve">    项目污泥清掏前监测计划一览表</w:t>
            </w:r>
          </w:p>
          <w:tbl>
            <w:tblPr>
              <w:tblStyle w:val="17"/>
              <w:tblW w:w="50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665"/>
              <w:gridCol w:w="2513"/>
              <w:gridCol w:w="2846"/>
            </w:tblGrid>
            <w:tr w14:paraId="7EC719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500" w:type="dxa"/>
                  <w:vAlign w:val="center"/>
                </w:tcPr>
                <w:p w14:paraId="576CC6F5">
                  <w:pPr>
                    <w:adjustRightInd w:val="0"/>
                    <w:snapToGrid w:val="0"/>
                    <w:jc w:val="center"/>
                    <w:rPr>
                      <w:b/>
                      <w:bCs/>
                      <w:color w:val="auto"/>
                      <w:szCs w:val="21"/>
                    </w:rPr>
                  </w:pPr>
                  <w:r>
                    <w:rPr>
                      <w:rFonts w:hint="eastAsia"/>
                      <w:b/>
                      <w:bCs/>
                      <w:color w:val="auto"/>
                      <w:szCs w:val="21"/>
                    </w:rPr>
                    <w:t>监测点位</w:t>
                  </w:r>
                </w:p>
              </w:tc>
              <w:tc>
                <w:tcPr>
                  <w:tcW w:w="1665" w:type="dxa"/>
                  <w:vAlign w:val="center"/>
                </w:tcPr>
                <w:p w14:paraId="10E9D33D">
                  <w:pPr>
                    <w:adjustRightInd w:val="0"/>
                    <w:snapToGrid w:val="0"/>
                    <w:jc w:val="center"/>
                    <w:rPr>
                      <w:b/>
                      <w:bCs/>
                      <w:color w:val="auto"/>
                      <w:szCs w:val="21"/>
                    </w:rPr>
                  </w:pPr>
                  <w:r>
                    <w:rPr>
                      <w:rFonts w:hint="eastAsia"/>
                      <w:b/>
                      <w:bCs/>
                      <w:color w:val="auto"/>
                      <w:szCs w:val="21"/>
                    </w:rPr>
                    <w:t>监测项目</w:t>
                  </w:r>
                </w:p>
              </w:tc>
              <w:tc>
                <w:tcPr>
                  <w:tcW w:w="2513" w:type="dxa"/>
                  <w:vAlign w:val="center"/>
                </w:tcPr>
                <w:p w14:paraId="6322F43F">
                  <w:pPr>
                    <w:adjustRightInd w:val="0"/>
                    <w:snapToGrid w:val="0"/>
                    <w:jc w:val="center"/>
                    <w:rPr>
                      <w:b/>
                      <w:bCs/>
                      <w:color w:val="auto"/>
                      <w:szCs w:val="21"/>
                    </w:rPr>
                  </w:pPr>
                  <w:r>
                    <w:rPr>
                      <w:rFonts w:hint="eastAsia"/>
                      <w:b/>
                      <w:bCs/>
                      <w:color w:val="auto"/>
                      <w:szCs w:val="21"/>
                    </w:rPr>
                    <w:t>监测方法及频率</w:t>
                  </w:r>
                </w:p>
              </w:tc>
              <w:tc>
                <w:tcPr>
                  <w:tcW w:w="2846" w:type="dxa"/>
                  <w:vAlign w:val="center"/>
                </w:tcPr>
                <w:p w14:paraId="4A02B303">
                  <w:pPr>
                    <w:adjustRightInd w:val="0"/>
                    <w:snapToGrid w:val="0"/>
                    <w:jc w:val="center"/>
                    <w:rPr>
                      <w:b/>
                      <w:bCs/>
                      <w:color w:val="auto"/>
                      <w:szCs w:val="21"/>
                    </w:rPr>
                  </w:pPr>
                  <w:r>
                    <w:rPr>
                      <w:rFonts w:hint="eastAsia"/>
                      <w:b/>
                      <w:bCs/>
                      <w:color w:val="auto"/>
                      <w:szCs w:val="21"/>
                    </w:rPr>
                    <w:t>执行排放标准</w:t>
                  </w:r>
                </w:p>
              </w:tc>
            </w:tr>
            <w:tr w14:paraId="0B0030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1500" w:type="dxa"/>
                  <w:vAlign w:val="center"/>
                </w:tcPr>
                <w:p w14:paraId="79A4EC9D">
                  <w:pPr>
                    <w:adjustRightInd w:val="0"/>
                    <w:snapToGrid w:val="0"/>
                    <w:jc w:val="center"/>
                    <w:rPr>
                      <w:color w:val="auto"/>
                      <w:szCs w:val="21"/>
                    </w:rPr>
                  </w:pPr>
                  <w:r>
                    <w:rPr>
                      <w:rFonts w:hint="eastAsia"/>
                      <w:color w:val="auto"/>
                      <w:szCs w:val="21"/>
                    </w:rPr>
                    <w:t>污水处理站污泥</w:t>
                  </w:r>
                </w:p>
              </w:tc>
              <w:tc>
                <w:tcPr>
                  <w:tcW w:w="1665" w:type="dxa"/>
                  <w:vAlign w:val="center"/>
                </w:tcPr>
                <w:p w14:paraId="6FD9EE5E">
                  <w:pPr>
                    <w:adjustRightInd w:val="0"/>
                    <w:snapToGrid w:val="0"/>
                    <w:jc w:val="center"/>
                    <w:rPr>
                      <w:color w:val="auto"/>
                      <w:szCs w:val="21"/>
                    </w:rPr>
                  </w:pPr>
                  <w:r>
                    <w:rPr>
                      <w:rFonts w:hint="eastAsia"/>
                      <w:color w:val="auto"/>
                      <w:szCs w:val="21"/>
                    </w:rPr>
                    <w:t>粪大肠菌群数、蛔虫卵死亡率</w:t>
                  </w:r>
                </w:p>
              </w:tc>
              <w:tc>
                <w:tcPr>
                  <w:tcW w:w="2513" w:type="dxa"/>
                  <w:vAlign w:val="center"/>
                </w:tcPr>
                <w:p w14:paraId="51CA6887">
                  <w:pPr>
                    <w:adjustRightInd w:val="0"/>
                    <w:snapToGrid w:val="0"/>
                    <w:jc w:val="center"/>
                    <w:rPr>
                      <w:color w:val="auto"/>
                      <w:szCs w:val="21"/>
                    </w:rPr>
                  </w:pPr>
                  <w:r>
                    <w:rPr>
                      <w:rFonts w:hint="eastAsia"/>
                      <w:color w:val="auto"/>
                      <w:szCs w:val="21"/>
                    </w:rPr>
                    <w:t>每次清运前，按照国家相关监测技术方法进行监测</w:t>
                  </w:r>
                </w:p>
              </w:tc>
              <w:tc>
                <w:tcPr>
                  <w:tcW w:w="2846" w:type="dxa"/>
                  <w:vAlign w:val="center"/>
                </w:tcPr>
                <w:p w14:paraId="704AFE2C">
                  <w:pPr>
                    <w:adjustRightInd w:val="0"/>
                    <w:snapToGrid w:val="0"/>
                    <w:jc w:val="center"/>
                    <w:rPr>
                      <w:color w:val="auto"/>
                      <w:szCs w:val="21"/>
                    </w:rPr>
                  </w:pPr>
                  <w:r>
                    <w:rPr>
                      <w:rFonts w:hint="eastAsia"/>
                      <w:color w:val="auto"/>
                      <w:szCs w:val="21"/>
                    </w:rPr>
                    <w:t>《医疗机构水污染物排放标准》（GB18466-2005）表4医疗机构污泥控制标准</w:t>
                  </w:r>
                </w:p>
              </w:tc>
            </w:tr>
          </w:tbl>
          <w:p w14:paraId="6053E164">
            <w:pPr>
              <w:snapToGrid w:val="0"/>
              <w:spacing w:line="360" w:lineRule="auto"/>
              <w:ind w:firstLine="482" w:firstLineChars="200"/>
              <w:rPr>
                <w:b/>
                <w:bCs/>
                <w:color w:val="auto"/>
                <w:sz w:val="24"/>
                <w:lang w:val="zh-CN"/>
              </w:rPr>
            </w:pPr>
            <w:r>
              <w:rPr>
                <w:rFonts w:hint="eastAsia"/>
                <w:b/>
                <w:bCs/>
                <w:color w:val="auto"/>
                <w:sz w:val="24"/>
                <w:lang w:val="zh-CN"/>
              </w:rPr>
              <w:t>五、地下水、土壤环境影响分析</w:t>
            </w:r>
          </w:p>
          <w:p w14:paraId="55D82E17">
            <w:pPr>
              <w:adjustRightInd w:val="0"/>
              <w:snapToGrid w:val="0"/>
              <w:spacing w:line="360" w:lineRule="auto"/>
              <w:ind w:firstLine="482" w:firstLineChars="200"/>
              <w:rPr>
                <w:b/>
                <w:color w:val="auto"/>
                <w:sz w:val="24"/>
              </w:rPr>
            </w:pPr>
            <w:r>
              <w:rPr>
                <w:rFonts w:hint="eastAsia"/>
                <w:b/>
                <w:color w:val="auto"/>
                <w:sz w:val="24"/>
              </w:rPr>
              <w:t>1、</w:t>
            </w:r>
            <w:r>
              <w:rPr>
                <w:b/>
                <w:color w:val="auto"/>
                <w:sz w:val="24"/>
              </w:rPr>
              <w:t>地下水</w:t>
            </w:r>
            <w:r>
              <w:rPr>
                <w:rFonts w:hint="eastAsia"/>
                <w:b/>
                <w:color w:val="auto"/>
                <w:sz w:val="24"/>
              </w:rPr>
              <w:t>、土壤</w:t>
            </w:r>
            <w:r>
              <w:rPr>
                <w:b/>
                <w:color w:val="auto"/>
                <w:sz w:val="24"/>
              </w:rPr>
              <w:t>污染源</w:t>
            </w:r>
          </w:p>
          <w:p w14:paraId="3483AF6C">
            <w:pPr>
              <w:adjustRightInd w:val="0"/>
              <w:snapToGrid w:val="0"/>
              <w:spacing w:line="360" w:lineRule="auto"/>
              <w:ind w:firstLine="480" w:firstLineChars="200"/>
              <w:rPr>
                <w:bCs/>
                <w:color w:val="auto"/>
                <w:sz w:val="24"/>
              </w:rPr>
            </w:pPr>
            <w:r>
              <w:rPr>
                <w:bCs/>
                <w:color w:val="auto"/>
                <w:sz w:val="24"/>
              </w:rPr>
              <w:t>根据对项目生产过程及存储方式等进行分析，本项目对地下水</w:t>
            </w:r>
            <w:r>
              <w:rPr>
                <w:rFonts w:hint="eastAsia"/>
                <w:bCs/>
                <w:color w:val="auto"/>
                <w:sz w:val="24"/>
              </w:rPr>
              <w:t>及土壤环境</w:t>
            </w:r>
            <w:r>
              <w:rPr>
                <w:bCs/>
                <w:color w:val="auto"/>
                <w:sz w:val="24"/>
              </w:rPr>
              <w:t>影响的污染源有：污水处理设施、</w:t>
            </w:r>
            <w:r>
              <w:rPr>
                <w:rFonts w:hint="eastAsia"/>
                <w:bCs/>
                <w:color w:val="auto"/>
                <w:sz w:val="24"/>
              </w:rPr>
              <w:t>医疗废物暂存间</w:t>
            </w:r>
            <w:r>
              <w:rPr>
                <w:bCs/>
                <w:color w:val="auto"/>
                <w:sz w:val="24"/>
              </w:rPr>
              <w:t>等，主要污染物为废水和固体废物（主要是危险废物）。</w:t>
            </w:r>
          </w:p>
          <w:p w14:paraId="43205E54">
            <w:pPr>
              <w:adjustRightInd w:val="0"/>
              <w:snapToGrid w:val="0"/>
              <w:spacing w:line="360" w:lineRule="auto"/>
              <w:ind w:firstLine="482" w:firstLineChars="200"/>
              <w:rPr>
                <w:b/>
                <w:color w:val="auto"/>
                <w:sz w:val="24"/>
              </w:rPr>
            </w:pPr>
            <w:r>
              <w:rPr>
                <w:rFonts w:hint="eastAsia"/>
                <w:b/>
                <w:color w:val="auto"/>
                <w:sz w:val="24"/>
              </w:rPr>
              <w:t>2、地下水、土壤污染途径</w:t>
            </w:r>
          </w:p>
          <w:p w14:paraId="511EECC4">
            <w:pPr>
              <w:adjustRightInd w:val="0"/>
              <w:snapToGrid w:val="0"/>
              <w:spacing w:line="360" w:lineRule="auto"/>
              <w:ind w:firstLine="480" w:firstLineChars="200"/>
              <w:rPr>
                <w:bCs/>
                <w:color w:val="auto"/>
                <w:sz w:val="24"/>
              </w:rPr>
            </w:pPr>
            <w:r>
              <w:rPr>
                <w:bCs/>
                <w:color w:val="auto"/>
                <w:sz w:val="24"/>
              </w:rPr>
              <w:t>本项目对地下水</w:t>
            </w:r>
            <w:r>
              <w:rPr>
                <w:rFonts w:hint="eastAsia"/>
                <w:bCs/>
                <w:color w:val="auto"/>
                <w:sz w:val="24"/>
              </w:rPr>
              <w:t>及土壤</w:t>
            </w:r>
            <w:r>
              <w:rPr>
                <w:bCs/>
                <w:color w:val="auto"/>
                <w:sz w:val="24"/>
              </w:rPr>
              <w:t>产生污染的途径主要是渗透污染。渗透污染是导致地下水污染的普遍和主要方式，主要产生可能性来自：</w:t>
            </w:r>
          </w:p>
          <w:p w14:paraId="1AC86BB4">
            <w:pPr>
              <w:adjustRightInd w:val="0"/>
              <w:snapToGrid w:val="0"/>
              <w:spacing w:line="360" w:lineRule="auto"/>
              <w:ind w:firstLine="480" w:firstLineChars="200"/>
              <w:rPr>
                <w:bCs/>
                <w:color w:val="auto"/>
                <w:sz w:val="24"/>
              </w:rPr>
            </w:pPr>
            <w:r>
              <w:rPr>
                <w:rFonts w:hint="eastAsia"/>
                <w:bCs/>
                <w:color w:val="auto"/>
                <w:sz w:val="24"/>
              </w:rPr>
              <w:t>（1）项目产生的污水事故情况下排入地表水环境，再渗入补给地下水；或者直接渗入土壤，进而污染土壤及含水层。</w:t>
            </w:r>
          </w:p>
          <w:p w14:paraId="1A07C281">
            <w:pPr>
              <w:adjustRightInd w:val="0"/>
              <w:snapToGrid w:val="0"/>
              <w:spacing w:line="360" w:lineRule="auto"/>
              <w:ind w:firstLine="480" w:firstLineChars="200"/>
              <w:rPr>
                <w:bCs/>
                <w:color w:val="auto"/>
                <w:sz w:val="24"/>
              </w:rPr>
            </w:pPr>
            <w:r>
              <w:rPr>
                <w:rFonts w:hint="eastAsia"/>
                <w:bCs/>
                <w:color w:val="auto"/>
                <w:sz w:val="24"/>
              </w:rPr>
              <w:t>（2）项目产生的危险废物，在未采取防治措施的情况下，固体废物在雨水淋滤作用下，淋滤液下渗将引起的地下水及土壤污染。</w:t>
            </w:r>
          </w:p>
          <w:p w14:paraId="362D3758">
            <w:pPr>
              <w:adjustRightInd w:val="0"/>
              <w:snapToGrid w:val="0"/>
              <w:spacing w:line="360" w:lineRule="auto"/>
              <w:ind w:firstLine="480" w:firstLineChars="200"/>
              <w:rPr>
                <w:bCs/>
                <w:color w:val="auto"/>
                <w:sz w:val="24"/>
              </w:rPr>
            </w:pPr>
            <w:r>
              <w:rPr>
                <w:rFonts w:hint="eastAsia"/>
                <w:bCs/>
                <w:color w:val="auto"/>
                <w:sz w:val="24"/>
              </w:rPr>
              <w:t>（3）医院污水处理站在未采取防渗防漏措施的情况下，废水将从构筑物下渗入含水层而污染地下水及土壤。</w:t>
            </w:r>
          </w:p>
          <w:p w14:paraId="48DAC279">
            <w:pPr>
              <w:adjustRightInd w:val="0"/>
              <w:snapToGrid w:val="0"/>
              <w:spacing w:line="360" w:lineRule="auto"/>
              <w:ind w:firstLine="482" w:firstLineChars="200"/>
              <w:rPr>
                <w:b/>
                <w:color w:val="auto"/>
                <w:sz w:val="24"/>
              </w:rPr>
            </w:pPr>
            <w:r>
              <w:rPr>
                <w:rFonts w:hint="eastAsia"/>
                <w:b/>
                <w:color w:val="auto"/>
                <w:sz w:val="24"/>
              </w:rPr>
              <w:t>3、环境影响分析</w:t>
            </w:r>
          </w:p>
          <w:p w14:paraId="30DC4C32">
            <w:pPr>
              <w:adjustRightInd w:val="0"/>
              <w:snapToGrid w:val="0"/>
              <w:spacing w:line="360" w:lineRule="auto"/>
              <w:ind w:firstLine="480" w:firstLineChars="200"/>
              <w:rPr>
                <w:bCs/>
                <w:color w:val="auto"/>
                <w:sz w:val="24"/>
              </w:rPr>
            </w:pPr>
            <w:r>
              <w:rPr>
                <w:rFonts w:hint="eastAsia"/>
                <w:bCs/>
                <w:color w:val="auto"/>
                <w:sz w:val="24"/>
              </w:rPr>
              <w:t>（1）正常情况下地下水环境影响分析</w:t>
            </w:r>
          </w:p>
          <w:p w14:paraId="066B0DE9">
            <w:pPr>
              <w:adjustRightInd w:val="0"/>
              <w:snapToGrid w:val="0"/>
              <w:spacing w:line="360" w:lineRule="auto"/>
              <w:ind w:firstLine="480" w:firstLineChars="200"/>
              <w:rPr>
                <w:bCs/>
                <w:color w:val="auto"/>
                <w:sz w:val="24"/>
              </w:rPr>
            </w:pPr>
            <w:r>
              <w:rPr>
                <w:rFonts w:hint="eastAsia"/>
                <w:bCs/>
                <w:color w:val="auto"/>
                <w:sz w:val="24"/>
              </w:rPr>
              <w:t>本项目通过采取本评价提出的环保措施后，对污水处理设施、医疗废物暂存间进行严格的防渗处理后，废水下渗量很小，在正常情况下对地下水及土壤不会造成污染。</w:t>
            </w:r>
          </w:p>
          <w:p w14:paraId="6EFF3EC8">
            <w:pPr>
              <w:adjustRightInd w:val="0"/>
              <w:snapToGrid w:val="0"/>
              <w:spacing w:line="360" w:lineRule="auto"/>
              <w:ind w:firstLine="480" w:firstLineChars="200"/>
              <w:rPr>
                <w:bCs/>
                <w:color w:val="auto"/>
                <w:sz w:val="24"/>
              </w:rPr>
            </w:pPr>
            <w:r>
              <w:rPr>
                <w:rFonts w:hint="eastAsia"/>
                <w:bCs/>
                <w:color w:val="auto"/>
                <w:sz w:val="24"/>
              </w:rPr>
              <w:t>（2）非正常情况下地下水环境影响分析</w:t>
            </w:r>
          </w:p>
          <w:p w14:paraId="45B64041">
            <w:pPr>
              <w:adjustRightInd w:val="0"/>
              <w:snapToGrid w:val="0"/>
              <w:spacing w:line="360" w:lineRule="auto"/>
              <w:ind w:firstLine="480" w:firstLineChars="200"/>
              <w:rPr>
                <w:bCs/>
                <w:color w:val="auto"/>
                <w:sz w:val="24"/>
              </w:rPr>
            </w:pPr>
            <w:r>
              <w:rPr>
                <w:rFonts w:hint="eastAsia"/>
                <w:bCs/>
                <w:color w:val="auto"/>
                <w:sz w:val="24"/>
              </w:rPr>
              <w:t>根据场地水文地质条件，污水处理设施、医疗废物暂存间若发生渗漏废水将通过地表水入渗进入地下污染地下水及土壤。</w:t>
            </w:r>
          </w:p>
          <w:p w14:paraId="416961AD">
            <w:pPr>
              <w:adjustRightInd w:val="0"/>
              <w:snapToGrid w:val="0"/>
              <w:spacing w:line="360" w:lineRule="auto"/>
              <w:ind w:firstLine="480" w:firstLineChars="200"/>
              <w:rPr>
                <w:bCs/>
                <w:color w:val="auto"/>
                <w:sz w:val="24"/>
              </w:rPr>
            </w:pPr>
            <w:r>
              <w:rPr>
                <w:rFonts w:hint="eastAsia"/>
                <w:bCs/>
                <w:color w:val="auto"/>
                <w:sz w:val="24"/>
              </w:rPr>
              <w:t>由于污染物的存在，非正常状况下，将不可避免的会对项目所在区域周围，特别是下游部分区域的地下水及土壤产生一定程度的污染。因此，建设单位应积极采取有效的防渗措施，定期监控，一旦发现废液渗漏后，采取有效的应急措施，避免泄漏持续发生。</w:t>
            </w:r>
          </w:p>
          <w:p w14:paraId="55B0486E">
            <w:pPr>
              <w:adjustRightInd w:val="0"/>
              <w:snapToGrid w:val="0"/>
              <w:spacing w:line="360" w:lineRule="auto"/>
              <w:ind w:firstLine="482" w:firstLineChars="200"/>
              <w:rPr>
                <w:b/>
                <w:color w:val="auto"/>
                <w:sz w:val="24"/>
              </w:rPr>
            </w:pPr>
            <w:r>
              <w:rPr>
                <w:rFonts w:hint="eastAsia"/>
                <w:b/>
                <w:color w:val="auto"/>
                <w:sz w:val="24"/>
              </w:rPr>
              <w:t>4、预防措施</w:t>
            </w:r>
          </w:p>
          <w:p w14:paraId="1B882ED9">
            <w:pPr>
              <w:adjustRightInd w:val="0"/>
              <w:snapToGrid w:val="0"/>
              <w:spacing w:line="360" w:lineRule="auto"/>
              <w:ind w:firstLine="480" w:firstLineChars="200"/>
              <w:rPr>
                <w:bCs/>
                <w:color w:val="auto"/>
                <w:sz w:val="24"/>
              </w:rPr>
            </w:pPr>
            <w:r>
              <w:rPr>
                <w:rFonts w:hint="eastAsia"/>
                <w:bCs/>
                <w:color w:val="auto"/>
                <w:sz w:val="24"/>
              </w:rPr>
              <w:t>针对上述情况，企业采取以下措施，以减轻对地下水及土壤的污染。</w:t>
            </w:r>
          </w:p>
          <w:p w14:paraId="1290057F">
            <w:pPr>
              <w:adjustRightInd w:val="0"/>
              <w:snapToGrid w:val="0"/>
              <w:spacing w:line="360" w:lineRule="auto"/>
              <w:ind w:firstLine="480" w:firstLineChars="200"/>
              <w:rPr>
                <w:bCs/>
                <w:color w:val="auto"/>
                <w:sz w:val="24"/>
              </w:rPr>
            </w:pPr>
            <w:r>
              <w:rPr>
                <w:rFonts w:hint="eastAsia"/>
                <w:bCs/>
                <w:color w:val="auto"/>
                <w:sz w:val="24"/>
              </w:rPr>
              <w:t>（1）源头控制措施</w:t>
            </w:r>
          </w:p>
          <w:p w14:paraId="007AF39B">
            <w:pPr>
              <w:adjustRightInd w:val="0"/>
              <w:snapToGrid w:val="0"/>
              <w:spacing w:line="360" w:lineRule="auto"/>
              <w:ind w:firstLine="480" w:firstLineChars="200"/>
              <w:rPr>
                <w:bCs/>
                <w:color w:val="auto"/>
                <w:sz w:val="24"/>
              </w:rPr>
            </w:pPr>
            <w:r>
              <w:rPr>
                <w:rFonts w:hint="eastAsia"/>
                <w:bCs/>
                <w:color w:val="auto"/>
                <w:sz w:val="24"/>
              </w:rPr>
              <w:t>根据清洁生产分析，项目具有较高的清洁生产水平；项目废水均可达标排放，废水经分质收集、处理，达标后纳管排放，各类固态废物分类收集暂存，妥善处置，有效减少了污染物的排放量。</w:t>
            </w:r>
          </w:p>
          <w:p w14:paraId="4A3BF072">
            <w:pPr>
              <w:adjustRightInd w:val="0"/>
              <w:snapToGrid w:val="0"/>
              <w:spacing w:line="360" w:lineRule="auto"/>
              <w:ind w:firstLine="480" w:firstLineChars="200"/>
              <w:rPr>
                <w:bCs/>
                <w:color w:val="auto"/>
                <w:sz w:val="24"/>
              </w:rPr>
            </w:pPr>
            <w:r>
              <w:rPr>
                <w:rFonts w:hint="eastAsia"/>
                <w:bCs/>
                <w:color w:val="auto"/>
                <w:sz w:val="24"/>
              </w:rPr>
              <w:t>（2）分区防治措施</w:t>
            </w:r>
          </w:p>
          <w:p w14:paraId="30B44947">
            <w:pPr>
              <w:adjustRightInd w:val="0"/>
              <w:snapToGrid w:val="0"/>
              <w:spacing w:line="360" w:lineRule="auto"/>
              <w:ind w:firstLine="480" w:firstLineChars="200"/>
              <w:rPr>
                <w:bCs/>
                <w:color w:val="auto"/>
                <w:sz w:val="24"/>
              </w:rPr>
            </w:pPr>
            <w:r>
              <w:rPr>
                <w:rFonts w:hint="eastAsia"/>
                <w:bCs/>
                <w:color w:val="auto"/>
                <w:sz w:val="24"/>
              </w:rPr>
              <w:t>环评要求按照下表防渗标准分区设置防渗区，建立防渗设施的检漏系统，防止污染物的跑、冒、滴、漏，将污染物泄漏的环境风险事故降到最低限度。</w:t>
            </w:r>
          </w:p>
          <w:p w14:paraId="17D2A6F0">
            <w:pPr>
              <w:adjustRightInd w:val="0"/>
              <w:snapToGrid w:val="0"/>
              <w:jc w:val="center"/>
              <w:rPr>
                <w:b/>
                <w:bCs/>
                <w:color w:val="auto"/>
                <w:szCs w:val="21"/>
              </w:rPr>
            </w:pPr>
            <w:r>
              <w:rPr>
                <w:rFonts w:hint="eastAsia"/>
                <w:b/>
                <w:bCs/>
                <w:color w:val="auto"/>
                <w:szCs w:val="21"/>
              </w:rPr>
              <w:t>表4-</w:t>
            </w:r>
            <w:r>
              <w:rPr>
                <w:rFonts w:hint="eastAsia"/>
                <w:b/>
                <w:bCs/>
                <w:color w:val="auto"/>
                <w:szCs w:val="21"/>
                <w:lang w:val="en-US" w:eastAsia="zh-CN"/>
              </w:rPr>
              <w:t>21</w:t>
            </w:r>
            <w:r>
              <w:rPr>
                <w:rFonts w:hint="eastAsia"/>
                <w:b/>
                <w:bCs/>
                <w:color w:val="auto"/>
                <w:szCs w:val="21"/>
              </w:rPr>
              <w:t xml:space="preserve">  项目污染区划分及防渗等级一览表</w:t>
            </w:r>
          </w:p>
          <w:tbl>
            <w:tblPr>
              <w:tblStyle w:val="17"/>
              <w:tblpPr w:leftFromText="180" w:rightFromText="180" w:vertAnchor="text" w:horzAnchor="page" w:tblpX="141" w:tblpY="258"/>
              <w:tblOverlap w:val="never"/>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5"/>
              <w:gridCol w:w="2100"/>
              <w:gridCol w:w="1400"/>
              <w:gridCol w:w="4196"/>
            </w:tblGrid>
            <w:tr w14:paraId="67DFE4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25" w:type="dxa"/>
                  <w:vAlign w:val="center"/>
                </w:tcPr>
                <w:p w14:paraId="7AC6E18E">
                  <w:pPr>
                    <w:pStyle w:val="25"/>
                    <w:overflowPunct w:val="0"/>
                    <w:autoSpaceDE/>
                    <w:autoSpaceDN/>
                    <w:snapToGrid w:val="0"/>
                    <w:jc w:val="center"/>
                    <w:rPr>
                      <w:rFonts w:ascii="Times New Roman"/>
                      <w:b/>
                      <w:color w:val="auto"/>
                      <w:kern w:val="21"/>
                      <w:sz w:val="21"/>
                      <w:szCs w:val="21"/>
                    </w:rPr>
                  </w:pPr>
                  <w:r>
                    <w:rPr>
                      <w:rFonts w:hint="eastAsia" w:ascii="Times New Roman"/>
                      <w:b/>
                      <w:color w:val="auto"/>
                      <w:kern w:val="21"/>
                      <w:sz w:val="21"/>
                      <w:szCs w:val="21"/>
                    </w:rPr>
                    <w:t>序号</w:t>
                  </w:r>
                </w:p>
              </w:tc>
              <w:tc>
                <w:tcPr>
                  <w:tcW w:w="2100" w:type="dxa"/>
                  <w:vAlign w:val="center"/>
                </w:tcPr>
                <w:p w14:paraId="616E6A20">
                  <w:pPr>
                    <w:pStyle w:val="25"/>
                    <w:overflowPunct w:val="0"/>
                    <w:autoSpaceDE/>
                    <w:autoSpaceDN/>
                    <w:snapToGrid w:val="0"/>
                    <w:jc w:val="center"/>
                    <w:rPr>
                      <w:rFonts w:ascii="Times New Roman"/>
                      <w:b/>
                      <w:color w:val="auto"/>
                      <w:kern w:val="21"/>
                      <w:sz w:val="21"/>
                      <w:szCs w:val="21"/>
                    </w:rPr>
                  </w:pPr>
                  <w:r>
                    <w:rPr>
                      <w:rFonts w:hint="eastAsia" w:ascii="Times New Roman"/>
                      <w:b/>
                      <w:color w:val="auto"/>
                      <w:kern w:val="21"/>
                      <w:sz w:val="21"/>
                      <w:szCs w:val="21"/>
                    </w:rPr>
                    <w:t>防渗区域或部位</w:t>
                  </w:r>
                </w:p>
              </w:tc>
              <w:tc>
                <w:tcPr>
                  <w:tcW w:w="1400" w:type="dxa"/>
                  <w:vAlign w:val="center"/>
                </w:tcPr>
                <w:p w14:paraId="655D46E5">
                  <w:pPr>
                    <w:pStyle w:val="25"/>
                    <w:overflowPunct w:val="0"/>
                    <w:autoSpaceDE/>
                    <w:autoSpaceDN/>
                    <w:snapToGrid w:val="0"/>
                    <w:jc w:val="center"/>
                    <w:rPr>
                      <w:rFonts w:ascii="Times New Roman"/>
                      <w:b/>
                      <w:color w:val="auto"/>
                      <w:kern w:val="21"/>
                      <w:sz w:val="21"/>
                      <w:szCs w:val="21"/>
                    </w:rPr>
                  </w:pPr>
                  <w:r>
                    <w:rPr>
                      <w:rFonts w:hint="eastAsia" w:ascii="Times New Roman"/>
                      <w:b/>
                      <w:color w:val="auto"/>
                      <w:kern w:val="21"/>
                      <w:sz w:val="21"/>
                      <w:szCs w:val="21"/>
                    </w:rPr>
                    <w:t>防渗等级</w:t>
                  </w:r>
                </w:p>
              </w:tc>
              <w:tc>
                <w:tcPr>
                  <w:tcW w:w="4196" w:type="dxa"/>
                  <w:vAlign w:val="center"/>
                </w:tcPr>
                <w:p w14:paraId="5F815942">
                  <w:pPr>
                    <w:pStyle w:val="25"/>
                    <w:overflowPunct w:val="0"/>
                    <w:autoSpaceDE/>
                    <w:autoSpaceDN/>
                    <w:snapToGrid w:val="0"/>
                    <w:jc w:val="center"/>
                    <w:rPr>
                      <w:rFonts w:ascii="Times New Roman"/>
                      <w:b/>
                      <w:color w:val="auto"/>
                      <w:kern w:val="21"/>
                      <w:sz w:val="21"/>
                      <w:szCs w:val="21"/>
                    </w:rPr>
                  </w:pPr>
                  <w:r>
                    <w:rPr>
                      <w:rFonts w:hint="eastAsia" w:ascii="Times New Roman"/>
                      <w:b/>
                      <w:color w:val="auto"/>
                      <w:kern w:val="21"/>
                      <w:sz w:val="21"/>
                      <w:szCs w:val="21"/>
                    </w:rPr>
                    <w:t>防渗要求</w:t>
                  </w:r>
                </w:p>
              </w:tc>
            </w:tr>
            <w:tr w14:paraId="242125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25" w:type="dxa"/>
                  <w:vAlign w:val="center"/>
                </w:tcPr>
                <w:p w14:paraId="684FFCCA">
                  <w:pPr>
                    <w:pStyle w:val="25"/>
                    <w:overflowPunct w:val="0"/>
                    <w:autoSpaceDE/>
                    <w:autoSpaceDN/>
                    <w:snapToGrid w:val="0"/>
                    <w:jc w:val="center"/>
                    <w:rPr>
                      <w:rFonts w:ascii="Times New Roman"/>
                      <w:bCs/>
                      <w:color w:val="auto"/>
                      <w:kern w:val="21"/>
                      <w:sz w:val="21"/>
                      <w:szCs w:val="21"/>
                    </w:rPr>
                  </w:pPr>
                  <w:r>
                    <w:rPr>
                      <w:rFonts w:hint="eastAsia" w:ascii="Times New Roman"/>
                      <w:bCs/>
                      <w:color w:val="auto"/>
                      <w:kern w:val="21"/>
                      <w:sz w:val="21"/>
                      <w:szCs w:val="21"/>
                    </w:rPr>
                    <w:t>1</w:t>
                  </w:r>
                </w:p>
              </w:tc>
              <w:tc>
                <w:tcPr>
                  <w:tcW w:w="2100" w:type="dxa"/>
                  <w:vAlign w:val="center"/>
                </w:tcPr>
                <w:p w14:paraId="3D3A263C">
                  <w:pPr>
                    <w:pStyle w:val="25"/>
                    <w:overflowPunct w:val="0"/>
                    <w:autoSpaceDE/>
                    <w:autoSpaceDN/>
                    <w:snapToGrid w:val="0"/>
                    <w:jc w:val="center"/>
                    <w:rPr>
                      <w:rFonts w:ascii="Times New Roman"/>
                      <w:bCs/>
                      <w:color w:val="auto"/>
                      <w:kern w:val="21"/>
                      <w:sz w:val="21"/>
                      <w:szCs w:val="21"/>
                    </w:rPr>
                  </w:pPr>
                  <w:r>
                    <w:rPr>
                      <w:rFonts w:hint="eastAsia" w:ascii="Times New Roman"/>
                      <w:bCs/>
                      <w:color w:val="auto"/>
                      <w:kern w:val="21"/>
                      <w:sz w:val="21"/>
                      <w:szCs w:val="21"/>
                    </w:rPr>
                    <w:t>医疗废物暂存间</w:t>
                  </w:r>
                </w:p>
              </w:tc>
              <w:tc>
                <w:tcPr>
                  <w:tcW w:w="1400" w:type="dxa"/>
                  <w:vMerge w:val="restart"/>
                  <w:vAlign w:val="center"/>
                </w:tcPr>
                <w:p w14:paraId="1596DBFF">
                  <w:pPr>
                    <w:pStyle w:val="25"/>
                    <w:overflowPunct w:val="0"/>
                    <w:autoSpaceDE/>
                    <w:autoSpaceDN/>
                    <w:snapToGrid w:val="0"/>
                    <w:jc w:val="center"/>
                    <w:rPr>
                      <w:rFonts w:ascii="Times New Roman"/>
                      <w:bCs/>
                      <w:color w:val="auto"/>
                      <w:kern w:val="21"/>
                      <w:sz w:val="21"/>
                      <w:szCs w:val="21"/>
                    </w:rPr>
                  </w:pPr>
                  <w:r>
                    <w:rPr>
                      <w:rFonts w:hint="eastAsia" w:ascii="Times New Roman"/>
                      <w:bCs/>
                      <w:color w:val="auto"/>
                      <w:kern w:val="21"/>
                      <w:sz w:val="21"/>
                      <w:szCs w:val="21"/>
                    </w:rPr>
                    <w:t>重点防渗区</w:t>
                  </w:r>
                </w:p>
              </w:tc>
              <w:tc>
                <w:tcPr>
                  <w:tcW w:w="4196" w:type="dxa"/>
                  <w:vMerge w:val="restart"/>
                  <w:vAlign w:val="center"/>
                </w:tcPr>
                <w:p w14:paraId="6E6657D2">
                  <w:pPr>
                    <w:pStyle w:val="25"/>
                    <w:overflowPunct w:val="0"/>
                    <w:autoSpaceDE/>
                    <w:autoSpaceDN/>
                    <w:snapToGrid w:val="0"/>
                    <w:jc w:val="center"/>
                    <w:rPr>
                      <w:rFonts w:ascii="Times New Roman"/>
                      <w:bCs/>
                      <w:color w:val="auto"/>
                      <w:kern w:val="21"/>
                      <w:sz w:val="21"/>
                      <w:szCs w:val="21"/>
                    </w:rPr>
                  </w:pPr>
                  <w:r>
                    <w:rPr>
                      <w:rFonts w:hint="eastAsia" w:ascii="Times New Roman"/>
                      <w:bCs/>
                      <w:color w:val="auto"/>
                      <w:kern w:val="21"/>
                      <w:sz w:val="21"/>
                      <w:szCs w:val="21"/>
                    </w:rPr>
                    <w:t>等效黏土防渗层Mb≥6.0m，K≤1.0×10</w:t>
                  </w:r>
                  <w:r>
                    <w:rPr>
                      <w:rFonts w:hint="eastAsia" w:ascii="Times New Roman"/>
                      <w:bCs/>
                      <w:color w:val="auto"/>
                      <w:kern w:val="21"/>
                      <w:sz w:val="21"/>
                      <w:szCs w:val="21"/>
                      <w:vertAlign w:val="superscript"/>
                    </w:rPr>
                    <w:t>-7</w:t>
                  </w:r>
                  <w:r>
                    <w:rPr>
                      <w:rFonts w:hint="eastAsia" w:ascii="Times New Roman"/>
                      <w:bCs/>
                      <w:color w:val="auto"/>
                      <w:kern w:val="21"/>
                      <w:sz w:val="21"/>
                      <w:szCs w:val="21"/>
                    </w:rPr>
                    <w:t>cm/s。</w:t>
                  </w:r>
                </w:p>
              </w:tc>
            </w:tr>
            <w:tr w14:paraId="44EE75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825" w:type="dxa"/>
                  <w:vAlign w:val="center"/>
                </w:tcPr>
                <w:p w14:paraId="66AF1529">
                  <w:pPr>
                    <w:pStyle w:val="25"/>
                    <w:overflowPunct w:val="0"/>
                    <w:autoSpaceDE/>
                    <w:autoSpaceDN/>
                    <w:snapToGrid w:val="0"/>
                    <w:jc w:val="center"/>
                    <w:rPr>
                      <w:rFonts w:ascii="Times New Roman"/>
                      <w:bCs/>
                      <w:color w:val="auto"/>
                      <w:kern w:val="21"/>
                      <w:sz w:val="21"/>
                      <w:szCs w:val="21"/>
                    </w:rPr>
                  </w:pPr>
                  <w:r>
                    <w:rPr>
                      <w:rFonts w:hint="eastAsia" w:ascii="Times New Roman"/>
                      <w:bCs/>
                      <w:color w:val="auto"/>
                      <w:kern w:val="21"/>
                      <w:sz w:val="21"/>
                      <w:szCs w:val="21"/>
                    </w:rPr>
                    <w:t>2</w:t>
                  </w:r>
                </w:p>
              </w:tc>
              <w:tc>
                <w:tcPr>
                  <w:tcW w:w="2100" w:type="dxa"/>
                  <w:vAlign w:val="center"/>
                </w:tcPr>
                <w:p w14:paraId="72191F8D">
                  <w:pPr>
                    <w:pStyle w:val="25"/>
                    <w:overflowPunct w:val="0"/>
                    <w:autoSpaceDE/>
                    <w:autoSpaceDN/>
                    <w:snapToGrid w:val="0"/>
                    <w:jc w:val="center"/>
                    <w:rPr>
                      <w:rFonts w:hint="default" w:ascii="Times New Roman"/>
                      <w:bCs/>
                      <w:color w:val="auto"/>
                      <w:kern w:val="21"/>
                      <w:sz w:val="21"/>
                      <w:szCs w:val="21"/>
                      <w:lang w:val="en-US"/>
                    </w:rPr>
                  </w:pPr>
                  <w:r>
                    <w:rPr>
                      <w:rFonts w:hint="eastAsia" w:ascii="Times New Roman"/>
                      <w:bCs/>
                      <w:color w:val="auto"/>
                      <w:kern w:val="21"/>
                      <w:sz w:val="21"/>
                      <w:szCs w:val="21"/>
                    </w:rPr>
                    <w:t>污水处理站</w:t>
                  </w:r>
                  <w:r>
                    <w:rPr>
                      <w:rFonts w:hint="eastAsia" w:ascii="Times New Roman"/>
                      <w:bCs/>
                      <w:color w:val="auto"/>
                      <w:kern w:val="21"/>
                      <w:sz w:val="21"/>
                      <w:szCs w:val="21"/>
                      <w:lang w:eastAsia="zh-CN"/>
                    </w:rPr>
                    <w:t>、</w:t>
                  </w:r>
                  <w:r>
                    <w:rPr>
                      <w:rFonts w:hint="eastAsia" w:ascii="Times New Roman"/>
                      <w:bCs/>
                      <w:color w:val="auto"/>
                      <w:kern w:val="21"/>
                      <w:sz w:val="21"/>
                      <w:szCs w:val="21"/>
                      <w:lang w:val="en-US" w:eastAsia="zh-CN"/>
                    </w:rPr>
                    <w:t>化粪池</w:t>
                  </w:r>
                </w:p>
              </w:tc>
              <w:tc>
                <w:tcPr>
                  <w:tcW w:w="1400" w:type="dxa"/>
                  <w:vMerge w:val="continue"/>
                  <w:vAlign w:val="center"/>
                </w:tcPr>
                <w:p w14:paraId="738CA795">
                  <w:pPr>
                    <w:pStyle w:val="25"/>
                    <w:overflowPunct w:val="0"/>
                    <w:autoSpaceDE/>
                    <w:autoSpaceDN/>
                    <w:snapToGrid w:val="0"/>
                    <w:jc w:val="center"/>
                    <w:rPr>
                      <w:rFonts w:ascii="Times New Roman"/>
                      <w:bCs/>
                      <w:color w:val="auto"/>
                      <w:kern w:val="21"/>
                      <w:sz w:val="21"/>
                      <w:szCs w:val="21"/>
                    </w:rPr>
                  </w:pPr>
                </w:p>
              </w:tc>
              <w:tc>
                <w:tcPr>
                  <w:tcW w:w="4196" w:type="dxa"/>
                  <w:vMerge w:val="continue"/>
                  <w:vAlign w:val="center"/>
                </w:tcPr>
                <w:p w14:paraId="12AC8398">
                  <w:pPr>
                    <w:pStyle w:val="25"/>
                    <w:overflowPunct w:val="0"/>
                    <w:autoSpaceDE/>
                    <w:autoSpaceDN/>
                    <w:snapToGrid w:val="0"/>
                    <w:jc w:val="center"/>
                    <w:rPr>
                      <w:rFonts w:ascii="Times New Roman"/>
                      <w:bCs/>
                      <w:color w:val="auto"/>
                      <w:kern w:val="21"/>
                      <w:sz w:val="21"/>
                      <w:szCs w:val="21"/>
                    </w:rPr>
                  </w:pPr>
                </w:p>
              </w:tc>
            </w:tr>
            <w:tr w14:paraId="6ED19E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825" w:type="dxa"/>
                  <w:vAlign w:val="center"/>
                </w:tcPr>
                <w:p w14:paraId="177741FB">
                  <w:pPr>
                    <w:pStyle w:val="25"/>
                    <w:overflowPunct w:val="0"/>
                    <w:autoSpaceDE/>
                    <w:autoSpaceDN/>
                    <w:snapToGrid w:val="0"/>
                    <w:jc w:val="center"/>
                    <w:rPr>
                      <w:rFonts w:ascii="Times New Roman"/>
                      <w:bCs/>
                      <w:color w:val="auto"/>
                      <w:kern w:val="21"/>
                      <w:sz w:val="21"/>
                      <w:szCs w:val="21"/>
                    </w:rPr>
                  </w:pPr>
                  <w:r>
                    <w:rPr>
                      <w:rFonts w:hint="eastAsia" w:ascii="Times New Roman"/>
                      <w:bCs/>
                      <w:color w:val="auto"/>
                      <w:kern w:val="21"/>
                      <w:sz w:val="21"/>
                      <w:szCs w:val="21"/>
                    </w:rPr>
                    <w:t>3</w:t>
                  </w:r>
                </w:p>
              </w:tc>
              <w:tc>
                <w:tcPr>
                  <w:tcW w:w="2100" w:type="dxa"/>
                  <w:vAlign w:val="center"/>
                </w:tcPr>
                <w:p w14:paraId="22F330A3">
                  <w:pPr>
                    <w:jc w:val="center"/>
                    <w:rPr>
                      <w:rFonts w:cs="宋体"/>
                      <w:bCs/>
                      <w:color w:val="auto"/>
                      <w:kern w:val="21"/>
                      <w:szCs w:val="21"/>
                    </w:rPr>
                  </w:pPr>
                  <w:r>
                    <w:rPr>
                      <w:rFonts w:cs="宋体"/>
                      <w:bCs/>
                      <w:color w:val="auto"/>
                      <w:kern w:val="21"/>
                      <w:szCs w:val="21"/>
                    </w:rPr>
                    <w:t>门诊综合楼</w:t>
                  </w:r>
                  <w:r>
                    <w:rPr>
                      <w:rFonts w:hint="eastAsia" w:cs="宋体"/>
                      <w:bCs/>
                      <w:color w:val="auto"/>
                      <w:kern w:val="21"/>
                      <w:szCs w:val="21"/>
                    </w:rPr>
                    <w:t>、</w:t>
                  </w:r>
                  <w:r>
                    <w:rPr>
                      <w:rFonts w:cs="宋体"/>
                      <w:bCs/>
                      <w:color w:val="auto"/>
                      <w:kern w:val="21"/>
                      <w:szCs w:val="21"/>
                    </w:rPr>
                    <w:t>医技楼</w:t>
                  </w:r>
                </w:p>
                <w:p w14:paraId="586E4EB9">
                  <w:pPr>
                    <w:jc w:val="center"/>
                    <w:rPr>
                      <w:bCs/>
                      <w:color w:val="auto"/>
                      <w:kern w:val="21"/>
                      <w:szCs w:val="21"/>
                    </w:rPr>
                  </w:pPr>
                  <w:r>
                    <w:rPr>
                      <w:rFonts w:cs="宋体"/>
                      <w:bCs/>
                      <w:color w:val="auto"/>
                      <w:kern w:val="21"/>
                      <w:szCs w:val="21"/>
                    </w:rPr>
                    <w:t>中医馆</w:t>
                  </w:r>
                  <w:r>
                    <w:rPr>
                      <w:rFonts w:hint="eastAsia" w:cs="宋体"/>
                      <w:bCs/>
                      <w:color w:val="auto"/>
                      <w:kern w:val="21"/>
                      <w:szCs w:val="21"/>
                    </w:rPr>
                    <w:t>、</w:t>
                  </w:r>
                  <w:r>
                    <w:rPr>
                      <w:rFonts w:cs="宋体"/>
                      <w:bCs/>
                      <w:color w:val="auto"/>
                      <w:kern w:val="21"/>
                      <w:szCs w:val="21"/>
                    </w:rPr>
                    <w:t>计免大楼</w:t>
                  </w:r>
                </w:p>
              </w:tc>
              <w:tc>
                <w:tcPr>
                  <w:tcW w:w="1400" w:type="dxa"/>
                  <w:vAlign w:val="center"/>
                </w:tcPr>
                <w:p w14:paraId="1A17DBF7">
                  <w:pPr>
                    <w:pStyle w:val="25"/>
                    <w:overflowPunct w:val="0"/>
                    <w:autoSpaceDE/>
                    <w:autoSpaceDN/>
                    <w:snapToGrid w:val="0"/>
                    <w:jc w:val="center"/>
                    <w:rPr>
                      <w:rFonts w:ascii="Times New Roman"/>
                      <w:bCs/>
                      <w:color w:val="auto"/>
                      <w:kern w:val="21"/>
                      <w:sz w:val="21"/>
                      <w:szCs w:val="21"/>
                    </w:rPr>
                  </w:pPr>
                  <w:r>
                    <w:rPr>
                      <w:rFonts w:hint="eastAsia" w:ascii="Times New Roman"/>
                      <w:bCs/>
                      <w:color w:val="auto"/>
                      <w:kern w:val="21"/>
                      <w:sz w:val="21"/>
                      <w:szCs w:val="21"/>
                    </w:rPr>
                    <w:t>一般防渗区</w:t>
                  </w:r>
                </w:p>
              </w:tc>
              <w:tc>
                <w:tcPr>
                  <w:tcW w:w="4196" w:type="dxa"/>
                  <w:vAlign w:val="center"/>
                </w:tcPr>
                <w:p w14:paraId="41CDF484">
                  <w:pPr>
                    <w:pStyle w:val="25"/>
                    <w:overflowPunct w:val="0"/>
                    <w:autoSpaceDE/>
                    <w:autoSpaceDN/>
                    <w:snapToGrid w:val="0"/>
                    <w:jc w:val="center"/>
                    <w:rPr>
                      <w:rFonts w:ascii="Times New Roman"/>
                      <w:bCs/>
                      <w:color w:val="auto"/>
                      <w:kern w:val="21"/>
                      <w:sz w:val="21"/>
                      <w:szCs w:val="21"/>
                    </w:rPr>
                  </w:pPr>
                  <w:r>
                    <w:rPr>
                      <w:rFonts w:hint="eastAsia" w:ascii="Times New Roman"/>
                      <w:bCs/>
                      <w:color w:val="auto"/>
                      <w:kern w:val="21"/>
                      <w:sz w:val="21"/>
                      <w:szCs w:val="21"/>
                    </w:rPr>
                    <w:t>等效黏土防渗层厚≥1.5m,渗透系数≤1.0×10</w:t>
                  </w:r>
                  <w:r>
                    <w:rPr>
                      <w:rFonts w:hint="eastAsia" w:ascii="Times New Roman"/>
                      <w:bCs/>
                      <w:color w:val="auto"/>
                      <w:kern w:val="21"/>
                      <w:sz w:val="21"/>
                      <w:szCs w:val="21"/>
                      <w:vertAlign w:val="superscript"/>
                    </w:rPr>
                    <w:t>-7</w:t>
                  </w:r>
                  <w:r>
                    <w:rPr>
                      <w:rFonts w:hint="eastAsia" w:ascii="Times New Roman"/>
                      <w:bCs/>
                      <w:color w:val="auto"/>
                      <w:kern w:val="21"/>
                      <w:sz w:val="21"/>
                      <w:szCs w:val="21"/>
                    </w:rPr>
                    <w:t>cm/s；或者参考GB16889执行</w:t>
                  </w:r>
                </w:p>
              </w:tc>
            </w:tr>
            <w:tr w14:paraId="208CAF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825" w:type="dxa"/>
                  <w:vAlign w:val="center"/>
                </w:tcPr>
                <w:p w14:paraId="3D64D13D">
                  <w:pPr>
                    <w:pStyle w:val="25"/>
                    <w:overflowPunct w:val="0"/>
                    <w:autoSpaceDE/>
                    <w:autoSpaceDN/>
                    <w:snapToGrid w:val="0"/>
                    <w:jc w:val="center"/>
                    <w:rPr>
                      <w:rFonts w:ascii="Times New Roman"/>
                      <w:bCs/>
                      <w:color w:val="auto"/>
                      <w:kern w:val="21"/>
                      <w:sz w:val="21"/>
                      <w:szCs w:val="21"/>
                    </w:rPr>
                  </w:pPr>
                  <w:r>
                    <w:rPr>
                      <w:rFonts w:hint="eastAsia" w:ascii="Times New Roman"/>
                      <w:bCs/>
                      <w:color w:val="auto"/>
                      <w:kern w:val="21"/>
                      <w:sz w:val="21"/>
                      <w:szCs w:val="21"/>
                    </w:rPr>
                    <w:t>4</w:t>
                  </w:r>
                </w:p>
              </w:tc>
              <w:tc>
                <w:tcPr>
                  <w:tcW w:w="2100" w:type="dxa"/>
                  <w:vAlign w:val="center"/>
                </w:tcPr>
                <w:p w14:paraId="66206AB1">
                  <w:pPr>
                    <w:pStyle w:val="25"/>
                    <w:overflowPunct w:val="0"/>
                    <w:autoSpaceDE/>
                    <w:autoSpaceDN/>
                    <w:snapToGrid w:val="0"/>
                    <w:jc w:val="center"/>
                    <w:rPr>
                      <w:rFonts w:ascii="Times New Roman"/>
                      <w:bCs/>
                      <w:color w:val="auto"/>
                      <w:kern w:val="21"/>
                      <w:sz w:val="21"/>
                      <w:szCs w:val="21"/>
                    </w:rPr>
                  </w:pPr>
                  <w:r>
                    <w:rPr>
                      <w:rFonts w:hint="eastAsia" w:ascii="Times New Roman"/>
                      <w:bCs/>
                      <w:color w:val="auto"/>
                      <w:kern w:val="21"/>
                      <w:sz w:val="21"/>
                      <w:szCs w:val="21"/>
                    </w:rPr>
                    <w:t>道路、宿舍</w:t>
                  </w:r>
                </w:p>
              </w:tc>
              <w:tc>
                <w:tcPr>
                  <w:tcW w:w="1400" w:type="dxa"/>
                  <w:vAlign w:val="center"/>
                </w:tcPr>
                <w:p w14:paraId="3718C1D6">
                  <w:pPr>
                    <w:pStyle w:val="25"/>
                    <w:overflowPunct w:val="0"/>
                    <w:autoSpaceDE/>
                    <w:autoSpaceDN/>
                    <w:snapToGrid w:val="0"/>
                    <w:jc w:val="center"/>
                    <w:rPr>
                      <w:rFonts w:ascii="Times New Roman"/>
                      <w:bCs/>
                      <w:color w:val="auto"/>
                      <w:kern w:val="21"/>
                      <w:sz w:val="21"/>
                      <w:szCs w:val="21"/>
                    </w:rPr>
                  </w:pPr>
                  <w:r>
                    <w:rPr>
                      <w:rFonts w:hint="eastAsia" w:ascii="Times New Roman"/>
                      <w:bCs/>
                      <w:color w:val="auto"/>
                      <w:kern w:val="21"/>
                      <w:sz w:val="21"/>
                      <w:szCs w:val="21"/>
                    </w:rPr>
                    <w:t>简单防渗区</w:t>
                  </w:r>
                </w:p>
              </w:tc>
              <w:tc>
                <w:tcPr>
                  <w:tcW w:w="4196" w:type="dxa"/>
                  <w:vAlign w:val="center"/>
                </w:tcPr>
                <w:p w14:paraId="79B7D32F">
                  <w:pPr>
                    <w:pStyle w:val="25"/>
                    <w:overflowPunct w:val="0"/>
                    <w:autoSpaceDE/>
                    <w:autoSpaceDN/>
                    <w:snapToGrid w:val="0"/>
                    <w:jc w:val="center"/>
                    <w:rPr>
                      <w:rFonts w:ascii="Times New Roman"/>
                      <w:bCs/>
                      <w:color w:val="auto"/>
                      <w:kern w:val="21"/>
                      <w:sz w:val="21"/>
                      <w:szCs w:val="21"/>
                    </w:rPr>
                  </w:pPr>
                  <w:r>
                    <w:rPr>
                      <w:rFonts w:hint="eastAsia" w:ascii="Times New Roman"/>
                      <w:bCs/>
                      <w:color w:val="auto"/>
                      <w:kern w:val="21"/>
                      <w:sz w:val="21"/>
                      <w:szCs w:val="21"/>
                    </w:rPr>
                    <w:t>地面硬化处理</w:t>
                  </w:r>
                </w:p>
              </w:tc>
            </w:tr>
          </w:tbl>
          <w:p w14:paraId="6ED1D803">
            <w:pPr>
              <w:adjustRightInd w:val="0"/>
              <w:snapToGrid w:val="0"/>
              <w:spacing w:line="360" w:lineRule="auto"/>
              <w:ind w:firstLine="482" w:firstLineChars="200"/>
              <w:jc w:val="left"/>
              <w:rPr>
                <w:b/>
                <w:bCs/>
                <w:color w:val="auto"/>
                <w:sz w:val="24"/>
              </w:rPr>
            </w:pPr>
            <w:r>
              <w:rPr>
                <w:rFonts w:hint="eastAsia"/>
                <w:b/>
                <w:bCs/>
                <w:color w:val="auto"/>
                <w:sz w:val="24"/>
              </w:rPr>
              <w:t>六、环境风险分析</w:t>
            </w:r>
          </w:p>
          <w:p w14:paraId="25DC0743">
            <w:pPr>
              <w:pStyle w:val="30"/>
              <w:spacing w:line="360" w:lineRule="auto"/>
              <w:ind w:left="587"/>
              <w:rPr>
                <w:b/>
                <w:bCs/>
                <w:color w:val="auto"/>
                <w:sz w:val="24"/>
              </w:rPr>
            </w:pPr>
            <w:r>
              <w:rPr>
                <w:rFonts w:hint="eastAsia"/>
                <w:b/>
                <w:bCs/>
                <w:color w:val="auto"/>
                <w:sz w:val="24"/>
              </w:rPr>
              <w:t>1、物质风险识别</w:t>
            </w:r>
          </w:p>
          <w:p w14:paraId="08BCF2CD">
            <w:pPr>
              <w:pStyle w:val="49"/>
              <w:ind w:firstLine="480"/>
              <w:rPr>
                <w:color w:val="auto"/>
                <w:szCs w:val="24"/>
              </w:rPr>
            </w:pPr>
            <w:r>
              <w:rPr>
                <w:rFonts w:hint="eastAsia"/>
                <w:color w:val="auto"/>
              </w:rPr>
              <w:t>风险识别范围包括生产设备风险识别和生产过程所涉及的物质风险识别。生产设备风险识别包括主要生产装置、储运系统、公用工程系统、工程环保设</w:t>
            </w:r>
            <w:r>
              <w:rPr>
                <w:rFonts w:hint="eastAsia"/>
                <w:color w:val="auto"/>
                <w:szCs w:val="24"/>
              </w:rPr>
              <w:t>施及辅助生产设施等；物质风险识别范围包括运营过程中排放的“三废”污染物等。</w:t>
            </w:r>
          </w:p>
          <w:p w14:paraId="0D13BE4E">
            <w:pPr>
              <w:pStyle w:val="49"/>
              <w:ind w:firstLine="480"/>
              <w:rPr>
                <w:color w:val="auto"/>
                <w:szCs w:val="24"/>
              </w:rPr>
            </w:pPr>
            <w:r>
              <w:rPr>
                <w:rFonts w:hint="eastAsia"/>
                <w:color w:val="auto"/>
                <w:szCs w:val="24"/>
              </w:rPr>
              <w:t>项目对环境造成的风险事故主要有以下几个途径；</w:t>
            </w:r>
          </w:p>
          <w:p w14:paraId="30DDE119">
            <w:pPr>
              <w:pStyle w:val="49"/>
              <w:ind w:firstLine="480"/>
              <w:rPr>
                <w:color w:val="auto"/>
                <w:szCs w:val="24"/>
              </w:rPr>
            </w:pPr>
            <w:r>
              <w:rPr>
                <w:rFonts w:hint="eastAsia"/>
                <w:color w:val="auto"/>
                <w:szCs w:val="24"/>
              </w:rPr>
              <w:t>（1）医疗废水处理设施事故状态下含有致病菌医疗废水的排污；</w:t>
            </w:r>
          </w:p>
          <w:p w14:paraId="409B22D7">
            <w:pPr>
              <w:pStyle w:val="49"/>
              <w:ind w:firstLine="480"/>
              <w:rPr>
                <w:color w:val="auto"/>
                <w:szCs w:val="24"/>
              </w:rPr>
            </w:pPr>
            <w:r>
              <w:rPr>
                <w:rFonts w:hint="eastAsia"/>
                <w:color w:val="auto"/>
                <w:szCs w:val="24"/>
              </w:rPr>
              <w:t>（2）检验科废水采用氢氧化钠对检验废液进行酸碱中和，氢氧化钠对存在的腐蚀风险。</w:t>
            </w:r>
          </w:p>
          <w:p w14:paraId="7AAA4249">
            <w:pPr>
              <w:pStyle w:val="49"/>
              <w:ind w:firstLine="480"/>
              <w:rPr>
                <w:color w:val="auto"/>
                <w:szCs w:val="24"/>
              </w:rPr>
            </w:pPr>
            <w:r>
              <w:rPr>
                <w:rFonts w:hint="eastAsia"/>
                <w:color w:val="auto"/>
                <w:szCs w:val="24"/>
              </w:rPr>
              <w:t>（3）医疗废物在收集、贮存、运送过程中的存在的风险。</w:t>
            </w:r>
          </w:p>
          <w:p w14:paraId="1075EFA6">
            <w:pPr>
              <w:pStyle w:val="49"/>
              <w:ind w:firstLine="482"/>
              <w:rPr>
                <w:color w:val="auto"/>
                <w:szCs w:val="24"/>
              </w:rPr>
            </w:pPr>
            <w:r>
              <w:rPr>
                <w:b/>
                <w:bCs/>
                <w:color w:val="auto"/>
              </w:rPr>
              <w:t>2</w:t>
            </w:r>
            <w:r>
              <w:rPr>
                <w:rFonts w:hint="eastAsia"/>
                <w:b/>
                <w:bCs/>
                <w:color w:val="auto"/>
              </w:rPr>
              <w:t>、危险物质数量与临界量比值（Q）</w:t>
            </w:r>
          </w:p>
          <w:p w14:paraId="1954F15A">
            <w:pPr>
              <w:pStyle w:val="49"/>
              <w:ind w:firstLine="480"/>
              <w:rPr>
                <w:color w:val="auto"/>
                <w:szCs w:val="24"/>
              </w:rPr>
            </w:pPr>
            <w:r>
              <w:rPr>
                <w:rFonts w:hint="eastAsia"/>
                <w:color w:val="auto"/>
                <w:szCs w:val="24"/>
              </w:rPr>
              <w:t>计算项目所涉及的每种危险物质在项目区内的最大存在总量与临界量比值Q，按下式计算：</w:t>
            </w:r>
          </w:p>
          <w:p w14:paraId="177F7A7C">
            <w:pPr>
              <w:pStyle w:val="49"/>
              <w:ind w:firstLine="0" w:firstLineChars="0"/>
              <w:jc w:val="center"/>
              <w:rPr>
                <w:color w:val="auto"/>
                <w:szCs w:val="24"/>
              </w:rPr>
            </w:pPr>
            <w:r>
              <w:rPr>
                <w:color w:val="auto"/>
                <w:position w:val="-30"/>
              </w:rPr>
              <w:object>
                <v:shape id="_x0000_i1030" o:spt="75" type="#_x0000_t75" style="height:35.05pt;width:129pt;" o:ole="t" filled="f" coordsize="21600,21600">
                  <v:path/>
                  <v:fill on="f" focussize="0,0"/>
                  <v:stroke/>
                  <v:imagedata r:id="rId24" o:title=""/>
                  <o:lock v:ext="edit" aspectratio="t"/>
                  <w10:wrap type="none"/>
                  <w10:anchorlock/>
                </v:shape>
                <o:OLEObject Type="Embed" ProgID="Equation.3" ShapeID="_x0000_i1030" DrawAspect="Content" ObjectID="_1468075730" r:id="rId23">
                  <o:LockedField>false</o:LockedField>
                </o:OLEObject>
              </w:object>
            </w:r>
          </w:p>
          <w:p w14:paraId="0B4A1ABF">
            <w:pPr>
              <w:pStyle w:val="49"/>
              <w:ind w:firstLine="480"/>
              <w:rPr>
                <w:color w:val="auto"/>
              </w:rPr>
            </w:pPr>
            <w:r>
              <w:rPr>
                <w:rFonts w:hint="eastAsia"/>
                <w:color w:val="auto"/>
              </w:rPr>
              <w:t>式中，</w:t>
            </w:r>
            <w:r>
              <w:rPr>
                <w:color w:val="auto"/>
              </w:rPr>
              <w:t>q</w:t>
            </w:r>
            <w:r>
              <w:rPr>
                <w:color w:val="auto"/>
                <w:vertAlign w:val="subscript"/>
              </w:rPr>
              <w:t>1</w:t>
            </w:r>
            <w:r>
              <w:rPr>
                <w:color w:val="auto"/>
              </w:rPr>
              <w:t>、q</w:t>
            </w:r>
            <w:r>
              <w:rPr>
                <w:color w:val="auto"/>
                <w:vertAlign w:val="subscript"/>
              </w:rPr>
              <w:t>2</w:t>
            </w:r>
            <w:r>
              <w:rPr>
                <w:color w:val="auto"/>
              </w:rPr>
              <w:t>、q</w:t>
            </w:r>
            <w:r>
              <w:rPr>
                <w:color w:val="auto"/>
                <w:vertAlign w:val="subscript"/>
              </w:rPr>
              <w:t>3</w:t>
            </w:r>
            <w:r>
              <w:rPr>
                <w:color w:val="auto"/>
              </w:rPr>
              <w:t>，...，qn——每种危险物质的最大存在总量，t；</w:t>
            </w:r>
          </w:p>
          <w:p w14:paraId="3E68E045">
            <w:pPr>
              <w:pStyle w:val="49"/>
              <w:ind w:firstLine="480"/>
              <w:rPr>
                <w:color w:val="auto"/>
              </w:rPr>
            </w:pPr>
            <w:r>
              <w:rPr>
                <w:color w:val="auto"/>
              </w:rPr>
              <w:t>Q</w:t>
            </w:r>
            <w:r>
              <w:rPr>
                <w:color w:val="auto"/>
                <w:vertAlign w:val="subscript"/>
              </w:rPr>
              <w:t>1</w:t>
            </w:r>
            <w:r>
              <w:rPr>
                <w:color w:val="auto"/>
              </w:rPr>
              <w:t>、Q</w:t>
            </w:r>
            <w:r>
              <w:rPr>
                <w:color w:val="auto"/>
                <w:vertAlign w:val="subscript"/>
              </w:rPr>
              <w:t>2</w:t>
            </w:r>
            <w:r>
              <w:rPr>
                <w:color w:val="auto"/>
              </w:rPr>
              <w:t>、Q</w:t>
            </w:r>
            <w:r>
              <w:rPr>
                <w:color w:val="auto"/>
                <w:vertAlign w:val="subscript"/>
              </w:rPr>
              <w:t>3</w:t>
            </w:r>
            <w:r>
              <w:rPr>
                <w:color w:val="auto"/>
              </w:rPr>
              <w:t>,...,Qn——每种危险物质的临界量，t。</w:t>
            </w:r>
          </w:p>
          <w:p w14:paraId="4590A5E6">
            <w:pPr>
              <w:pStyle w:val="49"/>
              <w:ind w:firstLine="480"/>
              <w:rPr>
                <w:color w:val="auto"/>
              </w:rPr>
            </w:pPr>
            <w:r>
              <w:rPr>
                <w:color w:val="auto"/>
              </w:rPr>
              <w:t>当 Q＜1 时，该项目环境风险潜势为Ⅰ。</w:t>
            </w:r>
          </w:p>
          <w:p w14:paraId="53BA2245">
            <w:pPr>
              <w:pStyle w:val="49"/>
              <w:ind w:firstLine="480"/>
              <w:rPr>
                <w:color w:val="auto"/>
                <w:szCs w:val="24"/>
              </w:rPr>
            </w:pPr>
            <w:r>
              <w:rPr>
                <w:color w:val="auto"/>
                <w:szCs w:val="24"/>
              </w:rPr>
              <w:t>当 Q≥1时，将Q值划分为：（1）1≤Q＜10；（2）10≤Q＜100；（3）Q≥100。根据《建设项目环境风险评价技术导则》（HJ169-2018）附录B重点关注的危险物质及临界量，项目</w:t>
            </w:r>
            <w:r>
              <w:rPr>
                <w:rFonts w:hint="eastAsia"/>
                <w:color w:val="auto"/>
                <w:szCs w:val="24"/>
              </w:rPr>
              <w:t>涉及的风险物质盐酸、氢氧化钠</w:t>
            </w:r>
            <w:r>
              <w:rPr>
                <w:rFonts w:hint="eastAsia"/>
                <w:color w:val="auto"/>
                <w:szCs w:val="24"/>
                <w:lang w:eastAsia="zh-CN"/>
              </w:rPr>
              <w:t>、</w:t>
            </w:r>
            <w:r>
              <w:rPr>
                <w:rFonts w:hint="eastAsia"/>
                <w:color w:val="auto"/>
                <w:szCs w:val="24"/>
                <w:lang w:val="en-US" w:eastAsia="zh-CN"/>
              </w:rPr>
              <w:t>次氯酸钠等</w:t>
            </w:r>
            <w:r>
              <w:rPr>
                <w:rFonts w:hint="eastAsia"/>
                <w:color w:val="auto"/>
                <w:szCs w:val="24"/>
              </w:rPr>
              <w:t>，</w:t>
            </w:r>
            <w:r>
              <w:rPr>
                <w:color w:val="auto"/>
                <w:szCs w:val="24"/>
              </w:rPr>
              <w:t>Q值见下表。</w:t>
            </w:r>
          </w:p>
          <w:p w14:paraId="5B1AF1E9">
            <w:pPr>
              <w:adjustRightInd w:val="0"/>
              <w:snapToGrid w:val="0"/>
              <w:jc w:val="center"/>
              <w:rPr>
                <w:b/>
                <w:bCs/>
                <w:color w:val="auto"/>
                <w:szCs w:val="21"/>
              </w:rPr>
            </w:pPr>
            <w:r>
              <w:rPr>
                <w:rFonts w:hint="eastAsia"/>
                <w:b/>
                <w:bCs/>
                <w:color w:val="auto"/>
                <w:szCs w:val="21"/>
              </w:rPr>
              <w:t>表4-</w:t>
            </w:r>
            <w:r>
              <w:rPr>
                <w:rFonts w:hint="eastAsia"/>
                <w:b/>
                <w:bCs/>
                <w:color w:val="auto"/>
                <w:szCs w:val="21"/>
                <w:lang w:val="en-US" w:eastAsia="zh-CN"/>
              </w:rPr>
              <w:t>22</w:t>
            </w:r>
            <w:r>
              <w:rPr>
                <w:rFonts w:hint="eastAsia"/>
                <w:b/>
                <w:bCs/>
                <w:color w:val="auto"/>
                <w:szCs w:val="21"/>
              </w:rPr>
              <w:t xml:space="preserve"> 危险源识别一览表</w:t>
            </w:r>
          </w:p>
          <w:tbl>
            <w:tblPr>
              <w:tblStyle w:val="1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1241"/>
              <w:gridCol w:w="1909"/>
              <w:gridCol w:w="1450"/>
              <w:gridCol w:w="2423"/>
            </w:tblGrid>
            <w:tr w14:paraId="64C96E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Align w:val="center"/>
                </w:tcPr>
                <w:p w14:paraId="42C1349F">
                  <w:pPr>
                    <w:pStyle w:val="49"/>
                    <w:spacing w:line="240" w:lineRule="auto"/>
                    <w:ind w:firstLine="0" w:firstLineChars="0"/>
                    <w:jc w:val="center"/>
                    <w:rPr>
                      <w:b/>
                      <w:bCs/>
                      <w:color w:val="auto"/>
                      <w:sz w:val="21"/>
                      <w:szCs w:val="21"/>
                    </w:rPr>
                  </w:pPr>
                  <w:r>
                    <w:rPr>
                      <w:rFonts w:hint="eastAsia"/>
                      <w:b/>
                      <w:bCs/>
                      <w:color w:val="auto"/>
                      <w:sz w:val="21"/>
                      <w:szCs w:val="21"/>
                    </w:rPr>
                    <w:t>名称</w:t>
                  </w:r>
                </w:p>
              </w:tc>
              <w:tc>
                <w:tcPr>
                  <w:tcW w:w="728" w:type="pct"/>
                  <w:vAlign w:val="center"/>
                </w:tcPr>
                <w:p w14:paraId="791E563E">
                  <w:pPr>
                    <w:pStyle w:val="49"/>
                    <w:spacing w:line="240" w:lineRule="auto"/>
                    <w:ind w:firstLine="0" w:firstLineChars="0"/>
                    <w:jc w:val="center"/>
                    <w:rPr>
                      <w:b/>
                      <w:bCs/>
                      <w:color w:val="auto"/>
                      <w:sz w:val="21"/>
                      <w:szCs w:val="21"/>
                    </w:rPr>
                  </w:pPr>
                  <w:r>
                    <w:rPr>
                      <w:rFonts w:hint="eastAsia"/>
                      <w:b/>
                      <w:bCs/>
                      <w:color w:val="auto"/>
                      <w:sz w:val="21"/>
                      <w:szCs w:val="21"/>
                    </w:rPr>
                    <w:t>CAS号</w:t>
                  </w:r>
                </w:p>
              </w:tc>
              <w:tc>
                <w:tcPr>
                  <w:tcW w:w="1120" w:type="pct"/>
                  <w:vAlign w:val="center"/>
                </w:tcPr>
                <w:p w14:paraId="6F7FEB9E">
                  <w:pPr>
                    <w:pStyle w:val="49"/>
                    <w:spacing w:line="240" w:lineRule="auto"/>
                    <w:ind w:firstLine="0" w:firstLineChars="0"/>
                    <w:jc w:val="center"/>
                    <w:rPr>
                      <w:b/>
                      <w:bCs/>
                      <w:color w:val="auto"/>
                      <w:sz w:val="21"/>
                      <w:szCs w:val="21"/>
                    </w:rPr>
                  </w:pPr>
                  <w:r>
                    <w:rPr>
                      <w:rFonts w:hint="eastAsia"/>
                      <w:b/>
                      <w:bCs/>
                      <w:color w:val="auto"/>
                      <w:sz w:val="21"/>
                      <w:szCs w:val="21"/>
                    </w:rPr>
                    <w:t>最大存在总量qn/t</w:t>
                  </w:r>
                </w:p>
              </w:tc>
              <w:tc>
                <w:tcPr>
                  <w:tcW w:w="850" w:type="pct"/>
                  <w:vAlign w:val="center"/>
                </w:tcPr>
                <w:p w14:paraId="08AC3046">
                  <w:pPr>
                    <w:pStyle w:val="49"/>
                    <w:spacing w:line="240" w:lineRule="auto"/>
                    <w:ind w:firstLine="0" w:firstLineChars="0"/>
                    <w:jc w:val="center"/>
                    <w:rPr>
                      <w:b/>
                      <w:bCs/>
                      <w:color w:val="auto"/>
                      <w:sz w:val="21"/>
                      <w:szCs w:val="21"/>
                    </w:rPr>
                  </w:pPr>
                  <w:r>
                    <w:rPr>
                      <w:rFonts w:hint="eastAsia"/>
                      <w:b/>
                      <w:bCs/>
                      <w:color w:val="auto"/>
                      <w:sz w:val="21"/>
                      <w:szCs w:val="21"/>
                    </w:rPr>
                    <w:t>临界量t</w:t>
                  </w:r>
                </w:p>
              </w:tc>
              <w:tc>
                <w:tcPr>
                  <w:tcW w:w="1421" w:type="pct"/>
                  <w:vAlign w:val="center"/>
                </w:tcPr>
                <w:p w14:paraId="71A42A8C">
                  <w:pPr>
                    <w:pStyle w:val="49"/>
                    <w:spacing w:line="240" w:lineRule="auto"/>
                    <w:ind w:firstLine="0" w:firstLineChars="0"/>
                    <w:jc w:val="center"/>
                    <w:rPr>
                      <w:b/>
                      <w:bCs/>
                      <w:color w:val="auto"/>
                      <w:sz w:val="21"/>
                      <w:szCs w:val="21"/>
                    </w:rPr>
                  </w:pPr>
                  <w:r>
                    <w:rPr>
                      <w:rFonts w:hint="eastAsia"/>
                      <w:b/>
                      <w:bCs/>
                      <w:color w:val="auto"/>
                      <w:sz w:val="21"/>
                      <w:szCs w:val="21"/>
                    </w:rPr>
                    <w:t>该种危险物质Q量</w:t>
                  </w:r>
                </w:p>
              </w:tc>
            </w:tr>
            <w:tr w14:paraId="3B42DE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9" w:type="pct"/>
                  <w:vAlign w:val="center"/>
                </w:tcPr>
                <w:p w14:paraId="170D3C4D">
                  <w:pPr>
                    <w:pStyle w:val="49"/>
                    <w:spacing w:line="240" w:lineRule="auto"/>
                    <w:ind w:firstLine="0" w:firstLineChars="0"/>
                    <w:jc w:val="center"/>
                    <w:rPr>
                      <w:color w:val="auto"/>
                      <w:sz w:val="21"/>
                      <w:szCs w:val="21"/>
                    </w:rPr>
                  </w:pPr>
                  <w:r>
                    <w:rPr>
                      <w:rFonts w:hint="eastAsia"/>
                      <w:color w:val="auto"/>
                      <w:sz w:val="21"/>
                      <w:szCs w:val="21"/>
                    </w:rPr>
                    <w:t>盐酸</w:t>
                  </w:r>
                </w:p>
              </w:tc>
              <w:tc>
                <w:tcPr>
                  <w:tcW w:w="728" w:type="pct"/>
                  <w:vAlign w:val="center"/>
                </w:tcPr>
                <w:p w14:paraId="502B8600">
                  <w:pPr>
                    <w:pStyle w:val="49"/>
                    <w:spacing w:line="240" w:lineRule="auto"/>
                    <w:ind w:firstLine="0" w:firstLineChars="0"/>
                    <w:jc w:val="center"/>
                    <w:rPr>
                      <w:color w:val="auto"/>
                      <w:sz w:val="21"/>
                      <w:szCs w:val="21"/>
                    </w:rPr>
                  </w:pPr>
                  <w:r>
                    <w:rPr>
                      <w:rFonts w:hint="eastAsia"/>
                      <w:color w:val="auto"/>
                      <w:sz w:val="21"/>
                      <w:szCs w:val="21"/>
                    </w:rPr>
                    <w:t>7647-01-0</w:t>
                  </w:r>
                </w:p>
              </w:tc>
              <w:tc>
                <w:tcPr>
                  <w:tcW w:w="1120" w:type="pct"/>
                  <w:vAlign w:val="center"/>
                </w:tcPr>
                <w:p w14:paraId="2AD76066">
                  <w:pPr>
                    <w:pStyle w:val="49"/>
                    <w:tabs>
                      <w:tab w:val="center" w:pos="906"/>
                      <w:tab w:val="right" w:pos="1694"/>
                    </w:tabs>
                    <w:spacing w:line="240" w:lineRule="auto"/>
                    <w:ind w:firstLine="0" w:firstLineChars="0"/>
                    <w:rPr>
                      <w:rFonts w:hint="default" w:eastAsia="宋体"/>
                      <w:color w:val="auto"/>
                      <w:sz w:val="21"/>
                      <w:szCs w:val="21"/>
                      <w:lang w:val="en-US" w:eastAsia="zh-CN"/>
                    </w:rPr>
                  </w:pPr>
                  <w:r>
                    <w:rPr>
                      <w:rFonts w:hint="eastAsia"/>
                      <w:color w:val="auto"/>
                      <w:sz w:val="21"/>
                      <w:szCs w:val="21"/>
                    </w:rPr>
                    <w:tab/>
                  </w:r>
                  <w:r>
                    <w:rPr>
                      <w:rFonts w:hint="eastAsia"/>
                      <w:color w:val="auto"/>
                      <w:sz w:val="21"/>
                      <w:szCs w:val="21"/>
                      <w:lang w:val="en-US" w:eastAsia="zh-CN"/>
                    </w:rPr>
                    <w:t>0.0001121</w:t>
                  </w:r>
                </w:p>
              </w:tc>
              <w:tc>
                <w:tcPr>
                  <w:tcW w:w="850" w:type="pct"/>
                  <w:vAlign w:val="center"/>
                </w:tcPr>
                <w:p w14:paraId="3D7CA94A">
                  <w:pPr>
                    <w:pStyle w:val="49"/>
                    <w:spacing w:line="240" w:lineRule="auto"/>
                    <w:ind w:firstLine="0" w:firstLineChars="0"/>
                    <w:jc w:val="center"/>
                    <w:rPr>
                      <w:color w:val="auto"/>
                      <w:sz w:val="21"/>
                      <w:szCs w:val="21"/>
                    </w:rPr>
                  </w:pPr>
                  <w:r>
                    <w:rPr>
                      <w:rFonts w:hint="eastAsia"/>
                      <w:color w:val="auto"/>
                      <w:sz w:val="21"/>
                      <w:szCs w:val="21"/>
                    </w:rPr>
                    <w:t>7</w:t>
                  </w:r>
                  <w:r>
                    <w:rPr>
                      <w:color w:val="auto"/>
                      <w:sz w:val="21"/>
                      <w:szCs w:val="21"/>
                    </w:rPr>
                    <w:t>.5</w:t>
                  </w:r>
                </w:p>
              </w:tc>
              <w:tc>
                <w:tcPr>
                  <w:tcW w:w="1421" w:type="pct"/>
                  <w:vAlign w:val="center"/>
                </w:tcPr>
                <w:p w14:paraId="2E5DC21C">
                  <w:pPr>
                    <w:pStyle w:val="49"/>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0.0000</w:t>
                  </w:r>
                  <w:r>
                    <w:rPr>
                      <w:rFonts w:hint="eastAsia"/>
                      <w:color w:val="auto"/>
                      <w:sz w:val="21"/>
                      <w:szCs w:val="21"/>
                      <w:lang w:val="en-US" w:eastAsia="zh-CN"/>
                    </w:rPr>
                    <w:t>14947</w:t>
                  </w:r>
                </w:p>
              </w:tc>
            </w:tr>
            <w:tr w14:paraId="46046F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Align w:val="center"/>
                </w:tcPr>
                <w:p w14:paraId="11315B34">
                  <w:pPr>
                    <w:pStyle w:val="49"/>
                    <w:spacing w:line="240" w:lineRule="auto"/>
                    <w:ind w:firstLine="0" w:firstLineChars="0"/>
                    <w:jc w:val="center"/>
                    <w:rPr>
                      <w:color w:val="auto"/>
                      <w:sz w:val="21"/>
                      <w:szCs w:val="21"/>
                    </w:rPr>
                  </w:pPr>
                  <w:r>
                    <w:rPr>
                      <w:rFonts w:hint="eastAsia"/>
                      <w:color w:val="auto"/>
                      <w:sz w:val="21"/>
                      <w:szCs w:val="21"/>
                    </w:rPr>
                    <w:t>氢氧化钠</w:t>
                  </w:r>
                </w:p>
              </w:tc>
              <w:tc>
                <w:tcPr>
                  <w:tcW w:w="728" w:type="pct"/>
                  <w:vAlign w:val="center"/>
                </w:tcPr>
                <w:p w14:paraId="25E8CF65">
                  <w:pPr>
                    <w:pStyle w:val="49"/>
                    <w:spacing w:line="240" w:lineRule="auto"/>
                    <w:ind w:firstLine="0" w:firstLineChars="0"/>
                    <w:jc w:val="center"/>
                    <w:rPr>
                      <w:color w:val="auto"/>
                      <w:sz w:val="21"/>
                      <w:szCs w:val="21"/>
                    </w:rPr>
                  </w:pPr>
                  <w:r>
                    <w:rPr>
                      <w:rFonts w:hint="eastAsia"/>
                      <w:color w:val="auto"/>
                      <w:sz w:val="21"/>
                      <w:szCs w:val="21"/>
                    </w:rPr>
                    <w:t>/</w:t>
                  </w:r>
                </w:p>
              </w:tc>
              <w:tc>
                <w:tcPr>
                  <w:tcW w:w="1120" w:type="pct"/>
                  <w:vAlign w:val="center"/>
                </w:tcPr>
                <w:p w14:paraId="5F1BA5E5">
                  <w:pPr>
                    <w:pStyle w:val="49"/>
                    <w:spacing w:line="240" w:lineRule="auto"/>
                    <w:ind w:firstLine="0" w:firstLineChars="0"/>
                    <w:jc w:val="center"/>
                    <w:rPr>
                      <w:color w:val="auto"/>
                      <w:sz w:val="21"/>
                      <w:szCs w:val="21"/>
                    </w:rPr>
                  </w:pPr>
                  <w:r>
                    <w:rPr>
                      <w:rFonts w:hint="eastAsia"/>
                      <w:color w:val="auto"/>
                      <w:sz w:val="21"/>
                      <w:szCs w:val="21"/>
                    </w:rPr>
                    <w:t>0.0005</w:t>
                  </w:r>
                </w:p>
              </w:tc>
              <w:tc>
                <w:tcPr>
                  <w:tcW w:w="850" w:type="pct"/>
                  <w:vAlign w:val="center"/>
                </w:tcPr>
                <w:p w14:paraId="6F19F5E3">
                  <w:pPr>
                    <w:pStyle w:val="49"/>
                    <w:spacing w:line="240" w:lineRule="auto"/>
                    <w:ind w:firstLine="0" w:firstLineChars="0"/>
                    <w:jc w:val="center"/>
                    <w:rPr>
                      <w:color w:val="auto"/>
                      <w:sz w:val="21"/>
                      <w:szCs w:val="21"/>
                    </w:rPr>
                  </w:pPr>
                  <w:r>
                    <w:rPr>
                      <w:rFonts w:hint="eastAsia"/>
                      <w:color w:val="auto"/>
                      <w:sz w:val="21"/>
                      <w:szCs w:val="21"/>
                    </w:rPr>
                    <w:t>/</w:t>
                  </w:r>
                </w:p>
              </w:tc>
              <w:tc>
                <w:tcPr>
                  <w:tcW w:w="1421" w:type="pct"/>
                  <w:vAlign w:val="center"/>
                </w:tcPr>
                <w:p w14:paraId="5500BEA3">
                  <w:pPr>
                    <w:pStyle w:val="49"/>
                    <w:spacing w:line="240" w:lineRule="auto"/>
                    <w:ind w:firstLine="0" w:firstLineChars="0"/>
                    <w:jc w:val="center"/>
                    <w:rPr>
                      <w:color w:val="auto"/>
                      <w:sz w:val="21"/>
                      <w:szCs w:val="21"/>
                    </w:rPr>
                  </w:pPr>
                  <w:r>
                    <w:rPr>
                      <w:rFonts w:hint="eastAsia"/>
                      <w:color w:val="auto"/>
                      <w:sz w:val="21"/>
                      <w:szCs w:val="21"/>
                    </w:rPr>
                    <w:t>/</w:t>
                  </w:r>
                </w:p>
              </w:tc>
            </w:tr>
            <w:tr w14:paraId="3B0DF7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Align w:val="center"/>
                </w:tcPr>
                <w:p w14:paraId="09E320A1">
                  <w:pPr>
                    <w:pStyle w:val="49"/>
                    <w:spacing w:line="240" w:lineRule="auto"/>
                    <w:ind w:firstLine="0" w:firstLineChars="0"/>
                    <w:jc w:val="center"/>
                    <w:rPr>
                      <w:rFonts w:hint="eastAsia" w:eastAsia="宋体"/>
                      <w:color w:val="auto"/>
                      <w:sz w:val="21"/>
                      <w:szCs w:val="21"/>
                      <w:lang w:eastAsia="zh-CN"/>
                    </w:rPr>
                  </w:pPr>
                  <w:r>
                    <w:rPr>
                      <w:rFonts w:hint="eastAsia"/>
                      <w:color w:val="auto"/>
                      <w:sz w:val="21"/>
                      <w:szCs w:val="21"/>
                    </w:rPr>
                    <w:t>次氯酸钠</w:t>
                  </w:r>
                </w:p>
              </w:tc>
              <w:tc>
                <w:tcPr>
                  <w:tcW w:w="728" w:type="pct"/>
                  <w:vAlign w:val="center"/>
                </w:tcPr>
                <w:p w14:paraId="4C0DB0ED">
                  <w:pPr>
                    <w:pStyle w:val="49"/>
                    <w:spacing w:line="240" w:lineRule="auto"/>
                    <w:ind w:firstLine="0" w:firstLineChars="0"/>
                    <w:jc w:val="center"/>
                    <w:rPr>
                      <w:color w:val="auto"/>
                      <w:sz w:val="21"/>
                      <w:szCs w:val="21"/>
                    </w:rPr>
                  </w:pPr>
                  <w:r>
                    <w:rPr>
                      <w:rFonts w:hint="eastAsia"/>
                      <w:color w:val="auto"/>
                      <w:sz w:val="21"/>
                      <w:szCs w:val="21"/>
                    </w:rPr>
                    <w:t>7681-52-9</w:t>
                  </w:r>
                </w:p>
              </w:tc>
              <w:tc>
                <w:tcPr>
                  <w:tcW w:w="1120" w:type="pct"/>
                  <w:vAlign w:val="center"/>
                </w:tcPr>
                <w:p w14:paraId="7197E392">
                  <w:pPr>
                    <w:pStyle w:val="49"/>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0.003177</w:t>
                  </w:r>
                </w:p>
              </w:tc>
              <w:tc>
                <w:tcPr>
                  <w:tcW w:w="850" w:type="pct"/>
                  <w:vAlign w:val="center"/>
                </w:tcPr>
                <w:p w14:paraId="6BCE7C1F">
                  <w:pPr>
                    <w:pStyle w:val="49"/>
                    <w:spacing w:line="240" w:lineRule="auto"/>
                    <w:ind w:firstLine="0" w:firstLineChars="0"/>
                    <w:jc w:val="center"/>
                    <w:rPr>
                      <w:rFonts w:hint="eastAsia" w:eastAsia="宋体"/>
                      <w:color w:val="auto"/>
                      <w:sz w:val="21"/>
                      <w:szCs w:val="21"/>
                      <w:lang w:eastAsia="zh-CN"/>
                    </w:rPr>
                  </w:pPr>
                  <w:r>
                    <w:rPr>
                      <w:rFonts w:hint="eastAsia"/>
                      <w:color w:val="auto"/>
                      <w:sz w:val="21"/>
                      <w:szCs w:val="21"/>
                      <w:lang w:val="en-US" w:eastAsia="zh-CN"/>
                    </w:rPr>
                    <w:t>5</w:t>
                  </w:r>
                </w:p>
              </w:tc>
              <w:tc>
                <w:tcPr>
                  <w:tcW w:w="1421" w:type="pct"/>
                  <w:vAlign w:val="center"/>
                </w:tcPr>
                <w:p w14:paraId="3FE70EB4">
                  <w:pPr>
                    <w:pStyle w:val="49"/>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0.0006354</w:t>
                  </w:r>
                </w:p>
              </w:tc>
            </w:tr>
            <w:tr w14:paraId="40F57C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Align w:val="center"/>
                </w:tcPr>
                <w:p w14:paraId="794A89EB">
                  <w:pPr>
                    <w:pStyle w:val="49"/>
                    <w:spacing w:line="240" w:lineRule="auto"/>
                    <w:ind w:firstLine="0" w:firstLineChars="0"/>
                    <w:jc w:val="center"/>
                    <w:rPr>
                      <w:color w:val="auto"/>
                      <w:sz w:val="21"/>
                      <w:szCs w:val="21"/>
                    </w:rPr>
                  </w:pPr>
                  <w:r>
                    <w:rPr>
                      <w:rFonts w:hint="eastAsia"/>
                      <w:color w:val="auto"/>
                      <w:sz w:val="21"/>
                      <w:szCs w:val="21"/>
                    </w:rPr>
                    <w:t>氨气</w:t>
                  </w:r>
                </w:p>
              </w:tc>
              <w:tc>
                <w:tcPr>
                  <w:tcW w:w="728" w:type="pct"/>
                  <w:vAlign w:val="center"/>
                </w:tcPr>
                <w:p w14:paraId="64730D8B">
                  <w:pPr>
                    <w:pStyle w:val="49"/>
                    <w:spacing w:line="240" w:lineRule="auto"/>
                    <w:ind w:firstLine="0" w:firstLineChars="0"/>
                    <w:jc w:val="center"/>
                    <w:rPr>
                      <w:color w:val="auto"/>
                      <w:sz w:val="21"/>
                      <w:szCs w:val="21"/>
                    </w:rPr>
                  </w:pPr>
                  <w:r>
                    <w:rPr>
                      <w:rFonts w:hint="eastAsia"/>
                      <w:color w:val="auto"/>
                      <w:sz w:val="21"/>
                      <w:szCs w:val="21"/>
                    </w:rPr>
                    <w:t>7664-41-7</w:t>
                  </w:r>
                </w:p>
              </w:tc>
              <w:tc>
                <w:tcPr>
                  <w:tcW w:w="1120" w:type="pct"/>
                  <w:vAlign w:val="center"/>
                </w:tcPr>
                <w:p w14:paraId="22F99119">
                  <w:pPr>
                    <w:pStyle w:val="49"/>
                    <w:spacing w:line="240" w:lineRule="auto"/>
                    <w:ind w:firstLine="0" w:firstLineChars="0"/>
                    <w:jc w:val="center"/>
                    <w:rPr>
                      <w:color w:val="auto"/>
                      <w:sz w:val="21"/>
                      <w:szCs w:val="21"/>
                    </w:rPr>
                  </w:pPr>
                  <w:r>
                    <w:rPr>
                      <w:rFonts w:hint="eastAsia"/>
                      <w:color w:val="auto"/>
                      <w:sz w:val="21"/>
                      <w:szCs w:val="21"/>
                    </w:rPr>
                    <w:t>微量</w:t>
                  </w:r>
                </w:p>
              </w:tc>
              <w:tc>
                <w:tcPr>
                  <w:tcW w:w="850" w:type="pct"/>
                  <w:vAlign w:val="center"/>
                </w:tcPr>
                <w:p w14:paraId="680020B5">
                  <w:pPr>
                    <w:pStyle w:val="49"/>
                    <w:spacing w:line="240" w:lineRule="auto"/>
                    <w:ind w:firstLine="0" w:firstLineChars="0"/>
                    <w:jc w:val="center"/>
                    <w:rPr>
                      <w:color w:val="auto"/>
                      <w:sz w:val="21"/>
                      <w:szCs w:val="21"/>
                    </w:rPr>
                  </w:pPr>
                  <w:r>
                    <w:rPr>
                      <w:rFonts w:hint="eastAsia"/>
                      <w:color w:val="auto"/>
                      <w:sz w:val="21"/>
                      <w:szCs w:val="21"/>
                    </w:rPr>
                    <w:t>5</w:t>
                  </w:r>
                </w:p>
              </w:tc>
              <w:tc>
                <w:tcPr>
                  <w:tcW w:w="1421" w:type="pct"/>
                  <w:vAlign w:val="center"/>
                </w:tcPr>
                <w:p w14:paraId="6ED94656">
                  <w:pPr>
                    <w:pStyle w:val="49"/>
                    <w:spacing w:line="240" w:lineRule="auto"/>
                    <w:ind w:firstLine="0" w:firstLineChars="0"/>
                    <w:jc w:val="center"/>
                    <w:rPr>
                      <w:color w:val="auto"/>
                      <w:sz w:val="21"/>
                      <w:szCs w:val="21"/>
                    </w:rPr>
                  </w:pPr>
                  <w:r>
                    <w:rPr>
                      <w:rFonts w:hint="eastAsia"/>
                      <w:color w:val="auto"/>
                      <w:sz w:val="21"/>
                      <w:szCs w:val="21"/>
                    </w:rPr>
                    <w:t>/</w:t>
                  </w:r>
                </w:p>
              </w:tc>
            </w:tr>
            <w:tr w14:paraId="409C0F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Align w:val="center"/>
                </w:tcPr>
                <w:p w14:paraId="7697D2AA">
                  <w:pPr>
                    <w:pStyle w:val="49"/>
                    <w:spacing w:line="240" w:lineRule="auto"/>
                    <w:ind w:firstLine="0" w:firstLineChars="0"/>
                    <w:jc w:val="center"/>
                    <w:rPr>
                      <w:color w:val="auto"/>
                      <w:sz w:val="21"/>
                      <w:szCs w:val="21"/>
                    </w:rPr>
                  </w:pPr>
                  <w:r>
                    <w:rPr>
                      <w:rFonts w:hint="eastAsia"/>
                      <w:color w:val="auto"/>
                      <w:sz w:val="21"/>
                      <w:szCs w:val="21"/>
                    </w:rPr>
                    <w:t>硫化氢</w:t>
                  </w:r>
                </w:p>
              </w:tc>
              <w:tc>
                <w:tcPr>
                  <w:tcW w:w="728" w:type="pct"/>
                  <w:vAlign w:val="center"/>
                </w:tcPr>
                <w:p w14:paraId="391A2B69">
                  <w:pPr>
                    <w:pStyle w:val="49"/>
                    <w:spacing w:line="240" w:lineRule="auto"/>
                    <w:ind w:firstLine="0" w:firstLineChars="0"/>
                    <w:jc w:val="center"/>
                    <w:rPr>
                      <w:color w:val="auto"/>
                      <w:sz w:val="21"/>
                      <w:szCs w:val="21"/>
                    </w:rPr>
                  </w:pPr>
                  <w:r>
                    <w:rPr>
                      <w:rFonts w:hint="eastAsia"/>
                      <w:color w:val="auto"/>
                      <w:sz w:val="21"/>
                      <w:szCs w:val="21"/>
                    </w:rPr>
                    <w:t>7783-06-4</w:t>
                  </w:r>
                </w:p>
              </w:tc>
              <w:tc>
                <w:tcPr>
                  <w:tcW w:w="1120" w:type="pct"/>
                  <w:vAlign w:val="center"/>
                </w:tcPr>
                <w:p w14:paraId="596CD356">
                  <w:pPr>
                    <w:pStyle w:val="49"/>
                    <w:spacing w:line="240" w:lineRule="auto"/>
                    <w:ind w:firstLine="0" w:firstLineChars="0"/>
                    <w:jc w:val="center"/>
                    <w:rPr>
                      <w:color w:val="auto"/>
                      <w:sz w:val="21"/>
                      <w:szCs w:val="21"/>
                    </w:rPr>
                  </w:pPr>
                  <w:r>
                    <w:rPr>
                      <w:rFonts w:hint="eastAsia"/>
                      <w:color w:val="auto"/>
                      <w:sz w:val="21"/>
                      <w:szCs w:val="21"/>
                    </w:rPr>
                    <w:t>微量</w:t>
                  </w:r>
                </w:p>
              </w:tc>
              <w:tc>
                <w:tcPr>
                  <w:tcW w:w="850" w:type="pct"/>
                  <w:vAlign w:val="center"/>
                </w:tcPr>
                <w:p w14:paraId="6CAF3D7D">
                  <w:pPr>
                    <w:pStyle w:val="49"/>
                    <w:spacing w:line="240" w:lineRule="auto"/>
                    <w:ind w:firstLine="0" w:firstLineChars="0"/>
                    <w:jc w:val="center"/>
                    <w:rPr>
                      <w:color w:val="auto"/>
                      <w:sz w:val="21"/>
                      <w:szCs w:val="21"/>
                    </w:rPr>
                  </w:pPr>
                  <w:r>
                    <w:rPr>
                      <w:rFonts w:hint="eastAsia"/>
                      <w:color w:val="auto"/>
                      <w:sz w:val="21"/>
                      <w:szCs w:val="21"/>
                    </w:rPr>
                    <w:t>2.5</w:t>
                  </w:r>
                </w:p>
              </w:tc>
              <w:tc>
                <w:tcPr>
                  <w:tcW w:w="1421" w:type="pct"/>
                  <w:vAlign w:val="center"/>
                </w:tcPr>
                <w:p w14:paraId="53B5AF3D">
                  <w:pPr>
                    <w:pStyle w:val="49"/>
                    <w:spacing w:line="240" w:lineRule="auto"/>
                    <w:ind w:firstLine="0" w:firstLineChars="0"/>
                    <w:jc w:val="center"/>
                    <w:rPr>
                      <w:color w:val="auto"/>
                      <w:sz w:val="21"/>
                      <w:szCs w:val="21"/>
                    </w:rPr>
                  </w:pPr>
                  <w:r>
                    <w:rPr>
                      <w:rFonts w:hint="eastAsia"/>
                      <w:color w:val="auto"/>
                      <w:sz w:val="21"/>
                      <w:szCs w:val="21"/>
                    </w:rPr>
                    <w:t>/</w:t>
                  </w:r>
                </w:p>
              </w:tc>
            </w:tr>
            <w:tr w14:paraId="17C86C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Align w:val="center"/>
                </w:tcPr>
                <w:p w14:paraId="3E6E22C4">
                  <w:pPr>
                    <w:pStyle w:val="49"/>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乙醇</w:t>
                  </w:r>
                </w:p>
              </w:tc>
              <w:tc>
                <w:tcPr>
                  <w:tcW w:w="728" w:type="pct"/>
                  <w:vAlign w:val="center"/>
                </w:tcPr>
                <w:p w14:paraId="103EDC51">
                  <w:pPr>
                    <w:pStyle w:val="49"/>
                    <w:spacing w:line="240" w:lineRule="auto"/>
                    <w:ind w:firstLine="0" w:firstLineChars="0"/>
                    <w:jc w:val="center"/>
                    <w:rPr>
                      <w:rFonts w:hint="eastAsia"/>
                      <w:color w:val="auto"/>
                      <w:sz w:val="21"/>
                      <w:szCs w:val="21"/>
                    </w:rPr>
                  </w:pPr>
                  <w:r>
                    <w:rPr>
                      <w:rFonts w:hint="eastAsia"/>
                      <w:color w:val="auto"/>
                      <w:sz w:val="21"/>
                      <w:szCs w:val="21"/>
                    </w:rPr>
                    <w:t>/</w:t>
                  </w:r>
                </w:p>
              </w:tc>
              <w:tc>
                <w:tcPr>
                  <w:tcW w:w="1120" w:type="pct"/>
                  <w:vAlign w:val="center"/>
                </w:tcPr>
                <w:p w14:paraId="79F553A0">
                  <w:pPr>
                    <w:pStyle w:val="49"/>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0.00295875</w:t>
                  </w:r>
                </w:p>
              </w:tc>
              <w:tc>
                <w:tcPr>
                  <w:tcW w:w="850" w:type="pct"/>
                  <w:vAlign w:val="center"/>
                </w:tcPr>
                <w:p w14:paraId="1F30999C">
                  <w:pPr>
                    <w:pStyle w:val="49"/>
                    <w:spacing w:line="240" w:lineRule="auto"/>
                    <w:ind w:firstLine="0" w:firstLineChars="0"/>
                    <w:jc w:val="center"/>
                    <w:rPr>
                      <w:rFonts w:hint="eastAsia"/>
                      <w:color w:val="auto"/>
                      <w:sz w:val="21"/>
                      <w:szCs w:val="21"/>
                    </w:rPr>
                  </w:pPr>
                  <w:r>
                    <w:rPr>
                      <w:rFonts w:hint="eastAsia"/>
                      <w:color w:val="auto"/>
                      <w:sz w:val="21"/>
                      <w:szCs w:val="21"/>
                    </w:rPr>
                    <w:t>/</w:t>
                  </w:r>
                </w:p>
              </w:tc>
              <w:tc>
                <w:tcPr>
                  <w:tcW w:w="1421" w:type="pct"/>
                  <w:vAlign w:val="center"/>
                </w:tcPr>
                <w:p w14:paraId="482D974F">
                  <w:pPr>
                    <w:pStyle w:val="49"/>
                    <w:spacing w:line="240" w:lineRule="auto"/>
                    <w:ind w:firstLine="0" w:firstLineChars="0"/>
                    <w:jc w:val="center"/>
                    <w:rPr>
                      <w:rFonts w:hint="eastAsia"/>
                      <w:color w:val="auto"/>
                      <w:sz w:val="21"/>
                      <w:szCs w:val="21"/>
                    </w:rPr>
                  </w:pPr>
                  <w:r>
                    <w:rPr>
                      <w:rFonts w:hint="eastAsia"/>
                      <w:color w:val="auto"/>
                      <w:sz w:val="21"/>
                      <w:szCs w:val="21"/>
                    </w:rPr>
                    <w:t>/</w:t>
                  </w:r>
                </w:p>
              </w:tc>
            </w:tr>
            <w:tr w14:paraId="71FE83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Align w:val="center"/>
                </w:tcPr>
                <w:p w14:paraId="6BF2B812">
                  <w:pPr>
                    <w:pStyle w:val="49"/>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合计</w:t>
                  </w:r>
                </w:p>
              </w:tc>
              <w:tc>
                <w:tcPr>
                  <w:tcW w:w="2699" w:type="pct"/>
                  <w:gridSpan w:val="3"/>
                  <w:vAlign w:val="center"/>
                </w:tcPr>
                <w:p w14:paraId="28286726">
                  <w:pPr>
                    <w:pStyle w:val="49"/>
                    <w:spacing w:line="240" w:lineRule="auto"/>
                    <w:ind w:firstLine="0" w:firstLineChars="0"/>
                    <w:jc w:val="center"/>
                    <w:rPr>
                      <w:color w:val="auto"/>
                      <w:sz w:val="21"/>
                      <w:szCs w:val="21"/>
                    </w:rPr>
                  </w:pPr>
                </w:p>
              </w:tc>
              <w:tc>
                <w:tcPr>
                  <w:tcW w:w="1421" w:type="pct"/>
                  <w:vAlign w:val="center"/>
                </w:tcPr>
                <w:p w14:paraId="1FD2E448">
                  <w:pPr>
                    <w:pStyle w:val="49"/>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0.000650347</w:t>
                  </w:r>
                </w:p>
              </w:tc>
            </w:tr>
            <w:tr w14:paraId="0625A3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vAlign w:val="center"/>
                </w:tcPr>
                <w:p w14:paraId="511219EB">
                  <w:pPr>
                    <w:pStyle w:val="49"/>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eastAsia="宋体"/>
                      <w:color w:val="auto"/>
                      <w:sz w:val="21"/>
                      <w:szCs w:val="21"/>
                      <w:lang w:val="en-US" w:eastAsia="zh-CN"/>
                    </w:rPr>
                  </w:pPr>
                  <w:r>
                    <w:rPr>
                      <w:rFonts w:hint="eastAsia"/>
                      <w:color w:val="auto"/>
                      <w:sz w:val="21"/>
                      <w:szCs w:val="21"/>
                    </w:rPr>
                    <w:t>注：本项目使用的外购的38%的盐酸，密度为1.18g/mL</w:t>
                  </w:r>
                  <w:r>
                    <w:rPr>
                      <w:rFonts w:hint="eastAsia"/>
                      <w:color w:val="auto"/>
                      <w:sz w:val="21"/>
                      <w:szCs w:val="21"/>
                      <w:lang w:eastAsia="zh-CN"/>
                    </w:rPr>
                    <w:t>；</w:t>
                  </w:r>
                  <w:r>
                    <w:rPr>
                      <w:rFonts w:hint="eastAsia"/>
                      <w:color w:val="auto"/>
                      <w:sz w:val="21"/>
                      <w:szCs w:val="21"/>
                      <w:lang w:val="en-US" w:eastAsia="zh-CN"/>
                    </w:rPr>
                    <w:t>84消毒液中</w:t>
                  </w:r>
                  <w:r>
                    <w:rPr>
                      <w:rFonts w:hint="eastAsia"/>
                      <w:color w:val="auto"/>
                      <w:sz w:val="21"/>
                      <w:szCs w:val="21"/>
                    </w:rPr>
                    <w:t>次氯酸钠</w:t>
                  </w:r>
                  <w:r>
                    <w:rPr>
                      <w:rFonts w:hint="eastAsia"/>
                      <w:color w:val="auto"/>
                      <w:sz w:val="21"/>
                      <w:szCs w:val="21"/>
                      <w:lang w:val="en-US" w:eastAsia="zh-CN"/>
                    </w:rPr>
                    <w:t>含量为5%</w:t>
                  </w:r>
                  <w:r>
                    <w:rPr>
                      <w:rFonts w:hint="eastAsia"/>
                      <w:color w:val="auto"/>
                      <w:sz w:val="21"/>
                      <w:szCs w:val="21"/>
                    </w:rPr>
                    <w:t>，密度为1.18g/mL</w:t>
                  </w:r>
                  <w:r>
                    <w:rPr>
                      <w:rFonts w:hint="eastAsia"/>
                      <w:color w:val="auto"/>
                      <w:sz w:val="21"/>
                      <w:szCs w:val="21"/>
                      <w:lang w:eastAsia="zh-CN"/>
                    </w:rPr>
                    <w:t>；</w:t>
                  </w:r>
                  <w:r>
                    <w:rPr>
                      <w:rFonts w:hint="eastAsia"/>
                      <w:color w:val="auto"/>
                      <w:sz w:val="21"/>
                      <w:szCs w:val="21"/>
                      <w:lang w:val="en-US" w:eastAsia="zh-CN"/>
                    </w:rPr>
                    <w:t>次氯酸钠溶液含量10%；密度为1.2g/mL；乙醇浓度75%，0.789g/mL</w:t>
                  </w:r>
                </w:p>
              </w:tc>
            </w:tr>
          </w:tbl>
          <w:p w14:paraId="3A7CCF3C">
            <w:pPr>
              <w:pStyle w:val="49"/>
              <w:ind w:firstLine="480"/>
              <w:jc w:val="both"/>
              <w:rPr>
                <w:color w:val="auto"/>
                <w:szCs w:val="24"/>
              </w:rPr>
            </w:pPr>
            <w:r>
              <w:rPr>
                <w:rFonts w:hint="eastAsia"/>
                <w:color w:val="auto"/>
                <w:szCs w:val="24"/>
              </w:rPr>
              <w:t>根据上表，</w:t>
            </w:r>
            <w:r>
              <w:rPr>
                <w:rFonts w:hint="eastAsia" w:ascii="Times New Roman" w:hAnsi="Times New Roman" w:eastAsia="宋体" w:cs="Times New Roman"/>
                <w:color w:val="auto"/>
                <w:szCs w:val="24"/>
              </w:rPr>
              <w:t>项目Q=</w:t>
            </w:r>
            <w:r>
              <w:rPr>
                <w:rFonts w:hint="eastAsia" w:ascii="Times New Roman" w:hAnsi="Times New Roman" w:eastAsia="宋体" w:cs="Times New Roman"/>
                <w:color w:val="auto"/>
                <w:szCs w:val="24"/>
                <w:lang w:val="en-US" w:eastAsia="zh-CN"/>
              </w:rPr>
              <w:t>0.000650347</w:t>
            </w:r>
            <w:r>
              <w:rPr>
                <w:rFonts w:hint="eastAsia"/>
                <w:color w:val="auto"/>
                <w:szCs w:val="24"/>
              </w:rPr>
              <w:t>＜1，根据《建设项目环境风险评价技术导则》HJ/T169-2018 附录C，当Q＜1时，该项目环境风险潜势为I，环境风险进行简单分析。</w:t>
            </w:r>
          </w:p>
          <w:p w14:paraId="684A2952">
            <w:pPr>
              <w:pStyle w:val="49"/>
              <w:ind w:firstLine="482"/>
              <w:rPr>
                <w:color w:val="auto"/>
                <w:szCs w:val="24"/>
              </w:rPr>
            </w:pPr>
            <w:r>
              <w:rPr>
                <w:b/>
                <w:bCs/>
                <w:color w:val="auto"/>
              </w:rPr>
              <w:t>3</w:t>
            </w:r>
            <w:r>
              <w:rPr>
                <w:rFonts w:hint="eastAsia"/>
                <w:b/>
                <w:bCs/>
                <w:color w:val="auto"/>
              </w:rPr>
              <w:t>、环境风险事故影响分析</w:t>
            </w:r>
          </w:p>
          <w:p w14:paraId="2C0C88CB">
            <w:pPr>
              <w:pStyle w:val="49"/>
              <w:ind w:firstLine="480"/>
              <w:rPr>
                <w:color w:val="auto"/>
                <w:szCs w:val="24"/>
              </w:rPr>
            </w:pPr>
            <w:r>
              <w:rPr>
                <w:rFonts w:hint="eastAsia"/>
                <w:color w:val="auto"/>
                <w:szCs w:val="24"/>
              </w:rPr>
              <w:t>本项目为非生产性项目，运行过程中潜在风险源主要为污水处理站、医废暂存间，事故触发因素主要见下表：</w:t>
            </w:r>
          </w:p>
          <w:p w14:paraId="4F3D0652">
            <w:pPr>
              <w:adjustRightInd w:val="0"/>
              <w:snapToGrid w:val="0"/>
              <w:jc w:val="center"/>
              <w:rPr>
                <w:b/>
                <w:bCs/>
                <w:color w:val="auto"/>
                <w:szCs w:val="21"/>
              </w:rPr>
            </w:pPr>
            <w:r>
              <w:rPr>
                <w:rFonts w:hint="eastAsia"/>
                <w:b/>
                <w:bCs/>
                <w:color w:val="auto"/>
                <w:szCs w:val="21"/>
              </w:rPr>
              <w:t>表4-</w:t>
            </w:r>
            <w:r>
              <w:rPr>
                <w:rFonts w:hint="eastAsia"/>
                <w:b/>
                <w:bCs/>
                <w:color w:val="auto"/>
                <w:szCs w:val="21"/>
                <w:lang w:val="en-US" w:eastAsia="zh-CN"/>
              </w:rPr>
              <w:t>23</w:t>
            </w:r>
            <w:r>
              <w:rPr>
                <w:rFonts w:hint="eastAsia"/>
                <w:b/>
                <w:bCs/>
                <w:color w:val="auto"/>
                <w:szCs w:val="21"/>
              </w:rPr>
              <w:t xml:space="preserve"> 危险物质向环境转移的途径识别结果</w:t>
            </w:r>
          </w:p>
          <w:tbl>
            <w:tblPr>
              <w:tblStyle w:val="17"/>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1705"/>
              <w:gridCol w:w="1279"/>
              <w:gridCol w:w="2003"/>
              <w:gridCol w:w="2406"/>
            </w:tblGrid>
            <w:tr w14:paraId="1CC73A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28" w:type="dxa"/>
                  <w:vAlign w:val="center"/>
                </w:tcPr>
                <w:p w14:paraId="0ABDAB3D">
                  <w:pPr>
                    <w:pStyle w:val="49"/>
                    <w:spacing w:line="240" w:lineRule="auto"/>
                    <w:ind w:firstLine="0" w:firstLineChars="0"/>
                    <w:jc w:val="center"/>
                    <w:rPr>
                      <w:b/>
                      <w:bCs/>
                      <w:color w:val="auto"/>
                      <w:sz w:val="21"/>
                      <w:szCs w:val="21"/>
                    </w:rPr>
                  </w:pPr>
                  <w:r>
                    <w:rPr>
                      <w:rFonts w:hint="eastAsia"/>
                      <w:b/>
                      <w:bCs/>
                      <w:color w:val="auto"/>
                      <w:sz w:val="21"/>
                      <w:szCs w:val="21"/>
                    </w:rPr>
                    <w:t>风险源</w:t>
                  </w:r>
                </w:p>
              </w:tc>
              <w:tc>
                <w:tcPr>
                  <w:tcW w:w="1701" w:type="dxa"/>
                  <w:vAlign w:val="center"/>
                </w:tcPr>
                <w:p w14:paraId="2F2D1C60">
                  <w:pPr>
                    <w:pStyle w:val="49"/>
                    <w:spacing w:line="240" w:lineRule="auto"/>
                    <w:ind w:firstLine="0" w:firstLineChars="0"/>
                    <w:jc w:val="center"/>
                    <w:rPr>
                      <w:b/>
                      <w:bCs/>
                      <w:color w:val="auto"/>
                      <w:sz w:val="21"/>
                      <w:szCs w:val="21"/>
                    </w:rPr>
                  </w:pPr>
                  <w:r>
                    <w:rPr>
                      <w:rFonts w:hint="eastAsia"/>
                      <w:b/>
                      <w:bCs/>
                      <w:color w:val="auto"/>
                      <w:sz w:val="21"/>
                      <w:szCs w:val="21"/>
                    </w:rPr>
                    <w:t>主要危险物质</w:t>
                  </w:r>
                </w:p>
              </w:tc>
              <w:tc>
                <w:tcPr>
                  <w:tcW w:w="1276" w:type="dxa"/>
                  <w:vAlign w:val="center"/>
                </w:tcPr>
                <w:p w14:paraId="63BAC2BB">
                  <w:pPr>
                    <w:pStyle w:val="49"/>
                    <w:spacing w:line="240" w:lineRule="auto"/>
                    <w:ind w:firstLine="0" w:firstLineChars="0"/>
                    <w:jc w:val="center"/>
                    <w:rPr>
                      <w:b/>
                      <w:bCs/>
                      <w:color w:val="auto"/>
                      <w:sz w:val="21"/>
                      <w:szCs w:val="21"/>
                    </w:rPr>
                  </w:pPr>
                  <w:r>
                    <w:rPr>
                      <w:rFonts w:hint="eastAsia"/>
                      <w:b/>
                      <w:bCs/>
                      <w:color w:val="auto"/>
                      <w:sz w:val="21"/>
                      <w:szCs w:val="21"/>
                    </w:rPr>
                    <w:t>事故类型</w:t>
                  </w:r>
                </w:p>
              </w:tc>
              <w:tc>
                <w:tcPr>
                  <w:tcW w:w="1998" w:type="dxa"/>
                  <w:vAlign w:val="center"/>
                </w:tcPr>
                <w:p w14:paraId="7FFBA696">
                  <w:pPr>
                    <w:pStyle w:val="49"/>
                    <w:spacing w:line="240" w:lineRule="auto"/>
                    <w:ind w:firstLine="0" w:firstLineChars="0"/>
                    <w:jc w:val="center"/>
                    <w:rPr>
                      <w:b/>
                      <w:bCs/>
                      <w:color w:val="auto"/>
                      <w:sz w:val="21"/>
                      <w:szCs w:val="21"/>
                    </w:rPr>
                  </w:pPr>
                  <w:r>
                    <w:rPr>
                      <w:rFonts w:hint="eastAsia"/>
                      <w:b/>
                      <w:bCs/>
                      <w:color w:val="auto"/>
                      <w:sz w:val="21"/>
                      <w:szCs w:val="21"/>
                    </w:rPr>
                    <w:t>事故原因</w:t>
                  </w:r>
                </w:p>
              </w:tc>
              <w:tc>
                <w:tcPr>
                  <w:tcW w:w="2399" w:type="dxa"/>
                  <w:vAlign w:val="center"/>
                </w:tcPr>
                <w:p w14:paraId="16173B28">
                  <w:pPr>
                    <w:pStyle w:val="49"/>
                    <w:spacing w:line="240" w:lineRule="auto"/>
                    <w:ind w:firstLine="0" w:firstLineChars="0"/>
                    <w:jc w:val="center"/>
                    <w:rPr>
                      <w:b/>
                      <w:bCs/>
                      <w:color w:val="auto"/>
                      <w:sz w:val="21"/>
                      <w:szCs w:val="21"/>
                    </w:rPr>
                  </w:pPr>
                  <w:r>
                    <w:rPr>
                      <w:rFonts w:hint="eastAsia"/>
                      <w:b/>
                      <w:bCs/>
                      <w:color w:val="auto"/>
                      <w:sz w:val="21"/>
                      <w:szCs w:val="21"/>
                    </w:rPr>
                    <w:t>事故影响途径</w:t>
                  </w:r>
                </w:p>
              </w:tc>
            </w:tr>
            <w:tr w14:paraId="22C94B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28" w:type="dxa"/>
                  <w:vAlign w:val="center"/>
                </w:tcPr>
                <w:p w14:paraId="6ACF2EBF">
                  <w:pPr>
                    <w:pStyle w:val="49"/>
                    <w:spacing w:line="240" w:lineRule="auto"/>
                    <w:ind w:firstLine="0" w:firstLineChars="0"/>
                    <w:jc w:val="center"/>
                    <w:rPr>
                      <w:color w:val="auto"/>
                      <w:sz w:val="21"/>
                      <w:szCs w:val="21"/>
                    </w:rPr>
                  </w:pPr>
                  <w:r>
                    <w:rPr>
                      <w:rFonts w:hint="eastAsia"/>
                      <w:color w:val="auto"/>
                      <w:sz w:val="21"/>
                      <w:szCs w:val="21"/>
                    </w:rPr>
                    <w:t>检验科</w:t>
                  </w:r>
                </w:p>
              </w:tc>
              <w:tc>
                <w:tcPr>
                  <w:tcW w:w="1701" w:type="dxa"/>
                  <w:vAlign w:val="center"/>
                </w:tcPr>
                <w:p w14:paraId="4FA80380">
                  <w:pPr>
                    <w:pStyle w:val="49"/>
                    <w:spacing w:line="240" w:lineRule="auto"/>
                    <w:ind w:firstLine="0" w:firstLineChars="0"/>
                    <w:jc w:val="center"/>
                    <w:rPr>
                      <w:color w:val="auto"/>
                      <w:sz w:val="21"/>
                      <w:szCs w:val="21"/>
                    </w:rPr>
                  </w:pPr>
                  <w:r>
                    <w:rPr>
                      <w:rFonts w:hint="eastAsia"/>
                      <w:color w:val="auto"/>
                      <w:sz w:val="21"/>
                      <w:szCs w:val="21"/>
                    </w:rPr>
                    <w:t>氢氧化钠、盐酸</w:t>
                  </w:r>
                </w:p>
              </w:tc>
              <w:tc>
                <w:tcPr>
                  <w:tcW w:w="1276" w:type="dxa"/>
                  <w:vAlign w:val="center"/>
                </w:tcPr>
                <w:p w14:paraId="7136DFE6">
                  <w:pPr>
                    <w:pStyle w:val="49"/>
                    <w:spacing w:line="240" w:lineRule="auto"/>
                    <w:ind w:firstLine="0" w:firstLineChars="0"/>
                    <w:jc w:val="center"/>
                    <w:rPr>
                      <w:color w:val="auto"/>
                      <w:sz w:val="21"/>
                      <w:szCs w:val="21"/>
                    </w:rPr>
                  </w:pPr>
                  <w:r>
                    <w:rPr>
                      <w:rFonts w:hint="eastAsia"/>
                      <w:color w:val="auto"/>
                      <w:sz w:val="21"/>
                      <w:szCs w:val="21"/>
                    </w:rPr>
                    <w:t>泄漏</w:t>
                  </w:r>
                </w:p>
              </w:tc>
              <w:tc>
                <w:tcPr>
                  <w:tcW w:w="1998" w:type="dxa"/>
                  <w:vAlign w:val="center"/>
                </w:tcPr>
                <w:p w14:paraId="5AA5FEFF">
                  <w:pPr>
                    <w:pStyle w:val="49"/>
                    <w:spacing w:line="240" w:lineRule="auto"/>
                    <w:ind w:firstLine="0" w:firstLineChars="0"/>
                    <w:jc w:val="center"/>
                    <w:rPr>
                      <w:color w:val="auto"/>
                      <w:sz w:val="21"/>
                      <w:szCs w:val="21"/>
                    </w:rPr>
                  </w:pPr>
                  <w:r>
                    <w:rPr>
                      <w:rFonts w:hint="eastAsia"/>
                      <w:color w:val="auto"/>
                      <w:sz w:val="21"/>
                      <w:szCs w:val="21"/>
                    </w:rPr>
                    <w:t>管理不当、设施损坏</w:t>
                  </w:r>
                </w:p>
              </w:tc>
              <w:tc>
                <w:tcPr>
                  <w:tcW w:w="2399" w:type="dxa"/>
                  <w:vAlign w:val="center"/>
                </w:tcPr>
                <w:p w14:paraId="167CFC7E">
                  <w:pPr>
                    <w:pStyle w:val="49"/>
                    <w:spacing w:line="240" w:lineRule="auto"/>
                    <w:ind w:firstLine="0" w:firstLineChars="0"/>
                    <w:jc w:val="center"/>
                    <w:rPr>
                      <w:color w:val="auto"/>
                      <w:sz w:val="21"/>
                      <w:szCs w:val="21"/>
                    </w:rPr>
                  </w:pPr>
                  <w:r>
                    <w:rPr>
                      <w:rFonts w:hint="eastAsia"/>
                      <w:color w:val="auto"/>
                      <w:sz w:val="21"/>
                      <w:szCs w:val="21"/>
                    </w:rPr>
                    <w:t>地表水、地下水、土壤</w:t>
                  </w:r>
                </w:p>
              </w:tc>
            </w:tr>
            <w:tr w14:paraId="4364D0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128" w:type="dxa"/>
                  <w:vAlign w:val="center"/>
                </w:tcPr>
                <w:p w14:paraId="6BD9F34E">
                  <w:pPr>
                    <w:pStyle w:val="49"/>
                    <w:spacing w:line="240" w:lineRule="auto"/>
                    <w:ind w:firstLine="0" w:firstLineChars="0"/>
                    <w:jc w:val="center"/>
                    <w:rPr>
                      <w:color w:val="auto"/>
                      <w:sz w:val="21"/>
                      <w:szCs w:val="21"/>
                    </w:rPr>
                  </w:pPr>
                  <w:r>
                    <w:rPr>
                      <w:rFonts w:hint="eastAsia"/>
                      <w:color w:val="auto"/>
                      <w:sz w:val="21"/>
                      <w:szCs w:val="21"/>
                    </w:rPr>
                    <w:t>医废间</w:t>
                  </w:r>
                </w:p>
              </w:tc>
              <w:tc>
                <w:tcPr>
                  <w:tcW w:w="1701" w:type="dxa"/>
                  <w:vAlign w:val="center"/>
                </w:tcPr>
                <w:p w14:paraId="3519D572">
                  <w:pPr>
                    <w:pStyle w:val="49"/>
                    <w:spacing w:line="240" w:lineRule="auto"/>
                    <w:ind w:firstLine="0" w:firstLineChars="0"/>
                    <w:jc w:val="center"/>
                    <w:rPr>
                      <w:color w:val="auto"/>
                      <w:sz w:val="21"/>
                      <w:szCs w:val="21"/>
                    </w:rPr>
                  </w:pPr>
                  <w:r>
                    <w:rPr>
                      <w:rFonts w:hint="eastAsia"/>
                      <w:color w:val="auto"/>
                      <w:sz w:val="21"/>
                      <w:szCs w:val="21"/>
                    </w:rPr>
                    <w:t>医疗废物</w:t>
                  </w:r>
                </w:p>
              </w:tc>
              <w:tc>
                <w:tcPr>
                  <w:tcW w:w="1276" w:type="dxa"/>
                  <w:vAlign w:val="center"/>
                </w:tcPr>
                <w:p w14:paraId="68A70FF7">
                  <w:pPr>
                    <w:pStyle w:val="49"/>
                    <w:spacing w:line="240" w:lineRule="auto"/>
                    <w:ind w:firstLine="0" w:firstLineChars="0"/>
                    <w:jc w:val="center"/>
                    <w:rPr>
                      <w:color w:val="auto"/>
                      <w:sz w:val="21"/>
                      <w:szCs w:val="21"/>
                    </w:rPr>
                  </w:pPr>
                  <w:r>
                    <w:rPr>
                      <w:rFonts w:hint="eastAsia"/>
                      <w:color w:val="auto"/>
                      <w:sz w:val="21"/>
                      <w:szCs w:val="21"/>
                    </w:rPr>
                    <w:t>泄漏</w:t>
                  </w:r>
                </w:p>
              </w:tc>
              <w:tc>
                <w:tcPr>
                  <w:tcW w:w="1998" w:type="dxa"/>
                  <w:vAlign w:val="center"/>
                </w:tcPr>
                <w:p w14:paraId="3E01F64F">
                  <w:pPr>
                    <w:pStyle w:val="49"/>
                    <w:spacing w:line="240" w:lineRule="auto"/>
                    <w:ind w:firstLine="0" w:firstLineChars="0"/>
                    <w:jc w:val="center"/>
                    <w:rPr>
                      <w:color w:val="auto"/>
                      <w:sz w:val="21"/>
                      <w:szCs w:val="21"/>
                    </w:rPr>
                  </w:pPr>
                  <w:r>
                    <w:rPr>
                      <w:rFonts w:hint="eastAsia"/>
                      <w:color w:val="auto"/>
                      <w:sz w:val="21"/>
                      <w:szCs w:val="21"/>
                    </w:rPr>
                    <w:t>管理不当、储存设施损坏</w:t>
                  </w:r>
                </w:p>
              </w:tc>
              <w:tc>
                <w:tcPr>
                  <w:tcW w:w="2399" w:type="dxa"/>
                  <w:vAlign w:val="center"/>
                </w:tcPr>
                <w:p w14:paraId="205A9B80">
                  <w:pPr>
                    <w:pStyle w:val="49"/>
                    <w:spacing w:line="240" w:lineRule="auto"/>
                    <w:ind w:firstLine="0" w:firstLineChars="0"/>
                    <w:jc w:val="center"/>
                    <w:rPr>
                      <w:color w:val="auto"/>
                      <w:sz w:val="21"/>
                      <w:szCs w:val="21"/>
                    </w:rPr>
                  </w:pPr>
                  <w:r>
                    <w:rPr>
                      <w:rFonts w:hint="eastAsia"/>
                      <w:color w:val="auto"/>
                      <w:sz w:val="21"/>
                      <w:szCs w:val="21"/>
                    </w:rPr>
                    <w:t>地表水、地下水、土壤</w:t>
                  </w:r>
                </w:p>
              </w:tc>
            </w:tr>
            <w:tr w14:paraId="485946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128" w:type="dxa"/>
                  <w:vAlign w:val="center"/>
                </w:tcPr>
                <w:p w14:paraId="2B82C82D">
                  <w:pPr>
                    <w:pStyle w:val="49"/>
                    <w:spacing w:line="240" w:lineRule="auto"/>
                    <w:ind w:firstLine="0" w:firstLineChars="0"/>
                    <w:jc w:val="center"/>
                    <w:rPr>
                      <w:color w:val="auto"/>
                      <w:sz w:val="21"/>
                      <w:szCs w:val="21"/>
                    </w:rPr>
                  </w:pPr>
                  <w:r>
                    <w:rPr>
                      <w:rFonts w:hint="eastAsia"/>
                      <w:color w:val="auto"/>
                      <w:sz w:val="21"/>
                      <w:szCs w:val="21"/>
                    </w:rPr>
                    <w:t>药品仓库</w:t>
                  </w:r>
                </w:p>
              </w:tc>
              <w:tc>
                <w:tcPr>
                  <w:tcW w:w="1701" w:type="dxa"/>
                  <w:vAlign w:val="center"/>
                </w:tcPr>
                <w:p w14:paraId="447181FE">
                  <w:pPr>
                    <w:pStyle w:val="49"/>
                    <w:spacing w:line="240" w:lineRule="auto"/>
                    <w:ind w:firstLine="0" w:firstLineChars="0"/>
                    <w:jc w:val="center"/>
                    <w:rPr>
                      <w:color w:val="auto"/>
                      <w:sz w:val="21"/>
                      <w:szCs w:val="21"/>
                    </w:rPr>
                  </w:pPr>
                  <w:r>
                    <w:rPr>
                      <w:rFonts w:hint="eastAsia"/>
                      <w:color w:val="auto"/>
                      <w:sz w:val="21"/>
                      <w:szCs w:val="21"/>
                    </w:rPr>
                    <w:t>酒精</w:t>
                  </w:r>
                </w:p>
              </w:tc>
              <w:tc>
                <w:tcPr>
                  <w:tcW w:w="1276" w:type="dxa"/>
                  <w:vAlign w:val="center"/>
                </w:tcPr>
                <w:p w14:paraId="55180837">
                  <w:pPr>
                    <w:pStyle w:val="49"/>
                    <w:spacing w:line="240" w:lineRule="auto"/>
                    <w:ind w:firstLine="0" w:firstLineChars="0"/>
                    <w:jc w:val="center"/>
                    <w:rPr>
                      <w:color w:val="auto"/>
                      <w:sz w:val="21"/>
                      <w:szCs w:val="21"/>
                    </w:rPr>
                  </w:pPr>
                  <w:r>
                    <w:rPr>
                      <w:rFonts w:hint="eastAsia"/>
                      <w:color w:val="auto"/>
                      <w:sz w:val="21"/>
                      <w:szCs w:val="21"/>
                    </w:rPr>
                    <w:t>爆炸燃烧</w:t>
                  </w:r>
                </w:p>
              </w:tc>
              <w:tc>
                <w:tcPr>
                  <w:tcW w:w="1998" w:type="dxa"/>
                  <w:vAlign w:val="center"/>
                </w:tcPr>
                <w:p w14:paraId="70655FB3">
                  <w:pPr>
                    <w:pStyle w:val="49"/>
                    <w:spacing w:line="240" w:lineRule="auto"/>
                    <w:ind w:firstLine="0" w:firstLineChars="0"/>
                    <w:jc w:val="center"/>
                    <w:rPr>
                      <w:color w:val="auto"/>
                      <w:sz w:val="21"/>
                      <w:szCs w:val="21"/>
                    </w:rPr>
                  </w:pPr>
                  <w:r>
                    <w:rPr>
                      <w:rFonts w:hint="eastAsia"/>
                      <w:color w:val="auto"/>
                      <w:sz w:val="21"/>
                      <w:szCs w:val="21"/>
                    </w:rPr>
                    <w:t>管理不当、储存设施损坏</w:t>
                  </w:r>
                </w:p>
              </w:tc>
              <w:tc>
                <w:tcPr>
                  <w:tcW w:w="2399" w:type="dxa"/>
                  <w:vAlign w:val="center"/>
                </w:tcPr>
                <w:p w14:paraId="5FF73F26">
                  <w:pPr>
                    <w:pStyle w:val="49"/>
                    <w:spacing w:line="240" w:lineRule="auto"/>
                    <w:ind w:firstLine="0" w:firstLineChars="0"/>
                    <w:jc w:val="center"/>
                    <w:rPr>
                      <w:color w:val="auto"/>
                      <w:sz w:val="21"/>
                      <w:szCs w:val="21"/>
                    </w:rPr>
                  </w:pPr>
                  <w:r>
                    <w:rPr>
                      <w:rFonts w:hint="eastAsia"/>
                      <w:color w:val="auto"/>
                      <w:sz w:val="21"/>
                      <w:szCs w:val="21"/>
                    </w:rPr>
                    <w:t>大气、地表水</w:t>
                  </w:r>
                </w:p>
              </w:tc>
            </w:tr>
            <w:tr w14:paraId="14C43C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vAlign w:val="center"/>
                </w:tcPr>
                <w:p w14:paraId="0F5512B0">
                  <w:pPr>
                    <w:pStyle w:val="49"/>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污水处理站</w:t>
                  </w:r>
                </w:p>
              </w:tc>
              <w:tc>
                <w:tcPr>
                  <w:tcW w:w="1701" w:type="dxa"/>
                  <w:vAlign w:val="center"/>
                </w:tcPr>
                <w:p w14:paraId="53E2B574">
                  <w:pPr>
                    <w:pStyle w:val="49"/>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综合废水</w:t>
                  </w:r>
                </w:p>
              </w:tc>
              <w:tc>
                <w:tcPr>
                  <w:tcW w:w="1276" w:type="dxa"/>
                  <w:vAlign w:val="center"/>
                </w:tcPr>
                <w:p w14:paraId="1DF3B17A">
                  <w:pPr>
                    <w:pStyle w:val="49"/>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泄露</w:t>
                  </w:r>
                </w:p>
              </w:tc>
              <w:tc>
                <w:tcPr>
                  <w:tcW w:w="1998" w:type="dxa"/>
                  <w:vAlign w:val="center"/>
                </w:tcPr>
                <w:p w14:paraId="60EEF176">
                  <w:pPr>
                    <w:pStyle w:val="49"/>
                    <w:spacing w:line="240" w:lineRule="auto"/>
                    <w:ind w:firstLine="0" w:firstLineChars="0"/>
                    <w:jc w:val="center"/>
                    <w:rPr>
                      <w:rFonts w:hint="eastAsia"/>
                      <w:color w:val="auto"/>
                      <w:sz w:val="21"/>
                      <w:szCs w:val="21"/>
                    </w:rPr>
                  </w:pPr>
                  <w:r>
                    <w:rPr>
                      <w:rFonts w:hint="eastAsia"/>
                      <w:color w:val="auto"/>
                      <w:sz w:val="21"/>
                      <w:szCs w:val="21"/>
                    </w:rPr>
                    <w:t>管理不当、设施损坏</w:t>
                  </w:r>
                </w:p>
              </w:tc>
              <w:tc>
                <w:tcPr>
                  <w:tcW w:w="2399" w:type="dxa"/>
                  <w:vAlign w:val="center"/>
                </w:tcPr>
                <w:p w14:paraId="37D3286C">
                  <w:pPr>
                    <w:pStyle w:val="49"/>
                    <w:spacing w:line="240" w:lineRule="auto"/>
                    <w:ind w:firstLine="0" w:firstLineChars="0"/>
                    <w:jc w:val="center"/>
                    <w:rPr>
                      <w:rFonts w:hint="eastAsia"/>
                      <w:color w:val="auto"/>
                      <w:sz w:val="21"/>
                      <w:szCs w:val="21"/>
                    </w:rPr>
                  </w:pPr>
                  <w:r>
                    <w:rPr>
                      <w:rFonts w:hint="eastAsia"/>
                      <w:color w:val="auto"/>
                      <w:sz w:val="21"/>
                      <w:szCs w:val="21"/>
                    </w:rPr>
                    <w:t>地表水、地下水、土壤</w:t>
                  </w:r>
                </w:p>
              </w:tc>
            </w:tr>
          </w:tbl>
          <w:p w14:paraId="38D7E6D8">
            <w:pPr>
              <w:pStyle w:val="49"/>
              <w:ind w:firstLine="480"/>
              <w:rPr>
                <w:color w:val="auto"/>
                <w:szCs w:val="24"/>
              </w:rPr>
            </w:pPr>
            <w:r>
              <w:rPr>
                <w:rFonts w:hint="eastAsia"/>
                <w:color w:val="auto"/>
                <w:szCs w:val="24"/>
              </w:rPr>
              <w:t>综上，根据危险物质本身危险性及潜在风险源识别，确定本项目主要环境风险类型为危险物质泄漏等引发的伴生</w:t>
            </w:r>
            <w:r>
              <w:rPr>
                <w:color w:val="auto"/>
                <w:szCs w:val="24"/>
              </w:rPr>
              <w:t>/</w:t>
            </w:r>
            <w:r>
              <w:rPr>
                <w:rFonts w:hint="eastAsia"/>
                <w:color w:val="auto"/>
                <w:szCs w:val="24"/>
              </w:rPr>
              <w:t>次生污染物排放。</w:t>
            </w:r>
          </w:p>
          <w:p w14:paraId="18E29CE3">
            <w:pPr>
              <w:pStyle w:val="49"/>
              <w:ind w:firstLine="482"/>
              <w:jc w:val="both"/>
              <w:rPr>
                <w:color w:val="auto"/>
                <w:szCs w:val="24"/>
              </w:rPr>
            </w:pPr>
            <w:r>
              <w:rPr>
                <w:b/>
                <w:bCs/>
                <w:color w:val="auto"/>
              </w:rPr>
              <w:t>4</w:t>
            </w:r>
            <w:r>
              <w:rPr>
                <w:rFonts w:hint="eastAsia"/>
                <w:b/>
                <w:bCs/>
                <w:color w:val="auto"/>
              </w:rPr>
              <w:t>、环境风险分析</w:t>
            </w:r>
          </w:p>
          <w:p w14:paraId="1A8F4184">
            <w:pPr>
              <w:pStyle w:val="49"/>
              <w:ind w:firstLine="480"/>
              <w:jc w:val="both"/>
              <w:rPr>
                <w:color w:val="auto"/>
                <w:szCs w:val="24"/>
              </w:rPr>
            </w:pPr>
            <w:r>
              <w:rPr>
                <w:rFonts w:hint="eastAsia"/>
                <w:color w:val="auto"/>
                <w:szCs w:val="24"/>
              </w:rPr>
              <w:t>（1）地表水环境风险分析</w:t>
            </w:r>
          </w:p>
          <w:p w14:paraId="32A038DE">
            <w:pPr>
              <w:pStyle w:val="49"/>
              <w:ind w:firstLine="480"/>
              <w:jc w:val="both"/>
              <w:rPr>
                <w:color w:val="auto"/>
                <w:szCs w:val="24"/>
              </w:rPr>
            </w:pPr>
            <w:r>
              <w:rPr>
                <w:rFonts w:hint="eastAsia"/>
                <w:color w:val="auto"/>
                <w:szCs w:val="24"/>
              </w:rPr>
              <w:t>本项目环境风险潜势为I，环境风险进行简单分析。项目污水处理站若因机械设施或电力故障而造成污水处理站处理设施不能正常运行时，废水无法满足《医疗机构水污染物排放标准》（GB18466-2005）表2中预处理标准及《污水排入城镇下水道水质标准》（GB/T31962-2015）表1中A级标准中较严格的排放标准要求，即发生事故排放，事故排放污染物质浓度即为污水中污染物质产生浓度。项目废水发生事故排放时会加大污染负荷，尤其是本项目废水带有大量病原微生物，直接排放到污水管网会使进入华林镇集镇污水处理厂的污水含致病菌。</w:t>
            </w:r>
          </w:p>
          <w:p w14:paraId="198384BF">
            <w:pPr>
              <w:pStyle w:val="49"/>
              <w:ind w:firstLine="480"/>
              <w:jc w:val="both"/>
              <w:rPr>
                <w:color w:val="auto"/>
                <w:szCs w:val="24"/>
              </w:rPr>
            </w:pPr>
            <w:r>
              <w:rPr>
                <w:rFonts w:hint="eastAsia"/>
                <w:color w:val="auto"/>
                <w:szCs w:val="24"/>
              </w:rPr>
              <w:t>根据《医院污水处理工程技术规范》（HJ2029-2013）中12.4.1要求，非传染性医院污水处理工程应急事故池容积不小于日排放量的30%，项目废水日排放量为</w:t>
            </w:r>
            <w:r>
              <w:rPr>
                <w:rFonts w:hint="eastAsia"/>
                <w:color w:val="auto"/>
                <w:szCs w:val="24"/>
                <w:lang w:eastAsia="zh-CN"/>
              </w:rPr>
              <w:t>9.5436</w:t>
            </w:r>
            <w:r>
              <w:rPr>
                <w:rFonts w:hint="eastAsia"/>
                <w:color w:val="auto"/>
                <w:szCs w:val="24"/>
              </w:rPr>
              <w:t>m</w:t>
            </w:r>
            <w:r>
              <w:rPr>
                <w:rFonts w:hint="eastAsia"/>
                <w:color w:val="auto"/>
                <w:szCs w:val="24"/>
                <w:vertAlign w:val="superscript"/>
              </w:rPr>
              <w:t>3</w:t>
            </w:r>
            <w:r>
              <w:rPr>
                <w:rFonts w:hint="eastAsia"/>
                <w:color w:val="auto"/>
                <w:szCs w:val="24"/>
              </w:rPr>
              <w:t>/d，因此项目应在一体化污水处理设备附近设置1个不小于3m</w:t>
            </w:r>
            <w:r>
              <w:rPr>
                <w:rFonts w:hint="eastAsia"/>
                <w:color w:val="auto"/>
                <w:szCs w:val="24"/>
                <w:vertAlign w:val="superscript"/>
              </w:rPr>
              <w:t>3</w:t>
            </w:r>
            <w:r>
              <w:rPr>
                <w:rFonts w:hint="eastAsia"/>
                <w:color w:val="auto"/>
                <w:szCs w:val="24"/>
              </w:rPr>
              <w:t>废水事故池，位于项目污水处理站附近，用于存储事故状态废水。在出现机械故障等不良情况时，先将事故废水收集于清水池内，待污水处理站正常工作后再经污水处理站处理后进入污水管网，经过处理后的事故污水对周围水环境影响不大。</w:t>
            </w:r>
          </w:p>
          <w:p w14:paraId="0E0E03A8">
            <w:pPr>
              <w:pStyle w:val="49"/>
              <w:ind w:firstLine="480"/>
              <w:rPr>
                <w:color w:val="auto"/>
                <w:szCs w:val="24"/>
              </w:rPr>
            </w:pPr>
            <w:r>
              <w:rPr>
                <w:rFonts w:hint="eastAsia"/>
                <w:color w:val="auto"/>
                <w:szCs w:val="24"/>
              </w:rPr>
              <w:t>综上所述，建设单位只要加强废水处理设施运行管理，并做好废水处理设施相关防渗措施，加强对操作人员的岗位培训，同时对有毒、有害废水进行合理的管理与防治，确保污水稳定达标排放，杜绝事故性排放，建立健全应急预案体系、环保管理机制和各项环保规章制度，落实岗位环保责任制，加强防范工作，防止事故排放导致环境问题，综上，项目在采取相应应急措施后，风险可控，对地表水环境影响较小。</w:t>
            </w:r>
          </w:p>
          <w:p w14:paraId="27E41C17">
            <w:pPr>
              <w:pStyle w:val="49"/>
              <w:ind w:firstLine="480"/>
              <w:rPr>
                <w:color w:val="auto"/>
                <w:szCs w:val="24"/>
              </w:rPr>
            </w:pPr>
            <w:r>
              <w:rPr>
                <w:rFonts w:hint="eastAsia"/>
                <w:color w:val="auto"/>
                <w:szCs w:val="24"/>
              </w:rPr>
              <w:t>（2）地下水环境风险分析</w:t>
            </w:r>
          </w:p>
          <w:p w14:paraId="43CF3AE4">
            <w:pPr>
              <w:pStyle w:val="49"/>
              <w:ind w:firstLine="480"/>
              <w:rPr>
                <w:color w:val="auto"/>
                <w:szCs w:val="24"/>
              </w:rPr>
            </w:pPr>
            <w:r>
              <w:rPr>
                <w:rFonts w:hint="eastAsia"/>
                <w:color w:val="auto"/>
                <w:szCs w:val="24"/>
              </w:rPr>
              <w:t>本项目环境风险潜势为I，环境风险进行简单分析。医疗废物中可能存在传染性病菌、病毒、化学污染物等有害物质，由于医疗废物具有空间污染、急性传染和潜伏性污染等特征，其病毒、病菌的危害性是普通生活垃圾的几十、几百甚至上千倍，且基本没有回收再利用的价值。医疗废物残留及衍生的大量病菌是十分有害有毒的物质，如果不经分类收集等有效处理的话，很容易引起各种疾病的传播和蔓延。例如，如果项目医疗废物和生活垃圾混合进行填埋或回收加工，对大气环境和地下水可能造成一定的影响。</w:t>
            </w:r>
          </w:p>
          <w:p w14:paraId="2769F7C5">
            <w:pPr>
              <w:pStyle w:val="49"/>
              <w:ind w:firstLine="480"/>
              <w:rPr>
                <w:color w:val="auto"/>
                <w:szCs w:val="24"/>
              </w:rPr>
            </w:pPr>
            <w:r>
              <w:rPr>
                <w:rFonts w:hint="eastAsia"/>
                <w:color w:val="auto"/>
                <w:szCs w:val="24"/>
              </w:rPr>
              <w:t>结合建设项目各区域等泄露可能进入地下水环境污染量，划分污染防治区，分为重点防渗区和一般防渗区。</w:t>
            </w:r>
          </w:p>
          <w:p w14:paraId="09EA9E3F">
            <w:pPr>
              <w:pStyle w:val="49"/>
              <w:numPr>
                <w:ilvl w:val="0"/>
                <w:numId w:val="0"/>
              </w:numPr>
              <w:ind w:leftChars="200"/>
              <w:rPr>
                <w:rFonts w:hint="eastAsia"/>
                <w:color w:val="auto"/>
                <w:lang w:val="en-US" w:eastAsia="zh-CN"/>
              </w:rPr>
            </w:pPr>
            <w:r>
              <w:rPr>
                <w:rFonts w:hint="eastAsia"/>
                <w:color w:val="auto"/>
                <w:lang w:val="en-US" w:eastAsia="zh-CN"/>
              </w:rPr>
              <w:t>（3）大气环境风险分析</w:t>
            </w:r>
          </w:p>
          <w:p w14:paraId="4DDF15C6">
            <w:pPr>
              <w:pStyle w:val="49"/>
              <w:numPr>
                <w:ilvl w:val="0"/>
                <w:numId w:val="0"/>
              </w:numPr>
              <w:ind w:firstLine="480" w:firstLineChars="200"/>
              <w:rPr>
                <w:rFonts w:hint="default"/>
                <w:color w:val="auto"/>
                <w:lang w:val="en-US" w:eastAsia="zh-CN"/>
              </w:rPr>
            </w:pPr>
            <w:r>
              <w:rPr>
                <w:rFonts w:hint="eastAsia"/>
                <w:color w:val="auto"/>
                <w:lang w:val="en-US" w:eastAsia="zh-CN"/>
              </w:rPr>
              <w:t>污水处理站在其运行过程中会产生一定的恶臭气体，这些气体主要来源于污水处理的各个环节，尤其是调节池和污泥处理单元。这些气体中包含的气态污染物，如氨、硫化氢、甲硫醇等，运行过程中，若维护不当，不仅会污染大气环境，还可能对周边居民的日常生活造成不利影响。恶臭气体的存在会降低空气质量，对周边居民的生活质量造成负面影响。长期暴露在恶臭气体中，人们可能会出现心理压力增加、失眠、厌食、情绪异常等健康问题。此外，恶臭物质还可能影响绿化带植被生长。</w:t>
            </w:r>
          </w:p>
          <w:p w14:paraId="001838D3">
            <w:pPr>
              <w:pStyle w:val="49"/>
              <w:ind w:firstLine="482"/>
              <w:rPr>
                <w:color w:val="auto"/>
              </w:rPr>
            </w:pPr>
            <w:r>
              <w:rPr>
                <w:b/>
                <w:bCs/>
                <w:color w:val="auto"/>
              </w:rPr>
              <w:t>5</w:t>
            </w:r>
            <w:r>
              <w:rPr>
                <w:rFonts w:hint="eastAsia"/>
                <w:b/>
                <w:bCs/>
                <w:color w:val="auto"/>
              </w:rPr>
              <w:t>、环境风险防范措施</w:t>
            </w:r>
          </w:p>
          <w:p w14:paraId="3F6C44FC">
            <w:pPr>
              <w:pStyle w:val="49"/>
              <w:ind w:firstLine="480"/>
              <w:jc w:val="both"/>
              <w:rPr>
                <w:color w:val="auto"/>
              </w:rPr>
            </w:pPr>
            <w:r>
              <w:rPr>
                <w:rFonts w:hint="eastAsia"/>
                <w:color w:val="auto"/>
                <w:szCs w:val="24"/>
                <w:lang w:eastAsia="zh-CN"/>
              </w:rPr>
              <w:t>（</w:t>
            </w:r>
            <w:r>
              <w:rPr>
                <w:rFonts w:hint="eastAsia"/>
                <w:color w:val="auto"/>
                <w:szCs w:val="24"/>
                <w:lang w:val="en-US" w:eastAsia="zh-CN"/>
              </w:rPr>
              <w:t>1</w:t>
            </w:r>
            <w:r>
              <w:rPr>
                <w:rFonts w:hint="eastAsia"/>
                <w:color w:val="auto"/>
                <w:szCs w:val="24"/>
                <w:lang w:eastAsia="zh-CN"/>
              </w:rPr>
              <w:t>）</w:t>
            </w:r>
            <w:r>
              <w:rPr>
                <w:rFonts w:hint="eastAsia"/>
                <w:color w:val="auto"/>
                <w:szCs w:val="24"/>
              </w:rPr>
              <w:t>地表水环境</w:t>
            </w:r>
          </w:p>
          <w:p w14:paraId="19BB4525">
            <w:pPr>
              <w:pStyle w:val="49"/>
              <w:ind w:firstLine="480"/>
              <w:rPr>
                <w:color w:val="auto"/>
                <w:szCs w:val="24"/>
              </w:rPr>
            </w:pPr>
            <w:r>
              <w:rPr>
                <w:rFonts w:hint="eastAsia"/>
                <w:color w:val="auto"/>
                <w:szCs w:val="24"/>
              </w:rPr>
              <w:t>①加强污水处理设施设备、管线、阀门等设备元器件的维护保养，对系统的薄弱环节如消毒设备等易出故障的地方，加强检查、维护保养，及时更新。对处理设备故障要及时抢修，防止因处理设备故障抢修不及时而造成污水超标排放；</w:t>
            </w:r>
          </w:p>
          <w:p w14:paraId="2C0E9370">
            <w:pPr>
              <w:pStyle w:val="49"/>
              <w:ind w:firstLine="480"/>
              <w:rPr>
                <w:color w:val="auto"/>
                <w:szCs w:val="24"/>
              </w:rPr>
            </w:pPr>
            <w:r>
              <w:rPr>
                <w:rFonts w:hint="eastAsia"/>
                <w:color w:val="auto"/>
                <w:szCs w:val="24"/>
              </w:rPr>
              <w:t>②污水处理设施设备要合理配电，防止因停电造成污水超标排放；</w:t>
            </w:r>
          </w:p>
          <w:p w14:paraId="79461A94">
            <w:pPr>
              <w:pStyle w:val="49"/>
              <w:ind w:firstLine="480"/>
              <w:rPr>
                <w:color w:val="auto"/>
                <w:szCs w:val="24"/>
              </w:rPr>
            </w:pPr>
            <w:r>
              <w:rPr>
                <w:rFonts w:hint="eastAsia"/>
                <w:color w:val="auto"/>
                <w:szCs w:val="24"/>
              </w:rPr>
              <w:t>③项目应配套建设完善的排水系统和切换系统，以应对因管道破裂、泵设备损坏或失效、人为操作失误等事故，确保事故污水全部收集至事故池暂存，待事故结束后妥善处理；</w:t>
            </w:r>
          </w:p>
          <w:p w14:paraId="0B4491DA">
            <w:pPr>
              <w:pStyle w:val="49"/>
              <w:ind w:firstLine="480"/>
              <w:jc w:val="both"/>
              <w:rPr>
                <w:color w:val="auto"/>
                <w:szCs w:val="24"/>
              </w:rPr>
            </w:pPr>
            <w:r>
              <w:rPr>
                <w:rFonts w:hint="eastAsia"/>
                <w:color w:val="auto"/>
                <w:szCs w:val="24"/>
              </w:rPr>
              <w:t>④一旦出现非正常情况，操作人员应立即启动废水回流至事故池，关闭废水排放口的阀门。查找原因，及时抢修，待系统正常运行达标后方可开启排放口阀门；</w:t>
            </w:r>
          </w:p>
          <w:p w14:paraId="21EE7730">
            <w:pPr>
              <w:pStyle w:val="49"/>
              <w:ind w:firstLine="480"/>
              <w:jc w:val="both"/>
              <w:rPr>
                <w:color w:val="auto"/>
                <w:szCs w:val="24"/>
              </w:rPr>
            </w:pPr>
            <w:r>
              <w:rPr>
                <w:rFonts w:hint="eastAsia"/>
                <w:color w:val="auto"/>
                <w:szCs w:val="24"/>
              </w:rPr>
              <w:t>⑤加强对操作人员的岗位培训，建立健全的环保管理机制和各项环保规章制度，落实岗位环保责任制，加强环境风险防范工作，防止事故排放导致环境问题；</w:t>
            </w:r>
          </w:p>
          <w:p w14:paraId="7265E80C">
            <w:pPr>
              <w:pStyle w:val="49"/>
              <w:ind w:firstLine="480"/>
              <w:jc w:val="both"/>
              <w:rPr>
                <w:rFonts w:hint="default" w:eastAsia="宋体"/>
                <w:color w:val="auto"/>
                <w:szCs w:val="24"/>
                <w:lang w:val="en-US" w:eastAsia="zh-CN"/>
              </w:rPr>
            </w:pPr>
            <w:r>
              <w:rPr>
                <w:rFonts w:hint="eastAsia"/>
                <w:color w:val="auto"/>
                <w:szCs w:val="24"/>
                <w:lang w:val="en-US" w:eastAsia="zh-CN"/>
              </w:rPr>
              <w:t>（2）地下水环境</w:t>
            </w:r>
          </w:p>
          <w:p w14:paraId="7DC34F4B">
            <w:pPr>
              <w:pStyle w:val="49"/>
              <w:ind w:firstLine="480"/>
              <w:jc w:val="both"/>
              <w:rPr>
                <w:color w:val="auto"/>
                <w:szCs w:val="24"/>
              </w:rPr>
            </w:pPr>
            <w:r>
              <w:rPr>
                <w:rFonts w:hint="eastAsia"/>
                <w:color w:val="auto"/>
                <w:szCs w:val="24"/>
                <w:lang w:val="en-US" w:eastAsia="zh-CN"/>
              </w:rPr>
              <w:t>①</w:t>
            </w:r>
            <w:r>
              <w:rPr>
                <w:rFonts w:hint="eastAsia"/>
                <w:color w:val="auto"/>
                <w:szCs w:val="24"/>
              </w:rPr>
              <w:t>医疗废物处置标准应按照《医疗废物管理条例》中华人民共和国国务院令（第380号）、《医疗废物集中处置技术规范（试行）》（环发[2003]206号）、《危险废物贮存污染控制标准》（GB18597-20</w:t>
            </w:r>
            <w:r>
              <w:rPr>
                <w:color w:val="auto"/>
                <w:szCs w:val="24"/>
              </w:rPr>
              <w:t>23</w:t>
            </w:r>
            <w:r>
              <w:rPr>
                <w:rFonts w:hint="eastAsia"/>
                <w:color w:val="auto"/>
                <w:szCs w:val="24"/>
              </w:rPr>
              <w:t>）、《医疗机构水污染物排放标准》（GB18466-2005）的污泥控制与处置要求；</w:t>
            </w:r>
          </w:p>
          <w:p w14:paraId="0FD9596B">
            <w:pPr>
              <w:pStyle w:val="49"/>
              <w:ind w:firstLine="480"/>
              <w:rPr>
                <w:color w:val="auto"/>
                <w:szCs w:val="24"/>
              </w:rPr>
            </w:pPr>
            <w:r>
              <w:rPr>
                <w:rFonts w:hint="eastAsia"/>
                <w:color w:val="auto"/>
                <w:szCs w:val="24"/>
                <w:lang w:val="en-US" w:eastAsia="zh-CN"/>
              </w:rPr>
              <w:t>②</w:t>
            </w:r>
            <w:r>
              <w:rPr>
                <w:rFonts w:hint="eastAsia"/>
                <w:color w:val="auto"/>
                <w:szCs w:val="24"/>
              </w:rPr>
              <w:t>对项目产生的医疗废物进行科学的分类收集；</w:t>
            </w:r>
          </w:p>
          <w:p w14:paraId="747DDF7E">
            <w:pPr>
              <w:pStyle w:val="49"/>
              <w:ind w:firstLine="480"/>
              <w:rPr>
                <w:color w:val="auto"/>
                <w:szCs w:val="24"/>
              </w:rPr>
            </w:pPr>
            <w:r>
              <w:rPr>
                <w:rFonts w:hint="eastAsia"/>
                <w:color w:val="auto"/>
                <w:szCs w:val="24"/>
                <w:lang w:val="en-US" w:eastAsia="zh-CN"/>
              </w:rPr>
              <w:t>③</w:t>
            </w:r>
            <w:r>
              <w:rPr>
                <w:rFonts w:hint="eastAsia"/>
                <w:color w:val="auto"/>
                <w:szCs w:val="24"/>
              </w:rPr>
              <w:t>建立医疗废物暂时贮存设施、设备，不得露天存放医疗废物；医疗废物转交出去后，应当对暂时贮存地点、设施及时进行清洁和消毒处理。对于医疗废物，禁止将其在非收集、非暂时贮存地点倾倒、堆放；禁止将医疗废物混入其它废物和生活垃圾；禁止在内部运送过程中丢弃医疗废物；</w:t>
            </w:r>
          </w:p>
          <w:p w14:paraId="707EB690">
            <w:pPr>
              <w:pStyle w:val="49"/>
              <w:ind w:firstLine="480"/>
              <w:rPr>
                <w:rFonts w:hint="eastAsia"/>
                <w:color w:val="auto"/>
                <w:szCs w:val="24"/>
                <w:lang w:val="en-US" w:eastAsia="zh-CN"/>
              </w:rPr>
            </w:pPr>
            <w:r>
              <w:rPr>
                <w:rFonts w:hint="eastAsia"/>
                <w:color w:val="auto"/>
                <w:szCs w:val="24"/>
                <w:lang w:val="en-US" w:eastAsia="zh-CN"/>
              </w:rPr>
              <w:t>（3）大气环境</w:t>
            </w:r>
          </w:p>
          <w:p w14:paraId="1A004911">
            <w:pPr>
              <w:pStyle w:val="49"/>
              <w:ind w:firstLine="480"/>
              <w:rPr>
                <w:rFonts w:hint="default"/>
                <w:color w:val="auto"/>
                <w:lang w:val="en-US" w:eastAsia="zh-CN"/>
              </w:rPr>
            </w:pPr>
            <w:r>
              <w:rPr>
                <w:rFonts w:hint="eastAsia"/>
                <w:color w:val="auto"/>
                <w:szCs w:val="24"/>
                <w:lang w:val="en-US" w:eastAsia="zh-CN"/>
              </w:rPr>
              <w:t>污水处理站在运行过程中要加强污泥清运管理，及时清淤，防止臭气散发</w:t>
            </w:r>
            <w:r>
              <w:rPr>
                <w:rFonts w:hint="eastAsia"/>
                <w:color w:val="auto"/>
                <w:lang w:eastAsia="zh-CN"/>
              </w:rPr>
              <w:t>；</w:t>
            </w:r>
            <w:r>
              <w:rPr>
                <w:rFonts w:hint="eastAsia"/>
                <w:color w:val="auto"/>
                <w:lang w:val="en-US" w:eastAsia="zh-CN"/>
              </w:rPr>
              <w:t>同时，污水处理站设施的相关操作人员应严格按照操作规程进行操作；每天对污水处理站进行巡检，如：检查污水处理站是否密闭、定期投加除臭剂；发现问题及时解决，并做好巡检记录；在污水处理站周围种植吸附性强的植物，以降低和减缓恶臭污染影响</w:t>
            </w:r>
          </w:p>
          <w:p w14:paraId="62708E82">
            <w:pPr>
              <w:pStyle w:val="49"/>
              <w:ind w:firstLine="482"/>
              <w:rPr>
                <w:color w:val="auto"/>
                <w:szCs w:val="24"/>
              </w:rPr>
            </w:pPr>
            <w:r>
              <w:rPr>
                <w:b/>
                <w:bCs/>
                <w:color w:val="auto"/>
              </w:rPr>
              <w:t>6</w:t>
            </w:r>
            <w:r>
              <w:rPr>
                <w:rFonts w:hint="eastAsia"/>
                <w:b/>
                <w:bCs/>
                <w:color w:val="auto"/>
              </w:rPr>
              <w:t>、环境风险分析结论</w:t>
            </w:r>
          </w:p>
          <w:p w14:paraId="58D27B74">
            <w:pPr>
              <w:pStyle w:val="49"/>
              <w:ind w:firstLine="480"/>
              <w:rPr>
                <w:color w:val="auto"/>
                <w:szCs w:val="24"/>
              </w:rPr>
            </w:pPr>
            <w:r>
              <w:rPr>
                <w:rFonts w:hint="eastAsia"/>
                <w:color w:val="auto"/>
                <w:szCs w:val="24"/>
              </w:rPr>
              <w:t>在落实各项风险防范措施后，项目可能发生的环境风险事故概率较小，事故后果影响较小；项目建成后建设单位应委托相关专业技术机构编制编制突发环境事件应急预案，并报所在地环境保护主管部门备案，并定期培训和应急演练。</w:t>
            </w:r>
          </w:p>
          <w:p w14:paraId="6FF3CB4C">
            <w:pPr>
              <w:pStyle w:val="49"/>
              <w:ind w:firstLine="480"/>
              <w:rPr>
                <w:color w:val="auto"/>
                <w:szCs w:val="24"/>
              </w:rPr>
            </w:pPr>
            <w:r>
              <w:rPr>
                <w:rFonts w:hint="eastAsia"/>
                <w:color w:val="auto"/>
                <w:szCs w:val="24"/>
              </w:rPr>
              <w:t>项目建设及运行中，一定要特别加强对风险源的管理与维护，并应严格执行环评所提出的风险防范及应急措施，制定风险应急预案并定期进行演练，最大限度地杜绝突发性泄露事故发生，并且在事故发生后采取迅速有效控制措施，防止事故蔓延、扩大，保护区域内人民群众生命财产安全。</w:t>
            </w:r>
          </w:p>
          <w:p w14:paraId="412D33EA">
            <w:pPr>
              <w:pStyle w:val="49"/>
              <w:ind w:firstLine="480"/>
              <w:rPr>
                <w:color w:val="auto"/>
                <w:szCs w:val="24"/>
              </w:rPr>
            </w:pPr>
            <w:r>
              <w:rPr>
                <w:rFonts w:hint="eastAsia"/>
                <w:color w:val="auto"/>
                <w:szCs w:val="24"/>
              </w:rPr>
              <w:t>综上所述，在采取措施后，项目存在的环境风险可以得到控制，对人群健康及财产安全造成的损失在人们接受范围内。</w:t>
            </w:r>
          </w:p>
          <w:p w14:paraId="724C26B3">
            <w:pPr>
              <w:pStyle w:val="49"/>
              <w:ind w:firstLine="0" w:firstLineChars="0"/>
              <w:jc w:val="center"/>
              <w:rPr>
                <w:b/>
                <w:bCs/>
                <w:color w:val="auto"/>
                <w:kern w:val="2"/>
                <w:sz w:val="21"/>
                <w:szCs w:val="21"/>
              </w:rPr>
            </w:pPr>
            <w:r>
              <w:rPr>
                <w:rFonts w:hint="eastAsia"/>
                <w:b/>
                <w:bCs/>
                <w:color w:val="auto"/>
                <w:kern w:val="2"/>
                <w:sz w:val="21"/>
                <w:szCs w:val="21"/>
              </w:rPr>
              <w:t>表4</w:t>
            </w:r>
            <w:r>
              <w:rPr>
                <w:rFonts w:hint="eastAsia"/>
                <w:b/>
                <w:bCs/>
                <w:color w:val="auto"/>
                <w:kern w:val="2"/>
                <w:sz w:val="21"/>
                <w:szCs w:val="21"/>
                <w:lang w:val="en-US" w:eastAsia="zh-CN"/>
              </w:rPr>
              <w:t>-24</w:t>
            </w:r>
            <w:r>
              <w:rPr>
                <w:rFonts w:hint="eastAsia"/>
                <w:b/>
                <w:bCs/>
                <w:color w:val="auto"/>
                <w:kern w:val="2"/>
                <w:sz w:val="21"/>
                <w:szCs w:val="21"/>
              </w:rPr>
              <w:t xml:space="preserve">  建设项目环境风险简单分析内容表</w:t>
            </w:r>
          </w:p>
          <w:tbl>
            <w:tblPr>
              <w:tblStyle w:val="17"/>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1580"/>
              <w:gridCol w:w="2149"/>
              <w:gridCol w:w="1379"/>
              <w:gridCol w:w="2251"/>
            </w:tblGrid>
            <w:tr w14:paraId="3EE463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158" w:type="dxa"/>
                  <w:vAlign w:val="center"/>
                </w:tcPr>
                <w:p w14:paraId="265724D2">
                  <w:pPr>
                    <w:autoSpaceDE w:val="0"/>
                    <w:autoSpaceDN w:val="0"/>
                    <w:jc w:val="center"/>
                    <w:rPr>
                      <w:b/>
                      <w:bCs/>
                      <w:color w:val="auto"/>
                    </w:rPr>
                  </w:pPr>
                  <w:r>
                    <w:rPr>
                      <w:rFonts w:hint="eastAsia"/>
                      <w:b/>
                      <w:bCs/>
                      <w:color w:val="auto"/>
                    </w:rPr>
                    <w:t>建设项目名称</w:t>
                  </w:r>
                </w:p>
              </w:tc>
              <w:tc>
                <w:tcPr>
                  <w:tcW w:w="7313" w:type="dxa"/>
                  <w:gridSpan w:val="4"/>
                  <w:vAlign w:val="center"/>
                </w:tcPr>
                <w:p w14:paraId="29FFD231">
                  <w:pPr>
                    <w:autoSpaceDE w:val="0"/>
                    <w:autoSpaceDN w:val="0"/>
                    <w:jc w:val="center"/>
                    <w:rPr>
                      <w:color w:val="auto"/>
                    </w:rPr>
                  </w:pPr>
                  <w:r>
                    <w:rPr>
                      <w:rFonts w:hint="eastAsia"/>
                      <w:color w:val="auto"/>
                    </w:rPr>
                    <w:t>庐山市乡镇卫生院整体改造提升项目（华林镇卫生院）</w:t>
                  </w:r>
                </w:p>
              </w:tc>
            </w:tr>
            <w:tr w14:paraId="7A2266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605" w:hRule="atLeast"/>
                <w:jc w:val="center"/>
              </w:trPr>
              <w:tc>
                <w:tcPr>
                  <w:tcW w:w="1158" w:type="dxa"/>
                  <w:vAlign w:val="center"/>
                </w:tcPr>
                <w:p w14:paraId="70CAA5F3">
                  <w:pPr>
                    <w:autoSpaceDE w:val="0"/>
                    <w:autoSpaceDN w:val="0"/>
                    <w:jc w:val="center"/>
                    <w:rPr>
                      <w:b/>
                      <w:bCs/>
                      <w:color w:val="auto"/>
                    </w:rPr>
                  </w:pPr>
                  <w:r>
                    <w:rPr>
                      <w:rFonts w:hint="eastAsia"/>
                      <w:b/>
                      <w:bCs/>
                      <w:color w:val="auto"/>
                    </w:rPr>
                    <w:t>建设地点</w:t>
                  </w:r>
                </w:p>
              </w:tc>
              <w:tc>
                <w:tcPr>
                  <w:tcW w:w="1570" w:type="dxa"/>
                  <w:vAlign w:val="center"/>
                </w:tcPr>
                <w:p w14:paraId="263D0DBB">
                  <w:pPr>
                    <w:autoSpaceDE w:val="0"/>
                    <w:autoSpaceDN w:val="0"/>
                    <w:jc w:val="center"/>
                    <w:rPr>
                      <w:color w:val="auto"/>
                    </w:rPr>
                  </w:pPr>
                  <w:r>
                    <w:rPr>
                      <w:rFonts w:hint="eastAsia"/>
                      <w:color w:val="auto"/>
                    </w:rPr>
                    <w:t>江西省</w:t>
                  </w:r>
                </w:p>
              </w:tc>
              <w:tc>
                <w:tcPr>
                  <w:tcW w:w="2136" w:type="dxa"/>
                  <w:vAlign w:val="center"/>
                </w:tcPr>
                <w:p w14:paraId="0788FC92">
                  <w:pPr>
                    <w:autoSpaceDE w:val="0"/>
                    <w:autoSpaceDN w:val="0"/>
                    <w:jc w:val="center"/>
                    <w:rPr>
                      <w:color w:val="auto"/>
                    </w:rPr>
                  </w:pPr>
                  <w:r>
                    <w:rPr>
                      <w:rFonts w:hint="eastAsia"/>
                      <w:color w:val="auto"/>
                    </w:rPr>
                    <w:t>九江市</w:t>
                  </w:r>
                </w:p>
              </w:tc>
              <w:tc>
                <w:tcPr>
                  <w:tcW w:w="1370" w:type="dxa"/>
                  <w:vAlign w:val="center"/>
                </w:tcPr>
                <w:p w14:paraId="367E8FAD">
                  <w:pPr>
                    <w:autoSpaceDE w:val="0"/>
                    <w:autoSpaceDN w:val="0"/>
                    <w:jc w:val="center"/>
                    <w:rPr>
                      <w:color w:val="auto"/>
                    </w:rPr>
                  </w:pPr>
                  <w:r>
                    <w:rPr>
                      <w:rFonts w:hint="eastAsia"/>
                      <w:color w:val="auto"/>
                    </w:rPr>
                    <w:t>庐山市</w:t>
                  </w:r>
                </w:p>
              </w:tc>
              <w:tc>
                <w:tcPr>
                  <w:tcW w:w="2237" w:type="dxa"/>
                  <w:vAlign w:val="center"/>
                </w:tcPr>
                <w:p w14:paraId="18770049">
                  <w:pPr>
                    <w:autoSpaceDE w:val="0"/>
                    <w:autoSpaceDN w:val="0"/>
                    <w:jc w:val="center"/>
                    <w:rPr>
                      <w:rFonts w:hint="eastAsia" w:eastAsia="宋体"/>
                      <w:color w:val="auto"/>
                      <w:lang w:eastAsia="zh-CN"/>
                    </w:rPr>
                  </w:pPr>
                  <w:r>
                    <w:rPr>
                      <w:rFonts w:hint="eastAsia"/>
                      <w:color w:val="auto"/>
                      <w:lang w:eastAsia="zh-CN"/>
                    </w:rPr>
                    <w:t>华林镇华林街西南侧</w:t>
                  </w:r>
                </w:p>
              </w:tc>
            </w:tr>
            <w:tr w14:paraId="171AAC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158" w:type="dxa"/>
                  <w:vAlign w:val="center"/>
                </w:tcPr>
                <w:p w14:paraId="2219437D">
                  <w:pPr>
                    <w:autoSpaceDE w:val="0"/>
                    <w:autoSpaceDN w:val="0"/>
                    <w:jc w:val="center"/>
                    <w:rPr>
                      <w:b/>
                      <w:bCs/>
                      <w:color w:val="auto"/>
                    </w:rPr>
                  </w:pPr>
                  <w:r>
                    <w:rPr>
                      <w:rFonts w:hint="eastAsia"/>
                      <w:b/>
                      <w:bCs/>
                      <w:color w:val="auto"/>
                    </w:rPr>
                    <w:t>地理坐标</w:t>
                  </w:r>
                </w:p>
              </w:tc>
              <w:tc>
                <w:tcPr>
                  <w:tcW w:w="1570" w:type="dxa"/>
                  <w:vAlign w:val="center"/>
                </w:tcPr>
                <w:p w14:paraId="13309012">
                  <w:pPr>
                    <w:autoSpaceDE w:val="0"/>
                    <w:autoSpaceDN w:val="0"/>
                    <w:jc w:val="center"/>
                    <w:rPr>
                      <w:color w:val="auto"/>
                    </w:rPr>
                  </w:pPr>
                  <w:r>
                    <w:rPr>
                      <w:rFonts w:hint="eastAsia"/>
                      <w:color w:val="auto"/>
                    </w:rPr>
                    <w:t>经度</w:t>
                  </w:r>
                </w:p>
              </w:tc>
              <w:tc>
                <w:tcPr>
                  <w:tcW w:w="2136" w:type="dxa"/>
                  <w:vAlign w:val="center"/>
                </w:tcPr>
                <w:p w14:paraId="10097A23">
                  <w:pPr>
                    <w:autoSpaceDE w:val="0"/>
                    <w:autoSpaceDN w:val="0"/>
                    <w:jc w:val="center"/>
                    <w:rPr>
                      <w:color w:val="auto"/>
                    </w:rPr>
                  </w:pPr>
                  <w:r>
                    <w:rPr>
                      <w:rFonts w:hint="eastAsia"/>
                      <w:color w:val="auto"/>
                    </w:rPr>
                    <w:t>115°56′</w:t>
                  </w:r>
                  <w:r>
                    <w:rPr>
                      <w:rFonts w:hint="eastAsia"/>
                      <w:color w:val="auto"/>
                      <w:lang w:eastAsia="zh-CN"/>
                    </w:rPr>
                    <w:t>57.709</w:t>
                  </w:r>
                  <w:r>
                    <w:rPr>
                      <w:rFonts w:hint="eastAsia"/>
                      <w:color w:val="auto"/>
                    </w:rPr>
                    <w:t>"</w:t>
                  </w:r>
                </w:p>
              </w:tc>
              <w:tc>
                <w:tcPr>
                  <w:tcW w:w="1370" w:type="dxa"/>
                  <w:vAlign w:val="center"/>
                </w:tcPr>
                <w:p w14:paraId="44FD4BC5">
                  <w:pPr>
                    <w:autoSpaceDE w:val="0"/>
                    <w:autoSpaceDN w:val="0"/>
                    <w:jc w:val="center"/>
                    <w:rPr>
                      <w:color w:val="auto"/>
                    </w:rPr>
                  </w:pPr>
                  <w:r>
                    <w:rPr>
                      <w:rFonts w:hint="eastAsia"/>
                      <w:color w:val="auto"/>
                    </w:rPr>
                    <w:t>纬度</w:t>
                  </w:r>
                </w:p>
              </w:tc>
              <w:tc>
                <w:tcPr>
                  <w:tcW w:w="2237" w:type="dxa"/>
                  <w:vAlign w:val="center"/>
                </w:tcPr>
                <w:p w14:paraId="64EB27D0">
                  <w:pPr>
                    <w:autoSpaceDE w:val="0"/>
                    <w:autoSpaceDN w:val="0"/>
                    <w:jc w:val="center"/>
                    <w:rPr>
                      <w:color w:val="auto"/>
                    </w:rPr>
                  </w:pPr>
                  <w:r>
                    <w:rPr>
                      <w:rFonts w:hint="eastAsia"/>
                      <w:color w:val="auto"/>
                    </w:rPr>
                    <w:t>29°22′2.946"</w:t>
                  </w:r>
                </w:p>
              </w:tc>
            </w:tr>
            <w:tr w14:paraId="07764F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8" w:type="dxa"/>
                  <w:vAlign w:val="center"/>
                </w:tcPr>
                <w:p w14:paraId="4E8615E1">
                  <w:pPr>
                    <w:autoSpaceDE w:val="0"/>
                    <w:autoSpaceDN w:val="0"/>
                    <w:rPr>
                      <w:b/>
                      <w:bCs/>
                      <w:color w:val="auto"/>
                    </w:rPr>
                  </w:pPr>
                  <w:r>
                    <w:rPr>
                      <w:rFonts w:hint="eastAsia"/>
                      <w:b/>
                      <w:bCs/>
                      <w:color w:val="auto"/>
                    </w:rPr>
                    <w:t>主要危险物质及分布</w:t>
                  </w:r>
                </w:p>
              </w:tc>
              <w:tc>
                <w:tcPr>
                  <w:tcW w:w="7313" w:type="dxa"/>
                  <w:gridSpan w:val="4"/>
                  <w:vAlign w:val="center"/>
                </w:tcPr>
                <w:p w14:paraId="66B42605">
                  <w:pPr>
                    <w:autoSpaceDE w:val="0"/>
                    <w:autoSpaceDN w:val="0"/>
                    <w:jc w:val="center"/>
                    <w:rPr>
                      <w:color w:val="auto"/>
                    </w:rPr>
                  </w:pPr>
                  <w:r>
                    <w:rPr>
                      <w:rFonts w:hint="eastAsia"/>
                      <w:color w:val="auto"/>
                    </w:rPr>
                    <w:t>污水处理站、医废暂存间、药品仓库</w:t>
                  </w:r>
                </w:p>
              </w:tc>
            </w:tr>
            <w:tr w14:paraId="3FA0F7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1158" w:type="dxa"/>
                  <w:vAlign w:val="center"/>
                </w:tcPr>
                <w:p w14:paraId="11F83627">
                  <w:pPr>
                    <w:autoSpaceDE w:val="0"/>
                    <w:autoSpaceDN w:val="0"/>
                    <w:rPr>
                      <w:b/>
                      <w:bCs/>
                      <w:color w:val="auto"/>
                    </w:rPr>
                  </w:pPr>
                  <w:r>
                    <w:rPr>
                      <w:rFonts w:hint="eastAsia"/>
                      <w:b/>
                      <w:bCs/>
                      <w:color w:val="auto"/>
                    </w:rPr>
                    <w:t>环境影响途径及危害后果（大气、地表水、地下水等）</w:t>
                  </w:r>
                </w:p>
              </w:tc>
              <w:tc>
                <w:tcPr>
                  <w:tcW w:w="7313" w:type="dxa"/>
                  <w:gridSpan w:val="4"/>
                  <w:vAlign w:val="center"/>
                </w:tcPr>
                <w:p w14:paraId="6DB4AA24">
                  <w:pPr>
                    <w:autoSpaceDE w:val="0"/>
                    <w:autoSpaceDN w:val="0"/>
                    <w:spacing w:line="360" w:lineRule="auto"/>
                    <w:rPr>
                      <w:color w:val="auto"/>
                    </w:rPr>
                  </w:pPr>
                  <w:r>
                    <w:rPr>
                      <w:rFonts w:hint="eastAsia"/>
                      <w:color w:val="auto"/>
                    </w:rPr>
                    <w:t>①在医疗废水处理设施发生事故时，应采取紧急措施以防止含有病原体的废水排放，确保不会对环境或公共健康造成威胁。</w:t>
                  </w:r>
                </w:p>
                <w:p w14:paraId="0C9FE601">
                  <w:pPr>
                    <w:autoSpaceDE w:val="0"/>
                    <w:autoSpaceDN w:val="0"/>
                    <w:spacing w:line="360" w:lineRule="auto"/>
                    <w:rPr>
                      <w:color w:val="auto"/>
                    </w:rPr>
                  </w:pPr>
                  <w:r>
                    <w:rPr>
                      <w:rFonts w:hint="eastAsia"/>
                      <w:color w:val="auto"/>
                    </w:rPr>
                    <w:t>②检验科在使用氢氧化钠进行废液的酸碱中和时，应严格遵循安全操作规程，以减少氢氧化钠可能带来的腐蚀性风险。</w:t>
                  </w:r>
                </w:p>
                <w:p w14:paraId="138FDBA4">
                  <w:pPr>
                    <w:autoSpaceDE w:val="0"/>
                    <w:autoSpaceDN w:val="0"/>
                    <w:spacing w:line="360" w:lineRule="auto"/>
                    <w:rPr>
                      <w:color w:val="auto"/>
                    </w:rPr>
                  </w:pPr>
                  <w:r>
                    <w:rPr>
                      <w:rFonts w:hint="eastAsia"/>
                      <w:color w:val="auto"/>
                    </w:rPr>
                    <w:t>③在医疗废物的收集、储存和运输过程中，必须采取适当的安全措施，以降低潜在的健康和环境风险。</w:t>
                  </w:r>
                </w:p>
                <w:p w14:paraId="79769DED">
                  <w:pPr>
                    <w:autoSpaceDE w:val="0"/>
                    <w:autoSpaceDN w:val="0"/>
                    <w:spacing w:line="360" w:lineRule="auto"/>
                    <w:rPr>
                      <w:color w:val="auto"/>
                    </w:rPr>
                  </w:pPr>
                  <w:r>
                    <w:rPr>
                      <w:rFonts w:hint="eastAsia"/>
                      <w:color w:val="auto"/>
                    </w:rPr>
                    <w:t>④酒精作为易燃物质，在储存时应严格遵守安全规定，以预防火灾、爆炸和环境污染等安全事故的发生。</w:t>
                  </w:r>
                </w:p>
              </w:tc>
            </w:tr>
            <w:tr w14:paraId="6DDDEF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8" w:type="dxa"/>
                  <w:vAlign w:val="center"/>
                </w:tcPr>
                <w:p w14:paraId="342E71E1">
                  <w:pPr>
                    <w:autoSpaceDE w:val="0"/>
                    <w:autoSpaceDN w:val="0"/>
                    <w:rPr>
                      <w:color w:val="auto"/>
                    </w:rPr>
                  </w:pPr>
                  <w:r>
                    <w:rPr>
                      <w:rFonts w:hint="eastAsia"/>
                      <w:b/>
                      <w:bCs/>
                      <w:color w:val="auto"/>
                    </w:rPr>
                    <w:t>风险防范措施要求</w:t>
                  </w:r>
                </w:p>
              </w:tc>
              <w:tc>
                <w:tcPr>
                  <w:tcW w:w="7313" w:type="dxa"/>
                  <w:gridSpan w:val="4"/>
                  <w:vAlign w:val="center"/>
                </w:tcPr>
                <w:p w14:paraId="7D32AADE">
                  <w:pPr>
                    <w:autoSpaceDE w:val="0"/>
                    <w:autoSpaceDN w:val="0"/>
                    <w:spacing w:line="360" w:lineRule="auto"/>
                    <w:rPr>
                      <w:color w:val="auto"/>
                    </w:rPr>
                  </w:pPr>
                  <w:r>
                    <w:rPr>
                      <w:rFonts w:hint="eastAsia"/>
                      <w:color w:val="auto"/>
                    </w:rPr>
                    <w:t>①加强污水处理设施设备、管线、阀门等设备元器件的维护保养，对系统的薄弱环节如消毒设备等易出故障的地方，加强检查、维护保养，及时更新。对处理设备故障要及时抢修，防止因处理设备故障抢修不及时而造成污水超标排放；</w:t>
                  </w:r>
                </w:p>
                <w:p w14:paraId="59AD0CE3">
                  <w:pPr>
                    <w:autoSpaceDE w:val="0"/>
                    <w:autoSpaceDN w:val="0"/>
                    <w:spacing w:line="360" w:lineRule="auto"/>
                    <w:rPr>
                      <w:color w:val="auto"/>
                    </w:rPr>
                  </w:pPr>
                  <w:r>
                    <w:rPr>
                      <w:rFonts w:hint="eastAsia"/>
                      <w:color w:val="auto"/>
                    </w:rPr>
                    <w:t>②污水处理设施设备要合理配电，防止因停电造成污水超标排放；</w:t>
                  </w:r>
                </w:p>
                <w:p w14:paraId="6B296BFC">
                  <w:pPr>
                    <w:autoSpaceDE w:val="0"/>
                    <w:autoSpaceDN w:val="0"/>
                    <w:spacing w:line="360" w:lineRule="auto"/>
                    <w:rPr>
                      <w:color w:val="auto"/>
                    </w:rPr>
                  </w:pPr>
                  <w:r>
                    <w:rPr>
                      <w:rFonts w:hint="eastAsia"/>
                      <w:color w:val="auto"/>
                    </w:rPr>
                    <w:t>③项目应配套建设完善的排水系统和切换系统，以应对因管道破裂、泵设备损坏或失效、人为操作失误等事故，确保事故污水全部收集至事故池暂存，待事故结束后妥善处理；</w:t>
                  </w:r>
                </w:p>
                <w:p w14:paraId="3C26B5CD">
                  <w:pPr>
                    <w:autoSpaceDE w:val="0"/>
                    <w:autoSpaceDN w:val="0"/>
                    <w:spacing w:line="360" w:lineRule="auto"/>
                    <w:rPr>
                      <w:color w:val="auto"/>
                    </w:rPr>
                  </w:pPr>
                  <w:r>
                    <w:rPr>
                      <w:rFonts w:hint="eastAsia"/>
                      <w:color w:val="auto"/>
                    </w:rPr>
                    <w:t>④一旦出现非正常情况，操作人员应立即启动废水回流至事故池，关闭废水排放口的阀门。查找原因，及时抢修，待系统正常运行达标后方可开启排放口阀门；</w:t>
                  </w:r>
                </w:p>
                <w:p w14:paraId="67A334AE">
                  <w:pPr>
                    <w:autoSpaceDE w:val="0"/>
                    <w:autoSpaceDN w:val="0"/>
                    <w:spacing w:line="360" w:lineRule="auto"/>
                    <w:rPr>
                      <w:color w:val="auto"/>
                    </w:rPr>
                  </w:pPr>
                  <w:r>
                    <w:rPr>
                      <w:rFonts w:hint="eastAsia"/>
                      <w:color w:val="auto"/>
                    </w:rPr>
                    <w:t>⑤加强对操作人员的岗位培训，建立健全的环保管理机制和各项环保规章制度，落实岗位环保责任制，加强环境风险防范工作，防止事故排放导致环境问题；</w:t>
                  </w:r>
                </w:p>
                <w:p w14:paraId="3A4E93DB">
                  <w:pPr>
                    <w:autoSpaceDE w:val="0"/>
                    <w:autoSpaceDN w:val="0"/>
                    <w:spacing w:line="360" w:lineRule="auto"/>
                    <w:rPr>
                      <w:color w:val="auto"/>
                    </w:rPr>
                  </w:pPr>
                  <w:r>
                    <w:rPr>
                      <w:rFonts w:hint="eastAsia"/>
                      <w:color w:val="auto"/>
                    </w:rPr>
                    <w:t>⑥医疗废物处置标准应按照《医疗废物管理条例》中华人民共和国国务院令（第380号）、《医疗废物集中处置技术规范（试行）》（环发[2003]206号）、《危险废物贮存污染控制标准》（GB18597-20</w:t>
                  </w:r>
                  <w:r>
                    <w:rPr>
                      <w:color w:val="auto"/>
                    </w:rPr>
                    <w:t>23</w:t>
                  </w:r>
                  <w:r>
                    <w:rPr>
                      <w:rFonts w:hint="eastAsia"/>
                      <w:color w:val="auto"/>
                    </w:rPr>
                    <w:t>）、《医疗机构水污染物排放标准》（GB18466-2005）的污泥控制与处置要求；</w:t>
                  </w:r>
                </w:p>
                <w:p w14:paraId="7061BA39">
                  <w:pPr>
                    <w:autoSpaceDE w:val="0"/>
                    <w:autoSpaceDN w:val="0"/>
                    <w:spacing w:line="360" w:lineRule="auto"/>
                    <w:rPr>
                      <w:color w:val="auto"/>
                    </w:rPr>
                  </w:pPr>
                  <w:r>
                    <w:rPr>
                      <w:rFonts w:hint="eastAsia"/>
                      <w:color w:val="auto"/>
                    </w:rPr>
                    <w:t>⑦对项目产生的医疗废物进行科学的分类收集；</w:t>
                  </w:r>
                </w:p>
                <w:p w14:paraId="11E2CA27">
                  <w:pPr>
                    <w:autoSpaceDE w:val="0"/>
                    <w:autoSpaceDN w:val="0"/>
                    <w:spacing w:line="360" w:lineRule="auto"/>
                    <w:rPr>
                      <w:color w:val="auto"/>
                    </w:rPr>
                  </w:pPr>
                  <w:r>
                    <w:rPr>
                      <w:rFonts w:hint="eastAsia"/>
                      <w:color w:val="auto"/>
                    </w:rPr>
                    <w:t>⑧建立医疗废物暂时贮存设施、设备，不得露天存放医疗废物；医疗废物转交出去后，应当对暂时贮存地点、设施及时进行清洁和消毒处理。对于医疗废物，禁止将其在非收集、非暂时贮存地点倾倒、堆放；禁止将医疗废物混入其它废物和生活垃圾；禁止在内部运送过程中丢弃医疗废物；</w:t>
                  </w:r>
                </w:p>
                <w:p w14:paraId="1056D5E2">
                  <w:pPr>
                    <w:autoSpaceDE w:val="0"/>
                    <w:autoSpaceDN w:val="0"/>
                    <w:spacing w:line="360" w:lineRule="auto"/>
                    <w:rPr>
                      <w:color w:val="auto"/>
                    </w:rPr>
                  </w:pPr>
                  <w:r>
                    <w:rPr>
                      <w:rFonts w:hint="eastAsia"/>
                      <w:color w:val="auto"/>
                    </w:rPr>
                    <w:t>⑨医药库房贮存物质时，贮存容器、贮存方法、贮存量、贮存环境等必须符合国家有关规定。同时设专职人员加强管理和定期检查。</w:t>
                  </w:r>
                </w:p>
              </w:tc>
            </w:tr>
            <w:tr w14:paraId="018DFB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71" w:type="dxa"/>
                  <w:gridSpan w:val="5"/>
                  <w:vAlign w:val="center"/>
                </w:tcPr>
                <w:p w14:paraId="0EB23FB6">
                  <w:pPr>
                    <w:autoSpaceDE w:val="0"/>
                    <w:autoSpaceDN w:val="0"/>
                    <w:spacing w:line="360" w:lineRule="auto"/>
                    <w:rPr>
                      <w:color w:val="auto"/>
                    </w:rPr>
                  </w:pPr>
                  <w:r>
                    <w:rPr>
                      <w:rFonts w:hint="default" w:ascii="Times New Roman" w:hAnsi="Times New Roman" w:cs="Times New Roman"/>
                      <w:color w:val="auto"/>
                    </w:rPr>
                    <w:t>填表说明（列出项目相关信息及评价说明）：项目风险潜势为Ⅰ，仅进行简单分析，在采取有效的防范措施、制定相应的应急预案的前提下，项目的环境风险可防控。</w:t>
                  </w:r>
                </w:p>
              </w:tc>
            </w:tr>
          </w:tbl>
          <w:p w14:paraId="2842A578">
            <w:pPr>
              <w:adjustRightInd w:val="0"/>
              <w:snapToGrid w:val="0"/>
              <w:spacing w:line="360" w:lineRule="auto"/>
              <w:ind w:firstLine="482" w:firstLineChars="200"/>
              <w:jc w:val="left"/>
              <w:rPr>
                <w:b/>
                <w:bCs/>
                <w:color w:val="auto"/>
                <w:sz w:val="24"/>
              </w:rPr>
            </w:pPr>
            <w:r>
              <w:rPr>
                <w:rFonts w:hint="eastAsia"/>
                <w:b/>
                <w:bCs/>
                <w:color w:val="auto"/>
                <w:sz w:val="24"/>
              </w:rPr>
              <w:t>七、环保投资</w:t>
            </w:r>
          </w:p>
          <w:p w14:paraId="7D778FF2">
            <w:pPr>
              <w:widowControl/>
              <w:spacing w:line="360" w:lineRule="auto"/>
              <w:ind w:firstLine="480" w:firstLineChars="200"/>
              <w:jc w:val="left"/>
              <w:rPr>
                <w:color w:val="auto"/>
                <w:sz w:val="24"/>
              </w:rPr>
            </w:pPr>
            <w:r>
              <w:rPr>
                <w:color w:val="auto"/>
                <w:sz w:val="24"/>
              </w:rPr>
              <w:t>本项目总投资</w:t>
            </w:r>
            <w:r>
              <w:rPr>
                <w:rFonts w:hint="eastAsia"/>
                <w:color w:val="auto"/>
                <w:sz w:val="24"/>
              </w:rPr>
              <w:t>176.31</w:t>
            </w:r>
            <w:r>
              <w:rPr>
                <w:color w:val="auto"/>
                <w:sz w:val="24"/>
              </w:rPr>
              <w:t>万元，环保投资为</w:t>
            </w:r>
            <w:r>
              <w:rPr>
                <w:rFonts w:hint="eastAsia"/>
                <w:color w:val="auto"/>
                <w:sz w:val="24"/>
                <w:lang w:val="en-US" w:eastAsia="zh-CN"/>
              </w:rPr>
              <w:t>23</w:t>
            </w:r>
            <w:r>
              <w:rPr>
                <w:rFonts w:hint="eastAsia"/>
                <w:color w:val="auto"/>
                <w:sz w:val="24"/>
              </w:rPr>
              <w:t>万元</w:t>
            </w:r>
            <w:r>
              <w:rPr>
                <w:color w:val="auto"/>
                <w:sz w:val="24"/>
              </w:rPr>
              <w:t>，占总投资的</w:t>
            </w:r>
            <w:r>
              <w:rPr>
                <w:rFonts w:hint="eastAsia"/>
                <w:color w:val="auto"/>
                <w:sz w:val="24"/>
                <w:lang w:val="en-US" w:eastAsia="zh-CN"/>
              </w:rPr>
              <w:t>13.05</w:t>
            </w:r>
            <w:r>
              <w:rPr>
                <w:color w:val="auto"/>
                <w:sz w:val="24"/>
              </w:rPr>
              <w:t>%。具体环保投资情况见</w:t>
            </w:r>
            <w:r>
              <w:rPr>
                <w:rFonts w:hint="eastAsia"/>
                <w:color w:val="auto"/>
                <w:sz w:val="24"/>
              </w:rPr>
              <w:t>下</w:t>
            </w:r>
            <w:r>
              <w:rPr>
                <w:color w:val="auto"/>
                <w:sz w:val="24"/>
              </w:rPr>
              <w:t>表。</w:t>
            </w:r>
          </w:p>
          <w:p w14:paraId="62B18DB8">
            <w:pPr>
              <w:pStyle w:val="49"/>
              <w:spacing w:line="240" w:lineRule="auto"/>
              <w:ind w:firstLine="0" w:firstLineChars="0"/>
              <w:jc w:val="center"/>
              <w:rPr>
                <w:b/>
                <w:bCs/>
                <w:color w:val="auto"/>
                <w:kern w:val="2"/>
                <w:sz w:val="21"/>
                <w:szCs w:val="21"/>
              </w:rPr>
            </w:pPr>
            <w:r>
              <w:rPr>
                <w:rFonts w:hint="eastAsia"/>
                <w:b/>
                <w:bCs/>
                <w:color w:val="auto"/>
                <w:kern w:val="2"/>
                <w:sz w:val="21"/>
                <w:szCs w:val="21"/>
              </w:rPr>
              <w:t>表4-</w:t>
            </w:r>
            <w:r>
              <w:rPr>
                <w:rFonts w:hint="eastAsia"/>
                <w:b/>
                <w:bCs/>
                <w:color w:val="auto"/>
                <w:kern w:val="2"/>
                <w:sz w:val="21"/>
                <w:szCs w:val="21"/>
                <w:lang w:val="en-US" w:eastAsia="zh-CN"/>
              </w:rPr>
              <w:t>25</w:t>
            </w:r>
            <w:r>
              <w:rPr>
                <w:rFonts w:hint="eastAsia"/>
                <w:b/>
                <w:bCs/>
                <w:color w:val="auto"/>
                <w:kern w:val="2"/>
                <w:sz w:val="21"/>
                <w:szCs w:val="21"/>
              </w:rPr>
              <w:t xml:space="preserve">    </w:t>
            </w:r>
            <w:r>
              <w:rPr>
                <w:rFonts w:hint="eastAsia"/>
                <w:b/>
                <w:bCs/>
                <w:color w:val="auto"/>
                <w:kern w:val="2"/>
                <w:sz w:val="21"/>
                <w:szCs w:val="21"/>
                <w:lang w:val="en-US" w:eastAsia="zh-CN"/>
              </w:rPr>
              <w:t>本</w:t>
            </w:r>
            <w:r>
              <w:rPr>
                <w:rFonts w:hint="eastAsia"/>
                <w:b/>
                <w:bCs/>
                <w:color w:val="auto"/>
                <w:kern w:val="2"/>
                <w:sz w:val="21"/>
                <w:szCs w:val="21"/>
              </w:rPr>
              <w:t>项目环保投资一览表</w:t>
            </w:r>
          </w:p>
          <w:tbl>
            <w:tblPr>
              <w:tblStyle w:val="17"/>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35"/>
              <w:gridCol w:w="743"/>
              <w:gridCol w:w="1370"/>
              <w:gridCol w:w="4354"/>
              <w:gridCol w:w="1519"/>
            </w:tblGrid>
            <w:tr w14:paraId="3F3F8B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314" w:type="pct"/>
                  <w:tcBorders>
                    <w:tl2br w:val="nil"/>
                    <w:tr2bl w:val="nil"/>
                  </w:tcBorders>
                  <w:noWrap w:val="0"/>
                  <w:vAlign w:val="center"/>
                </w:tcPr>
                <w:p w14:paraId="66548E02">
                  <w:pPr>
                    <w:pStyle w:val="61"/>
                    <w:bidi w:val="0"/>
                    <w:spacing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rPr>
                    <w:t>项目</w:t>
                  </w:r>
                </w:p>
              </w:tc>
              <w:tc>
                <w:tcPr>
                  <w:tcW w:w="1239" w:type="pct"/>
                  <w:gridSpan w:val="2"/>
                  <w:tcBorders>
                    <w:tl2br w:val="nil"/>
                    <w:tr2bl w:val="nil"/>
                  </w:tcBorders>
                  <w:noWrap w:val="0"/>
                  <w:vAlign w:val="center"/>
                </w:tcPr>
                <w:p w14:paraId="7194E2CD">
                  <w:pPr>
                    <w:pStyle w:val="61"/>
                    <w:bidi w:val="0"/>
                    <w:spacing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rPr>
                    <w:t>污染源</w:t>
                  </w:r>
                </w:p>
              </w:tc>
              <w:tc>
                <w:tcPr>
                  <w:tcW w:w="2554" w:type="pct"/>
                  <w:tcBorders>
                    <w:tl2br w:val="nil"/>
                    <w:tr2bl w:val="nil"/>
                  </w:tcBorders>
                  <w:noWrap w:val="0"/>
                  <w:vAlign w:val="center"/>
                </w:tcPr>
                <w:p w14:paraId="165283D1">
                  <w:pPr>
                    <w:pStyle w:val="61"/>
                    <w:bidi w:val="0"/>
                    <w:spacing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rPr>
                    <w:t>措施内容</w:t>
                  </w:r>
                </w:p>
              </w:tc>
              <w:tc>
                <w:tcPr>
                  <w:tcW w:w="891" w:type="pct"/>
                  <w:tcBorders>
                    <w:tl2br w:val="nil"/>
                    <w:tr2bl w:val="nil"/>
                  </w:tcBorders>
                  <w:noWrap w:val="0"/>
                  <w:vAlign w:val="center"/>
                </w:tcPr>
                <w:p w14:paraId="6FE64CCD">
                  <w:pPr>
                    <w:pStyle w:val="61"/>
                    <w:bidi w:val="0"/>
                    <w:spacing w:line="240" w:lineRule="auto"/>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投资金额</w:t>
                  </w:r>
                </w:p>
              </w:tc>
            </w:tr>
            <w:tr w14:paraId="2DB83F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718" w:hRule="atLeast"/>
                <w:jc w:val="center"/>
              </w:trPr>
              <w:tc>
                <w:tcPr>
                  <w:tcW w:w="314" w:type="pct"/>
                  <w:vMerge w:val="restart"/>
                  <w:tcBorders>
                    <w:tl2br w:val="nil"/>
                    <w:tr2bl w:val="nil"/>
                  </w:tcBorders>
                  <w:noWrap w:val="0"/>
                  <w:vAlign w:val="center"/>
                </w:tcPr>
                <w:p w14:paraId="671E6613">
                  <w:pPr>
                    <w:pStyle w:val="59"/>
                    <w:bidi w:val="0"/>
                    <w:spacing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rPr>
                    <w:t>废气</w:t>
                  </w:r>
                </w:p>
              </w:tc>
              <w:tc>
                <w:tcPr>
                  <w:tcW w:w="1239" w:type="pct"/>
                  <w:gridSpan w:val="2"/>
                  <w:tcBorders>
                    <w:tl2br w:val="nil"/>
                    <w:tr2bl w:val="nil"/>
                  </w:tcBorders>
                  <w:noWrap w:val="0"/>
                  <w:vAlign w:val="center"/>
                </w:tcPr>
                <w:p w14:paraId="2B4B465C">
                  <w:pPr>
                    <w:pStyle w:val="59"/>
                    <w:bidi w:val="0"/>
                    <w:spacing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rPr>
                    <w:t>食堂油烟</w:t>
                  </w:r>
                </w:p>
              </w:tc>
              <w:tc>
                <w:tcPr>
                  <w:tcW w:w="2554" w:type="pct"/>
                  <w:tcBorders>
                    <w:tl2br w:val="nil"/>
                    <w:tr2bl w:val="nil"/>
                  </w:tcBorders>
                  <w:noWrap w:val="0"/>
                  <w:vAlign w:val="center"/>
                </w:tcPr>
                <w:p w14:paraId="3B1E8D2B">
                  <w:pPr>
                    <w:pStyle w:val="59"/>
                    <w:bidi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eastAsia="zh-CN"/>
                    </w:rPr>
                    <w:t>油烟净化器（效率不低于</w:t>
                  </w:r>
                  <w:r>
                    <w:rPr>
                      <w:rFonts w:hint="eastAsia"/>
                      <w:color w:val="auto"/>
                      <w:sz w:val="21"/>
                      <w:szCs w:val="21"/>
                      <w:lang w:val="en-US" w:eastAsia="zh-CN"/>
                    </w:rPr>
                    <w:t>6</w:t>
                  </w:r>
                  <w:r>
                    <w:rPr>
                      <w:rFonts w:hint="eastAsia" w:ascii="Times New Roman" w:hAnsi="Times New Roman" w:eastAsia="宋体"/>
                      <w:color w:val="auto"/>
                      <w:sz w:val="21"/>
                      <w:szCs w:val="21"/>
                      <w:lang w:val="en-US" w:eastAsia="zh-CN"/>
                    </w:rPr>
                    <w:t>0%</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lang w:val="en-US" w:eastAsia="zh-CN"/>
                    </w:rPr>
                    <w:t>+专用烟道排放</w:t>
                  </w:r>
                </w:p>
              </w:tc>
              <w:tc>
                <w:tcPr>
                  <w:tcW w:w="891" w:type="pct"/>
                  <w:tcBorders>
                    <w:tl2br w:val="nil"/>
                    <w:tr2bl w:val="nil"/>
                  </w:tcBorders>
                  <w:noWrap w:val="0"/>
                  <w:vAlign w:val="center"/>
                </w:tcPr>
                <w:p w14:paraId="75C07FCE">
                  <w:pPr>
                    <w:pStyle w:val="59"/>
                    <w:bidi w:val="0"/>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原有投资，不计入本次投资</w:t>
                  </w:r>
                </w:p>
              </w:tc>
            </w:tr>
            <w:tr w14:paraId="3DA9F9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24" w:hRule="atLeast"/>
                <w:jc w:val="center"/>
              </w:trPr>
              <w:tc>
                <w:tcPr>
                  <w:tcW w:w="314" w:type="pct"/>
                  <w:vMerge w:val="continue"/>
                  <w:tcBorders>
                    <w:tl2br w:val="nil"/>
                    <w:tr2bl w:val="nil"/>
                  </w:tcBorders>
                  <w:noWrap w:val="0"/>
                  <w:vAlign w:val="center"/>
                </w:tcPr>
                <w:p w14:paraId="02D9DD6B">
                  <w:pPr>
                    <w:pStyle w:val="59"/>
                    <w:bidi w:val="0"/>
                    <w:spacing w:line="240" w:lineRule="auto"/>
                    <w:jc w:val="center"/>
                    <w:rPr>
                      <w:rFonts w:ascii="Times New Roman" w:hAnsi="Times New Roman" w:eastAsia="宋体"/>
                      <w:color w:val="auto"/>
                      <w:sz w:val="21"/>
                      <w:szCs w:val="21"/>
                    </w:rPr>
                  </w:pPr>
                </w:p>
              </w:tc>
              <w:tc>
                <w:tcPr>
                  <w:tcW w:w="436" w:type="pct"/>
                  <w:vMerge w:val="restart"/>
                  <w:tcBorders>
                    <w:tl2br w:val="nil"/>
                    <w:tr2bl w:val="nil"/>
                  </w:tcBorders>
                  <w:noWrap w:val="0"/>
                  <w:vAlign w:val="center"/>
                </w:tcPr>
                <w:p w14:paraId="7A1293D1">
                  <w:pPr>
                    <w:pStyle w:val="59"/>
                    <w:bidi w:val="0"/>
                    <w:spacing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rPr>
                    <w:t>污水处理站</w:t>
                  </w:r>
                </w:p>
              </w:tc>
              <w:tc>
                <w:tcPr>
                  <w:tcW w:w="803" w:type="pct"/>
                  <w:tcBorders>
                    <w:tl2br w:val="nil"/>
                    <w:tr2bl w:val="nil"/>
                  </w:tcBorders>
                  <w:noWrap w:val="0"/>
                  <w:vAlign w:val="center"/>
                </w:tcPr>
                <w:p w14:paraId="53F5D038">
                  <w:pPr>
                    <w:pStyle w:val="59"/>
                    <w:bidi w:val="0"/>
                    <w:spacing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rPr>
                    <w:t>氨气</w:t>
                  </w:r>
                </w:p>
              </w:tc>
              <w:tc>
                <w:tcPr>
                  <w:tcW w:w="2554" w:type="pct"/>
                  <w:vMerge w:val="restart"/>
                  <w:tcBorders>
                    <w:tl2br w:val="nil"/>
                    <w:tr2bl w:val="nil"/>
                  </w:tcBorders>
                  <w:noWrap w:val="0"/>
                  <w:vAlign w:val="center"/>
                </w:tcPr>
                <w:p w14:paraId="29895767">
                  <w:pPr>
                    <w:pStyle w:val="59"/>
                    <w:bidi w:val="0"/>
                    <w:spacing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加盖设计、定期喷洒除臭剂</w:t>
                  </w:r>
                </w:p>
              </w:tc>
              <w:tc>
                <w:tcPr>
                  <w:tcW w:w="891" w:type="pct"/>
                  <w:vMerge w:val="restart"/>
                  <w:tcBorders>
                    <w:tl2br w:val="nil"/>
                    <w:tr2bl w:val="nil"/>
                  </w:tcBorders>
                  <w:noWrap w:val="0"/>
                  <w:vAlign w:val="center"/>
                </w:tcPr>
                <w:p w14:paraId="60569D2B">
                  <w:pPr>
                    <w:pStyle w:val="59"/>
                    <w:bidi w:val="0"/>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12</w:t>
                  </w:r>
                </w:p>
              </w:tc>
            </w:tr>
            <w:tr w14:paraId="20D2FC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314" w:type="pct"/>
                  <w:vMerge w:val="continue"/>
                  <w:tcBorders>
                    <w:tl2br w:val="nil"/>
                    <w:tr2bl w:val="nil"/>
                  </w:tcBorders>
                  <w:noWrap w:val="0"/>
                  <w:vAlign w:val="center"/>
                </w:tcPr>
                <w:p w14:paraId="06A453B0">
                  <w:pPr>
                    <w:pStyle w:val="59"/>
                    <w:bidi w:val="0"/>
                    <w:spacing w:line="240" w:lineRule="auto"/>
                    <w:jc w:val="center"/>
                    <w:rPr>
                      <w:rFonts w:ascii="Times New Roman" w:hAnsi="Times New Roman" w:eastAsia="宋体"/>
                      <w:color w:val="auto"/>
                      <w:sz w:val="21"/>
                      <w:szCs w:val="21"/>
                    </w:rPr>
                  </w:pPr>
                </w:p>
              </w:tc>
              <w:tc>
                <w:tcPr>
                  <w:tcW w:w="436" w:type="pct"/>
                  <w:vMerge w:val="continue"/>
                  <w:tcBorders>
                    <w:tl2br w:val="nil"/>
                    <w:tr2bl w:val="nil"/>
                  </w:tcBorders>
                  <w:noWrap w:val="0"/>
                  <w:vAlign w:val="center"/>
                </w:tcPr>
                <w:p w14:paraId="08EAD6C0">
                  <w:pPr>
                    <w:pStyle w:val="59"/>
                    <w:bidi w:val="0"/>
                    <w:spacing w:line="240" w:lineRule="auto"/>
                    <w:jc w:val="center"/>
                    <w:rPr>
                      <w:rFonts w:ascii="Times New Roman" w:hAnsi="Times New Roman" w:eastAsia="宋体"/>
                      <w:color w:val="auto"/>
                      <w:sz w:val="21"/>
                      <w:szCs w:val="21"/>
                    </w:rPr>
                  </w:pPr>
                </w:p>
              </w:tc>
              <w:tc>
                <w:tcPr>
                  <w:tcW w:w="803" w:type="pct"/>
                  <w:tcBorders>
                    <w:tl2br w:val="nil"/>
                    <w:tr2bl w:val="nil"/>
                  </w:tcBorders>
                  <w:noWrap w:val="0"/>
                  <w:vAlign w:val="center"/>
                </w:tcPr>
                <w:p w14:paraId="7E534F31">
                  <w:pPr>
                    <w:pStyle w:val="59"/>
                    <w:bidi w:val="0"/>
                    <w:spacing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rPr>
                    <w:t>硫化氢</w:t>
                  </w:r>
                </w:p>
              </w:tc>
              <w:tc>
                <w:tcPr>
                  <w:tcW w:w="2554" w:type="pct"/>
                  <w:vMerge w:val="continue"/>
                  <w:tcBorders>
                    <w:tl2br w:val="nil"/>
                    <w:tr2bl w:val="nil"/>
                  </w:tcBorders>
                  <w:noWrap w:val="0"/>
                  <w:vAlign w:val="center"/>
                </w:tcPr>
                <w:p w14:paraId="12BB915C">
                  <w:pPr>
                    <w:pStyle w:val="59"/>
                    <w:bidi w:val="0"/>
                    <w:spacing w:line="240" w:lineRule="auto"/>
                    <w:jc w:val="center"/>
                    <w:rPr>
                      <w:rFonts w:ascii="Times New Roman" w:hAnsi="Times New Roman" w:eastAsia="宋体"/>
                      <w:color w:val="auto"/>
                      <w:sz w:val="21"/>
                      <w:szCs w:val="21"/>
                    </w:rPr>
                  </w:pPr>
                </w:p>
              </w:tc>
              <w:tc>
                <w:tcPr>
                  <w:tcW w:w="891" w:type="pct"/>
                  <w:vMerge w:val="continue"/>
                  <w:tcBorders>
                    <w:tl2br w:val="nil"/>
                    <w:tr2bl w:val="nil"/>
                  </w:tcBorders>
                  <w:noWrap w:val="0"/>
                  <w:vAlign w:val="center"/>
                </w:tcPr>
                <w:p w14:paraId="36C8B5C5">
                  <w:pPr>
                    <w:pStyle w:val="59"/>
                    <w:bidi w:val="0"/>
                    <w:spacing w:line="240" w:lineRule="auto"/>
                    <w:jc w:val="center"/>
                    <w:rPr>
                      <w:rFonts w:ascii="Times New Roman" w:hAnsi="Times New Roman" w:eastAsia="宋体"/>
                      <w:color w:val="auto"/>
                      <w:sz w:val="21"/>
                      <w:szCs w:val="21"/>
                    </w:rPr>
                  </w:pPr>
                </w:p>
              </w:tc>
            </w:tr>
            <w:tr w14:paraId="4A3D76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9" w:hRule="atLeast"/>
                <w:jc w:val="center"/>
              </w:trPr>
              <w:tc>
                <w:tcPr>
                  <w:tcW w:w="314" w:type="pct"/>
                  <w:vMerge w:val="continue"/>
                  <w:tcBorders>
                    <w:tl2br w:val="nil"/>
                    <w:tr2bl w:val="nil"/>
                  </w:tcBorders>
                  <w:noWrap w:val="0"/>
                  <w:vAlign w:val="center"/>
                </w:tcPr>
                <w:p w14:paraId="7D75CBB8">
                  <w:pPr>
                    <w:pStyle w:val="59"/>
                    <w:bidi w:val="0"/>
                    <w:spacing w:line="240" w:lineRule="auto"/>
                    <w:jc w:val="center"/>
                    <w:rPr>
                      <w:rFonts w:ascii="Times New Roman" w:hAnsi="Times New Roman" w:eastAsia="宋体"/>
                      <w:color w:val="auto"/>
                      <w:sz w:val="21"/>
                      <w:szCs w:val="21"/>
                    </w:rPr>
                  </w:pPr>
                </w:p>
              </w:tc>
              <w:tc>
                <w:tcPr>
                  <w:tcW w:w="436" w:type="pct"/>
                  <w:vMerge w:val="continue"/>
                  <w:tcBorders>
                    <w:tl2br w:val="nil"/>
                    <w:tr2bl w:val="nil"/>
                  </w:tcBorders>
                  <w:noWrap w:val="0"/>
                  <w:vAlign w:val="center"/>
                </w:tcPr>
                <w:p w14:paraId="29B21F4B">
                  <w:pPr>
                    <w:pStyle w:val="59"/>
                    <w:bidi w:val="0"/>
                    <w:spacing w:line="240" w:lineRule="auto"/>
                    <w:jc w:val="center"/>
                    <w:rPr>
                      <w:rFonts w:ascii="Times New Roman" w:hAnsi="Times New Roman" w:eastAsia="宋体"/>
                      <w:color w:val="auto"/>
                      <w:sz w:val="21"/>
                      <w:szCs w:val="21"/>
                    </w:rPr>
                  </w:pPr>
                </w:p>
              </w:tc>
              <w:tc>
                <w:tcPr>
                  <w:tcW w:w="803" w:type="pct"/>
                  <w:tcBorders>
                    <w:tl2br w:val="nil"/>
                    <w:tr2bl w:val="nil"/>
                  </w:tcBorders>
                  <w:noWrap w:val="0"/>
                  <w:vAlign w:val="center"/>
                </w:tcPr>
                <w:p w14:paraId="687694F6">
                  <w:pPr>
                    <w:pStyle w:val="59"/>
                    <w:bidi w:val="0"/>
                    <w:spacing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rPr>
                    <w:t>臭气浓度</w:t>
                  </w:r>
                </w:p>
              </w:tc>
              <w:tc>
                <w:tcPr>
                  <w:tcW w:w="2554" w:type="pct"/>
                  <w:vMerge w:val="continue"/>
                  <w:tcBorders>
                    <w:tl2br w:val="nil"/>
                    <w:tr2bl w:val="nil"/>
                  </w:tcBorders>
                  <w:noWrap w:val="0"/>
                  <w:vAlign w:val="center"/>
                </w:tcPr>
                <w:p w14:paraId="11293193">
                  <w:pPr>
                    <w:pStyle w:val="59"/>
                    <w:bidi w:val="0"/>
                    <w:spacing w:line="240" w:lineRule="auto"/>
                    <w:jc w:val="center"/>
                    <w:rPr>
                      <w:rFonts w:ascii="Times New Roman" w:hAnsi="Times New Roman" w:eastAsia="宋体"/>
                      <w:color w:val="auto"/>
                      <w:sz w:val="21"/>
                      <w:szCs w:val="21"/>
                    </w:rPr>
                  </w:pPr>
                </w:p>
              </w:tc>
              <w:tc>
                <w:tcPr>
                  <w:tcW w:w="891" w:type="pct"/>
                  <w:vMerge w:val="continue"/>
                  <w:tcBorders>
                    <w:tl2br w:val="nil"/>
                    <w:tr2bl w:val="nil"/>
                  </w:tcBorders>
                  <w:noWrap w:val="0"/>
                  <w:vAlign w:val="center"/>
                </w:tcPr>
                <w:p w14:paraId="19E97E1A">
                  <w:pPr>
                    <w:pStyle w:val="59"/>
                    <w:bidi w:val="0"/>
                    <w:spacing w:line="240" w:lineRule="auto"/>
                    <w:jc w:val="center"/>
                    <w:rPr>
                      <w:rFonts w:ascii="Times New Roman" w:hAnsi="Times New Roman" w:eastAsia="宋体"/>
                      <w:color w:val="auto"/>
                      <w:sz w:val="21"/>
                      <w:szCs w:val="21"/>
                    </w:rPr>
                  </w:pPr>
                </w:p>
              </w:tc>
            </w:tr>
            <w:tr w14:paraId="28186C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036" w:hRule="atLeast"/>
                <w:jc w:val="center"/>
              </w:trPr>
              <w:tc>
                <w:tcPr>
                  <w:tcW w:w="314" w:type="pct"/>
                  <w:tcBorders>
                    <w:tl2br w:val="nil"/>
                    <w:tr2bl w:val="nil"/>
                  </w:tcBorders>
                  <w:noWrap w:val="0"/>
                  <w:vAlign w:val="center"/>
                </w:tcPr>
                <w:p w14:paraId="2642D0FE">
                  <w:pPr>
                    <w:pStyle w:val="59"/>
                    <w:bidi w:val="0"/>
                    <w:spacing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rPr>
                    <w:t>废水</w:t>
                  </w:r>
                </w:p>
              </w:tc>
              <w:tc>
                <w:tcPr>
                  <w:tcW w:w="1239" w:type="pct"/>
                  <w:gridSpan w:val="2"/>
                  <w:tcBorders>
                    <w:tl2br w:val="nil"/>
                    <w:tr2bl w:val="nil"/>
                  </w:tcBorders>
                  <w:noWrap w:val="0"/>
                  <w:vAlign w:val="center"/>
                </w:tcPr>
                <w:p w14:paraId="3FA000E6">
                  <w:pPr>
                    <w:pStyle w:val="59"/>
                    <w:bidi w:val="0"/>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综合废水</w:t>
                  </w:r>
                </w:p>
              </w:tc>
              <w:tc>
                <w:tcPr>
                  <w:tcW w:w="2554" w:type="pct"/>
                  <w:tcBorders>
                    <w:tl2br w:val="nil"/>
                    <w:tr2bl w:val="nil"/>
                  </w:tcBorders>
                  <w:noWrap w:val="0"/>
                  <w:vAlign w:val="center"/>
                </w:tcPr>
                <w:p w14:paraId="7B475259">
                  <w:pPr>
                    <w:pStyle w:val="59"/>
                    <w:bidi w:val="0"/>
                    <w:spacing w:line="240" w:lineRule="auto"/>
                    <w:jc w:val="both"/>
                    <w:rPr>
                      <w:rFonts w:hint="default" w:ascii="Times New Roman" w:hAnsi="Times New Roman" w:eastAsia="宋体"/>
                      <w:color w:val="auto"/>
                      <w:sz w:val="21"/>
                      <w:szCs w:val="21"/>
                      <w:lang w:val="en-US" w:eastAsia="zh-CN"/>
                    </w:rPr>
                  </w:pPr>
                  <w:r>
                    <w:rPr>
                      <w:rFonts w:hint="eastAsia"/>
                      <w:color w:val="auto"/>
                      <w:sz w:val="21"/>
                      <w:szCs w:val="21"/>
                      <w:lang w:val="en-US" w:eastAsia="zh-CN"/>
                    </w:rPr>
                    <w:t>各类废水预处理后排入原来已经建好的化粪池，在排入院内新建的1个污水处理站（规模：10m</w:t>
                  </w:r>
                  <w:r>
                    <w:rPr>
                      <w:rFonts w:hint="eastAsia"/>
                      <w:color w:val="auto"/>
                      <w:sz w:val="21"/>
                      <w:szCs w:val="21"/>
                      <w:vertAlign w:val="superscript"/>
                      <w:lang w:val="en-US" w:eastAsia="zh-CN"/>
                    </w:rPr>
                    <w:t>3</w:t>
                  </w:r>
                  <w:r>
                    <w:rPr>
                      <w:rFonts w:hint="eastAsia"/>
                      <w:color w:val="auto"/>
                      <w:sz w:val="21"/>
                      <w:szCs w:val="21"/>
                      <w:lang w:val="en-US" w:eastAsia="zh-CN"/>
                    </w:rPr>
                    <w:t>/d）处理</w:t>
                  </w:r>
                </w:p>
              </w:tc>
              <w:tc>
                <w:tcPr>
                  <w:tcW w:w="891" w:type="pct"/>
                  <w:vMerge w:val="continue"/>
                  <w:tcBorders>
                    <w:tl2br w:val="nil"/>
                    <w:tr2bl w:val="nil"/>
                  </w:tcBorders>
                  <w:noWrap w:val="0"/>
                  <w:vAlign w:val="center"/>
                </w:tcPr>
                <w:p w14:paraId="59C2F59D">
                  <w:pPr>
                    <w:pStyle w:val="59"/>
                    <w:bidi w:val="0"/>
                    <w:spacing w:line="240" w:lineRule="auto"/>
                    <w:jc w:val="center"/>
                    <w:rPr>
                      <w:rFonts w:hint="default" w:ascii="Times New Roman" w:hAnsi="Times New Roman" w:eastAsia="宋体"/>
                      <w:color w:val="auto"/>
                      <w:sz w:val="21"/>
                      <w:szCs w:val="21"/>
                      <w:lang w:val="en-US" w:eastAsia="zh-CN"/>
                    </w:rPr>
                  </w:pPr>
                </w:p>
              </w:tc>
            </w:tr>
            <w:tr w14:paraId="18EE34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807" w:hRule="atLeast"/>
                <w:jc w:val="center"/>
              </w:trPr>
              <w:tc>
                <w:tcPr>
                  <w:tcW w:w="314" w:type="pct"/>
                  <w:vMerge w:val="restart"/>
                  <w:tcBorders>
                    <w:tl2br w:val="nil"/>
                    <w:tr2bl w:val="nil"/>
                  </w:tcBorders>
                  <w:noWrap w:val="0"/>
                  <w:vAlign w:val="center"/>
                </w:tcPr>
                <w:p w14:paraId="313657DD">
                  <w:pPr>
                    <w:pStyle w:val="59"/>
                    <w:bidi w:val="0"/>
                    <w:spacing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rPr>
                    <w:t>固废</w:t>
                  </w:r>
                </w:p>
              </w:tc>
              <w:tc>
                <w:tcPr>
                  <w:tcW w:w="436" w:type="pct"/>
                  <w:vMerge w:val="restart"/>
                  <w:tcBorders>
                    <w:tl2br w:val="nil"/>
                    <w:tr2bl w:val="nil"/>
                  </w:tcBorders>
                  <w:noWrap w:val="0"/>
                  <w:vAlign w:val="center"/>
                </w:tcPr>
                <w:p w14:paraId="4AAB5662">
                  <w:pPr>
                    <w:pStyle w:val="59"/>
                    <w:bidi w:val="0"/>
                    <w:spacing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rPr>
                    <w:t>一般固废</w:t>
                  </w:r>
                </w:p>
              </w:tc>
              <w:tc>
                <w:tcPr>
                  <w:tcW w:w="803" w:type="pct"/>
                  <w:tcBorders>
                    <w:tl2br w:val="nil"/>
                    <w:tr2bl w:val="nil"/>
                  </w:tcBorders>
                  <w:noWrap w:val="0"/>
                  <w:vAlign w:val="center"/>
                </w:tcPr>
                <w:p w14:paraId="6529372A">
                  <w:pPr>
                    <w:pStyle w:val="59"/>
                    <w:bidi w:val="0"/>
                    <w:spacing w:line="240" w:lineRule="auto"/>
                    <w:jc w:val="center"/>
                    <w:rPr>
                      <w:rFonts w:hint="default" w:ascii="Times New Roman" w:hAnsi="Times New Roman" w:eastAsia="宋体"/>
                      <w:color w:val="auto"/>
                      <w:sz w:val="21"/>
                      <w:szCs w:val="21"/>
                      <w:lang w:val="en-US" w:eastAsia="zh-CN"/>
                    </w:rPr>
                  </w:pPr>
                  <w:r>
                    <w:rPr>
                      <w:rFonts w:hint="eastAsia"/>
                      <w:color w:val="auto"/>
                      <w:lang w:val="en-US" w:eastAsia="zh-CN"/>
                    </w:rPr>
                    <w:t>生活垃圾、废中药渣</w:t>
                  </w:r>
                </w:p>
              </w:tc>
              <w:tc>
                <w:tcPr>
                  <w:tcW w:w="2554" w:type="pct"/>
                  <w:tcBorders>
                    <w:tl2br w:val="nil"/>
                    <w:tr2bl w:val="nil"/>
                  </w:tcBorders>
                  <w:noWrap w:val="0"/>
                  <w:vAlign w:val="center"/>
                </w:tcPr>
                <w:p w14:paraId="38EA0FE0">
                  <w:pPr>
                    <w:pStyle w:val="59"/>
                    <w:bidi w:val="0"/>
                    <w:spacing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lang w:eastAsia="zh-CN"/>
                    </w:rPr>
                    <w:t>集中收集、</w:t>
                  </w:r>
                  <w:r>
                    <w:rPr>
                      <w:rFonts w:hint="eastAsia" w:ascii="Times New Roman" w:hAnsi="Times New Roman" w:eastAsia="宋体"/>
                      <w:color w:val="auto"/>
                      <w:sz w:val="21"/>
                      <w:szCs w:val="21"/>
                    </w:rPr>
                    <w:t>设定点垃圾箱，日产日清，由环卫部门统一清运</w:t>
                  </w:r>
                </w:p>
              </w:tc>
              <w:tc>
                <w:tcPr>
                  <w:tcW w:w="891" w:type="pct"/>
                  <w:tcBorders>
                    <w:tl2br w:val="nil"/>
                    <w:tr2bl w:val="nil"/>
                  </w:tcBorders>
                  <w:noWrap w:val="0"/>
                  <w:vAlign w:val="center"/>
                </w:tcPr>
                <w:p w14:paraId="179C152C">
                  <w:pPr>
                    <w:pStyle w:val="59"/>
                    <w:bidi w:val="0"/>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1</w:t>
                  </w:r>
                </w:p>
              </w:tc>
            </w:tr>
            <w:tr w14:paraId="238F7F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544" w:hRule="atLeast"/>
                <w:jc w:val="center"/>
              </w:trPr>
              <w:tc>
                <w:tcPr>
                  <w:tcW w:w="314" w:type="pct"/>
                  <w:vMerge w:val="continue"/>
                  <w:tcBorders>
                    <w:tl2br w:val="nil"/>
                    <w:tr2bl w:val="nil"/>
                  </w:tcBorders>
                  <w:noWrap w:val="0"/>
                  <w:vAlign w:val="center"/>
                </w:tcPr>
                <w:p w14:paraId="22378EAF">
                  <w:pPr>
                    <w:pStyle w:val="59"/>
                    <w:bidi w:val="0"/>
                    <w:spacing w:line="240" w:lineRule="auto"/>
                    <w:jc w:val="center"/>
                    <w:rPr>
                      <w:rFonts w:hint="eastAsia" w:ascii="Times New Roman" w:hAnsi="Times New Roman" w:eastAsia="宋体"/>
                      <w:color w:val="auto"/>
                      <w:sz w:val="21"/>
                      <w:szCs w:val="21"/>
                    </w:rPr>
                  </w:pPr>
                </w:p>
              </w:tc>
              <w:tc>
                <w:tcPr>
                  <w:tcW w:w="436" w:type="pct"/>
                  <w:vMerge w:val="continue"/>
                  <w:tcBorders>
                    <w:tl2br w:val="nil"/>
                    <w:tr2bl w:val="nil"/>
                  </w:tcBorders>
                  <w:noWrap w:val="0"/>
                  <w:vAlign w:val="center"/>
                </w:tcPr>
                <w:p w14:paraId="09720B6F">
                  <w:pPr>
                    <w:pStyle w:val="59"/>
                    <w:bidi w:val="0"/>
                    <w:spacing w:line="240" w:lineRule="auto"/>
                    <w:jc w:val="center"/>
                    <w:rPr>
                      <w:rFonts w:hint="eastAsia" w:ascii="Times New Roman" w:hAnsi="Times New Roman" w:eastAsia="宋体"/>
                      <w:color w:val="auto"/>
                      <w:sz w:val="21"/>
                      <w:szCs w:val="21"/>
                    </w:rPr>
                  </w:pPr>
                </w:p>
              </w:tc>
              <w:tc>
                <w:tcPr>
                  <w:tcW w:w="803" w:type="pct"/>
                  <w:tcBorders>
                    <w:tl2br w:val="nil"/>
                    <w:tr2bl w:val="nil"/>
                  </w:tcBorders>
                  <w:noWrap w:val="0"/>
                  <w:vAlign w:val="center"/>
                </w:tcPr>
                <w:p w14:paraId="7ECCC5D8">
                  <w:pPr>
                    <w:pStyle w:val="59"/>
                    <w:bidi w:val="0"/>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未污染的输液瓶带、药品包装盒</w:t>
                  </w:r>
                </w:p>
              </w:tc>
              <w:tc>
                <w:tcPr>
                  <w:tcW w:w="2554" w:type="pct"/>
                  <w:tcBorders>
                    <w:tl2br w:val="nil"/>
                    <w:tr2bl w:val="nil"/>
                  </w:tcBorders>
                  <w:noWrap w:val="0"/>
                  <w:vAlign w:val="center"/>
                </w:tcPr>
                <w:p w14:paraId="21F87DF8">
                  <w:pPr>
                    <w:pStyle w:val="59"/>
                    <w:bidi w:val="0"/>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交由回收部门回收</w:t>
                  </w:r>
                </w:p>
              </w:tc>
              <w:tc>
                <w:tcPr>
                  <w:tcW w:w="891" w:type="pct"/>
                  <w:tcBorders>
                    <w:tl2br w:val="nil"/>
                    <w:tr2bl w:val="nil"/>
                  </w:tcBorders>
                  <w:noWrap w:val="0"/>
                  <w:vAlign w:val="center"/>
                </w:tcPr>
                <w:p w14:paraId="322AD39F">
                  <w:pPr>
                    <w:pStyle w:val="59"/>
                    <w:bidi w:val="0"/>
                    <w:spacing w:line="240" w:lineRule="auto"/>
                    <w:jc w:val="center"/>
                    <w:rPr>
                      <w:rFonts w:hint="default"/>
                      <w:color w:val="auto"/>
                      <w:sz w:val="21"/>
                      <w:szCs w:val="21"/>
                      <w:lang w:val="en-US" w:eastAsia="zh-CN"/>
                    </w:rPr>
                  </w:pPr>
                  <w:r>
                    <w:rPr>
                      <w:rFonts w:hint="eastAsia"/>
                      <w:color w:val="auto"/>
                      <w:sz w:val="21"/>
                      <w:szCs w:val="21"/>
                      <w:lang w:val="en-US" w:eastAsia="zh-CN"/>
                    </w:rPr>
                    <w:t>/</w:t>
                  </w:r>
                </w:p>
              </w:tc>
            </w:tr>
            <w:tr w14:paraId="302251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875" w:hRule="atLeast"/>
                <w:jc w:val="center"/>
              </w:trPr>
              <w:tc>
                <w:tcPr>
                  <w:tcW w:w="314" w:type="pct"/>
                  <w:vMerge w:val="continue"/>
                  <w:tcBorders>
                    <w:tl2br w:val="nil"/>
                    <w:tr2bl w:val="nil"/>
                  </w:tcBorders>
                  <w:noWrap w:val="0"/>
                  <w:vAlign w:val="center"/>
                </w:tcPr>
                <w:p w14:paraId="5282E921">
                  <w:pPr>
                    <w:pStyle w:val="59"/>
                    <w:bidi w:val="0"/>
                    <w:spacing w:line="240" w:lineRule="auto"/>
                    <w:jc w:val="center"/>
                    <w:rPr>
                      <w:rFonts w:ascii="Times New Roman" w:hAnsi="Times New Roman" w:eastAsia="宋体"/>
                      <w:color w:val="auto"/>
                      <w:sz w:val="21"/>
                      <w:szCs w:val="21"/>
                    </w:rPr>
                  </w:pPr>
                </w:p>
              </w:tc>
              <w:tc>
                <w:tcPr>
                  <w:tcW w:w="436" w:type="pct"/>
                  <w:vMerge w:val="restart"/>
                  <w:tcBorders>
                    <w:tl2br w:val="nil"/>
                    <w:tr2bl w:val="nil"/>
                  </w:tcBorders>
                  <w:noWrap w:val="0"/>
                  <w:vAlign w:val="center"/>
                </w:tcPr>
                <w:p w14:paraId="4C9A76EA">
                  <w:pPr>
                    <w:pStyle w:val="59"/>
                    <w:bidi w:val="0"/>
                    <w:spacing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rPr>
                    <w:t>危险废物</w:t>
                  </w:r>
                </w:p>
              </w:tc>
              <w:tc>
                <w:tcPr>
                  <w:tcW w:w="803" w:type="pct"/>
                  <w:tcBorders>
                    <w:tl2br w:val="nil"/>
                    <w:tr2bl w:val="nil"/>
                  </w:tcBorders>
                  <w:noWrap w:val="0"/>
                  <w:vAlign w:val="center"/>
                </w:tcPr>
                <w:p w14:paraId="4E8ACCB9">
                  <w:pPr>
                    <w:pStyle w:val="59"/>
                    <w:bidi w:val="0"/>
                    <w:spacing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rPr>
                    <w:t>医疗废物</w:t>
                  </w:r>
                </w:p>
              </w:tc>
              <w:tc>
                <w:tcPr>
                  <w:tcW w:w="2554" w:type="pct"/>
                  <w:tcBorders>
                    <w:tl2br w:val="nil"/>
                    <w:tr2bl w:val="nil"/>
                  </w:tcBorders>
                  <w:noWrap w:val="0"/>
                  <w:vAlign w:val="center"/>
                </w:tcPr>
                <w:p w14:paraId="3DA87A8B">
                  <w:pPr>
                    <w:pStyle w:val="59"/>
                    <w:bidi w:val="0"/>
                    <w:spacing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rPr>
                    <w:t>收集后暂存于医疗废物暂存间，定期交由</w:t>
                  </w:r>
                  <w:r>
                    <w:rPr>
                      <w:rFonts w:hint="eastAsia" w:ascii="Times New Roman" w:hAnsi="Times New Roman" w:eastAsia="宋体"/>
                      <w:color w:val="auto"/>
                      <w:sz w:val="21"/>
                      <w:szCs w:val="21"/>
                      <w:lang w:eastAsia="zh-CN"/>
                    </w:rPr>
                    <w:t>专门医废处置单位</w:t>
                  </w:r>
                  <w:r>
                    <w:rPr>
                      <w:rFonts w:hint="eastAsia" w:ascii="Times New Roman" w:hAnsi="Times New Roman" w:eastAsia="宋体"/>
                      <w:color w:val="auto"/>
                      <w:sz w:val="21"/>
                      <w:szCs w:val="21"/>
                    </w:rPr>
                    <w:t>进行处理</w:t>
                  </w:r>
                </w:p>
              </w:tc>
              <w:tc>
                <w:tcPr>
                  <w:tcW w:w="891" w:type="pct"/>
                  <w:tcBorders>
                    <w:tl2br w:val="nil"/>
                    <w:tr2bl w:val="nil"/>
                  </w:tcBorders>
                  <w:noWrap w:val="0"/>
                  <w:vAlign w:val="center"/>
                </w:tcPr>
                <w:p w14:paraId="31834DCF">
                  <w:pPr>
                    <w:pStyle w:val="59"/>
                    <w:bidi w:val="0"/>
                    <w:spacing w:line="240" w:lineRule="auto"/>
                    <w:jc w:val="center"/>
                    <w:rPr>
                      <w:rFonts w:hint="eastAsia" w:ascii="Times New Roman" w:hAnsi="Times New Roman" w:eastAsia="宋体"/>
                      <w:color w:val="auto"/>
                      <w:sz w:val="21"/>
                      <w:szCs w:val="21"/>
                      <w:lang w:eastAsia="zh-CN"/>
                    </w:rPr>
                  </w:pPr>
                  <w:r>
                    <w:rPr>
                      <w:rFonts w:hint="eastAsia"/>
                      <w:color w:val="auto"/>
                      <w:sz w:val="21"/>
                      <w:szCs w:val="21"/>
                      <w:lang w:val="en-US" w:eastAsia="zh-CN"/>
                    </w:rPr>
                    <w:t>5</w:t>
                  </w:r>
                </w:p>
              </w:tc>
            </w:tr>
            <w:tr w14:paraId="54C73C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28" w:hRule="atLeast"/>
                <w:jc w:val="center"/>
              </w:trPr>
              <w:tc>
                <w:tcPr>
                  <w:tcW w:w="314" w:type="pct"/>
                  <w:vMerge w:val="continue"/>
                  <w:tcBorders>
                    <w:tl2br w:val="nil"/>
                    <w:tr2bl w:val="nil"/>
                  </w:tcBorders>
                  <w:noWrap w:val="0"/>
                  <w:vAlign w:val="center"/>
                </w:tcPr>
                <w:p w14:paraId="1C43E8D0">
                  <w:pPr>
                    <w:pStyle w:val="59"/>
                    <w:bidi w:val="0"/>
                    <w:spacing w:line="240" w:lineRule="auto"/>
                    <w:jc w:val="center"/>
                    <w:rPr>
                      <w:rFonts w:ascii="Times New Roman" w:hAnsi="Times New Roman" w:eastAsia="宋体"/>
                      <w:color w:val="auto"/>
                      <w:sz w:val="21"/>
                      <w:szCs w:val="21"/>
                    </w:rPr>
                  </w:pPr>
                </w:p>
              </w:tc>
              <w:tc>
                <w:tcPr>
                  <w:tcW w:w="436" w:type="pct"/>
                  <w:vMerge w:val="continue"/>
                  <w:tcBorders>
                    <w:tl2br w:val="nil"/>
                    <w:tr2bl w:val="nil"/>
                  </w:tcBorders>
                  <w:noWrap w:val="0"/>
                  <w:vAlign w:val="center"/>
                </w:tcPr>
                <w:p w14:paraId="5D061BE2">
                  <w:pPr>
                    <w:pStyle w:val="59"/>
                    <w:bidi w:val="0"/>
                    <w:spacing w:line="240" w:lineRule="auto"/>
                    <w:jc w:val="center"/>
                    <w:rPr>
                      <w:rFonts w:ascii="Times New Roman" w:hAnsi="Times New Roman" w:eastAsia="宋体"/>
                      <w:color w:val="auto"/>
                      <w:sz w:val="21"/>
                      <w:szCs w:val="21"/>
                    </w:rPr>
                  </w:pPr>
                </w:p>
              </w:tc>
              <w:tc>
                <w:tcPr>
                  <w:tcW w:w="803" w:type="pct"/>
                  <w:tcBorders>
                    <w:tl2br w:val="nil"/>
                    <w:tr2bl w:val="nil"/>
                  </w:tcBorders>
                  <w:noWrap w:val="0"/>
                  <w:vAlign w:val="center"/>
                </w:tcPr>
                <w:p w14:paraId="0CB75A16">
                  <w:pPr>
                    <w:pStyle w:val="59"/>
                    <w:bidi w:val="0"/>
                    <w:spacing w:line="240" w:lineRule="auto"/>
                    <w:jc w:val="center"/>
                    <w:rPr>
                      <w:rFonts w:ascii="Times New Roman" w:hAnsi="Times New Roman" w:eastAsia="宋体"/>
                      <w:color w:val="auto"/>
                      <w:sz w:val="21"/>
                      <w:szCs w:val="21"/>
                    </w:rPr>
                  </w:pPr>
                  <w:r>
                    <w:rPr>
                      <w:rFonts w:hint="eastAsia"/>
                      <w:color w:val="auto"/>
                      <w:sz w:val="21"/>
                      <w:szCs w:val="21"/>
                      <w:lang w:val="en-US" w:eastAsia="zh-CN"/>
                    </w:rPr>
                    <w:t>化粪池和污水处理站</w:t>
                  </w:r>
                  <w:r>
                    <w:rPr>
                      <w:rFonts w:hint="eastAsia" w:ascii="Times New Roman" w:hAnsi="Times New Roman" w:eastAsia="宋体"/>
                      <w:color w:val="auto"/>
                      <w:sz w:val="21"/>
                      <w:szCs w:val="21"/>
                    </w:rPr>
                    <w:t>污泥</w:t>
                  </w:r>
                </w:p>
              </w:tc>
              <w:tc>
                <w:tcPr>
                  <w:tcW w:w="2554" w:type="pct"/>
                  <w:tcBorders>
                    <w:tl2br w:val="nil"/>
                    <w:tr2bl w:val="nil"/>
                  </w:tcBorders>
                  <w:noWrap w:val="0"/>
                  <w:vAlign w:val="center"/>
                </w:tcPr>
                <w:p w14:paraId="2AF24A4F">
                  <w:pPr>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委托有资质单位定期清掏及处理</w:t>
                  </w:r>
                </w:p>
              </w:tc>
              <w:tc>
                <w:tcPr>
                  <w:tcW w:w="891" w:type="pct"/>
                  <w:tcBorders>
                    <w:tl2br w:val="nil"/>
                    <w:tr2bl w:val="nil"/>
                  </w:tcBorders>
                  <w:noWrap w:val="0"/>
                  <w:vAlign w:val="center"/>
                </w:tcPr>
                <w:p w14:paraId="5B5C08BE">
                  <w:pPr>
                    <w:pStyle w:val="59"/>
                    <w:bidi w:val="0"/>
                    <w:spacing w:line="240" w:lineRule="auto"/>
                    <w:jc w:val="center"/>
                    <w:rPr>
                      <w:rFonts w:hint="eastAsia" w:ascii="Times New Roman" w:hAnsi="Times New Roman" w:eastAsia="宋体"/>
                      <w:color w:val="auto"/>
                      <w:sz w:val="21"/>
                      <w:szCs w:val="21"/>
                      <w:lang w:eastAsia="zh-CN"/>
                    </w:rPr>
                  </w:pPr>
                  <w:r>
                    <w:rPr>
                      <w:rFonts w:hint="eastAsia"/>
                      <w:color w:val="auto"/>
                      <w:sz w:val="21"/>
                      <w:szCs w:val="21"/>
                      <w:lang w:val="en-US" w:eastAsia="zh-CN"/>
                    </w:rPr>
                    <w:t>1</w:t>
                  </w:r>
                </w:p>
              </w:tc>
            </w:tr>
            <w:tr w14:paraId="5A0837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83" w:hRule="atLeast"/>
                <w:jc w:val="center"/>
              </w:trPr>
              <w:tc>
                <w:tcPr>
                  <w:tcW w:w="314" w:type="pct"/>
                  <w:vMerge w:val="continue"/>
                  <w:tcBorders>
                    <w:tl2br w:val="nil"/>
                    <w:tr2bl w:val="nil"/>
                  </w:tcBorders>
                  <w:noWrap w:val="0"/>
                  <w:vAlign w:val="center"/>
                </w:tcPr>
                <w:p w14:paraId="1590418F">
                  <w:pPr>
                    <w:pStyle w:val="59"/>
                    <w:bidi w:val="0"/>
                    <w:spacing w:line="240" w:lineRule="auto"/>
                    <w:jc w:val="center"/>
                    <w:rPr>
                      <w:rFonts w:ascii="Times New Roman" w:hAnsi="Times New Roman" w:eastAsia="宋体"/>
                      <w:color w:val="auto"/>
                      <w:sz w:val="21"/>
                      <w:szCs w:val="21"/>
                    </w:rPr>
                  </w:pPr>
                </w:p>
              </w:tc>
              <w:tc>
                <w:tcPr>
                  <w:tcW w:w="436" w:type="pct"/>
                  <w:vMerge w:val="continue"/>
                  <w:tcBorders>
                    <w:tl2br w:val="nil"/>
                    <w:tr2bl w:val="nil"/>
                  </w:tcBorders>
                  <w:noWrap w:val="0"/>
                  <w:vAlign w:val="center"/>
                </w:tcPr>
                <w:p w14:paraId="37DF0613">
                  <w:pPr>
                    <w:pStyle w:val="59"/>
                    <w:bidi w:val="0"/>
                    <w:spacing w:line="240" w:lineRule="auto"/>
                    <w:jc w:val="center"/>
                    <w:rPr>
                      <w:rFonts w:ascii="Times New Roman" w:hAnsi="Times New Roman" w:eastAsia="宋体"/>
                      <w:color w:val="auto"/>
                      <w:sz w:val="21"/>
                      <w:szCs w:val="21"/>
                    </w:rPr>
                  </w:pPr>
                </w:p>
              </w:tc>
              <w:tc>
                <w:tcPr>
                  <w:tcW w:w="803" w:type="pct"/>
                  <w:tcBorders>
                    <w:tl2br w:val="nil"/>
                    <w:tr2bl w:val="nil"/>
                  </w:tcBorders>
                  <w:noWrap w:val="0"/>
                  <w:vAlign w:val="center"/>
                </w:tcPr>
                <w:p w14:paraId="4A484D0A">
                  <w:pPr>
                    <w:pStyle w:val="59"/>
                    <w:bidi w:val="0"/>
                    <w:spacing w:line="240" w:lineRule="auto"/>
                    <w:jc w:val="center"/>
                    <w:rPr>
                      <w:rFonts w:hint="default"/>
                      <w:color w:val="auto"/>
                      <w:sz w:val="21"/>
                      <w:szCs w:val="21"/>
                      <w:lang w:val="en-US" w:eastAsia="zh-CN"/>
                    </w:rPr>
                  </w:pPr>
                  <w:r>
                    <w:rPr>
                      <w:rFonts w:hint="eastAsia"/>
                      <w:color w:val="auto"/>
                      <w:sz w:val="21"/>
                      <w:szCs w:val="21"/>
                      <w:lang w:val="en-US" w:eastAsia="zh-CN"/>
                    </w:rPr>
                    <w:t>废MBR膜</w:t>
                  </w:r>
                </w:p>
              </w:tc>
              <w:tc>
                <w:tcPr>
                  <w:tcW w:w="2554" w:type="pct"/>
                  <w:tcBorders>
                    <w:tl2br w:val="nil"/>
                    <w:tr2bl w:val="nil"/>
                  </w:tcBorders>
                  <w:noWrap w:val="0"/>
                  <w:vAlign w:val="center"/>
                </w:tcPr>
                <w:p w14:paraId="6168A34C">
                  <w:pPr>
                    <w:spacing w:line="240" w:lineRule="auto"/>
                    <w:jc w:val="center"/>
                    <w:rPr>
                      <w:rFonts w:hint="default"/>
                      <w:color w:val="auto"/>
                      <w:sz w:val="21"/>
                      <w:szCs w:val="21"/>
                      <w:lang w:val="en-US" w:eastAsia="zh-CN"/>
                    </w:rPr>
                  </w:pPr>
                  <w:r>
                    <w:rPr>
                      <w:rFonts w:hint="eastAsia"/>
                      <w:color w:val="auto"/>
                      <w:sz w:val="21"/>
                      <w:szCs w:val="21"/>
                      <w:lang w:val="en-US" w:eastAsia="zh-CN"/>
                    </w:rPr>
                    <w:t>交给有资质的处理单位</w:t>
                  </w:r>
                </w:p>
              </w:tc>
              <w:tc>
                <w:tcPr>
                  <w:tcW w:w="891" w:type="pct"/>
                  <w:tcBorders>
                    <w:tl2br w:val="nil"/>
                    <w:tr2bl w:val="nil"/>
                  </w:tcBorders>
                  <w:noWrap w:val="0"/>
                  <w:vAlign w:val="center"/>
                </w:tcPr>
                <w:p w14:paraId="235E1A9C">
                  <w:pPr>
                    <w:pStyle w:val="59"/>
                    <w:bidi w:val="0"/>
                    <w:spacing w:line="240" w:lineRule="auto"/>
                    <w:jc w:val="center"/>
                    <w:rPr>
                      <w:rFonts w:hint="default"/>
                      <w:color w:val="auto"/>
                      <w:sz w:val="21"/>
                      <w:szCs w:val="21"/>
                      <w:lang w:val="en-US" w:eastAsia="zh-CN"/>
                    </w:rPr>
                  </w:pPr>
                  <w:r>
                    <w:rPr>
                      <w:rFonts w:hint="eastAsia"/>
                      <w:color w:val="auto"/>
                      <w:sz w:val="21"/>
                      <w:szCs w:val="21"/>
                      <w:lang w:val="en-US" w:eastAsia="zh-CN"/>
                    </w:rPr>
                    <w:t>0.5</w:t>
                  </w:r>
                </w:p>
              </w:tc>
            </w:tr>
            <w:tr w14:paraId="6BDE51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825" w:hRule="atLeast"/>
                <w:jc w:val="center"/>
              </w:trPr>
              <w:tc>
                <w:tcPr>
                  <w:tcW w:w="314" w:type="pct"/>
                  <w:tcBorders>
                    <w:tl2br w:val="nil"/>
                    <w:tr2bl w:val="nil"/>
                  </w:tcBorders>
                  <w:noWrap w:val="0"/>
                  <w:vAlign w:val="center"/>
                </w:tcPr>
                <w:p w14:paraId="3238E598">
                  <w:pPr>
                    <w:pStyle w:val="59"/>
                    <w:bidi w:val="0"/>
                    <w:spacing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rPr>
                    <w:t>噪声</w:t>
                  </w:r>
                </w:p>
              </w:tc>
              <w:tc>
                <w:tcPr>
                  <w:tcW w:w="1239" w:type="pct"/>
                  <w:gridSpan w:val="2"/>
                  <w:tcBorders>
                    <w:tl2br w:val="nil"/>
                    <w:tr2bl w:val="nil"/>
                  </w:tcBorders>
                  <w:noWrap w:val="0"/>
                  <w:vAlign w:val="center"/>
                </w:tcPr>
                <w:p w14:paraId="351B78F6">
                  <w:pPr>
                    <w:pStyle w:val="59"/>
                    <w:bidi w:val="0"/>
                    <w:spacing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rPr>
                    <w:t>噪声设备</w:t>
                  </w:r>
                </w:p>
              </w:tc>
              <w:tc>
                <w:tcPr>
                  <w:tcW w:w="2554" w:type="pct"/>
                  <w:tcBorders>
                    <w:tl2br w:val="nil"/>
                    <w:tr2bl w:val="nil"/>
                  </w:tcBorders>
                  <w:noWrap w:val="0"/>
                  <w:vAlign w:val="center"/>
                </w:tcPr>
                <w:p w14:paraId="46F82A8D">
                  <w:pPr>
                    <w:pStyle w:val="59"/>
                    <w:bidi w:val="0"/>
                    <w:spacing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rPr>
                    <w:t>对设备采用基础减振、</w:t>
                  </w:r>
                  <w:r>
                    <w:rPr>
                      <w:rFonts w:hint="eastAsia" w:ascii="Times New Roman" w:hAnsi="Times New Roman" w:eastAsia="宋体"/>
                      <w:color w:val="auto"/>
                      <w:sz w:val="21"/>
                      <w:szCs w:val="21"/>
                      <w:lang w:val="en-US" w:eastAsia="zh-CN"/>
                    </w:rPr>
                    <w:t>合理布局距离衰减</w:t>
                  </w:r>
                  <w:r>
                    <w:rPr>
                      <w:rFonts w:hint="eastAsia" w:ascii="Times New Roman" w:hAnsi="Times New Roman" w:eastAsia="宋体"/>
                      <w:color w:val="auto"/>
                      <w:sz w:val="21"/>
                      <w:szCs w:val="21"/>
                    </w:rPr>
                    <w:t>降噪等措施</w:t>
                  </w:r>
                </w:p>
              </w:tc>
              <w:tc>
                <w:tcPr>
                  <w:tcW w:w="891" w:type="pct"/>
                  <w:tcBorders>
                    <w:tl2br w:val="nil"/>
                    <w:tr2bl w:val="nil"/>
                  </w:tcBorders>
                  <w:noWrap w:val="0"/>
                  <w:vAlign w:val="center"/>
                </w:tcPr>
                <w:p w14:paraId="39E1B1C7">
                  <w:pPr>
                    <w:pStyle w:val="59"/>
                    <w:bidi w:val="0"/>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w:t>
                  </w:r>
                </w:p>
              </w:tc>
            </w:tr>
            <w:tr w14:paraId="08608E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511" w:hRule="atLeast"/>
                <w:jc w:val="center"/>
              </w:trPr>
              <w:tc>
                <w:tcPr>
                  <w:tcW w:w="1554" w:type="pct"/>
                  <w:gridSpan w:val="3"/>
                  <w:tcBorders>
                    <w:tl2br w:val="nil"/>
                    <w:tr2bl w:val="nil"/>
                  </w:tcBorders>
                  <w:noWrap w:val="0"/>
                  <w:vAlign w:val="center"/>
                </w:tcPr>
                <w:p w14:paraId="4FB5E632">
                  <w:pPr>
                    <w:pStyle w:val="59"/>
                    <w:bidi w:val="0"/>
                    <w:spacing w:line="240" w:lineRule="auto"/>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风险事故</w:t>
                  </w:r>
                </w:p>
              </w:tc>
              <w:tc>
                <w:tcPr>
                  <w:tcW w:w="2554" w:type="pct"/>
                  <w:tcBorders>
                    <w:tl2br w:val="nil"/>
                    <w:tr2bl w:val="nil"/>
                  </w:tcBorders>
                  <w:noWrap w:val="0"/>
                  <w:vAlign w:val="center"/>
                </w:tcPr>
                <w:p w14:paraId="0176D155">
                  <w:pPr>
                    <w:pStyle w:val="59"/>
                    <w:bidi w:val="0"/>
                    <w:spacing w:line="240" w:lineRule="auto"/>
                    <w:jc w:val="center"/>
                    <w:rPr>
                      <w:rFonts w:hint="eastAsia" w:ascii="Times New Roman" w:hAnsi="Times New Roman" w:eastAsia="宋体"/>
                      <w:color w:val="auto"/>
                      <w:sz w:val="21"/>
                      <w:szCs w:val="21"/>
                      <w:lang w:eastAsia="zh-CN"/>
                    </w:rPr>
                  </w:pPr>
                  <w:r>
                    <w:rPr>
                      <w:rFonts w:hint="eastAsia"/>
                      <w:color w:val="auto"/>
                      <w:sz w:val="21"/>
                      <w:szCs w:val="21"/>
                      <w:lang w:val="en-US" w:eastAsia="zh-CN"/>
                    </w:rPr>
                    <w:t>1个3m</w:t>
                  </w:r>
                  <w:r>
                    <w:rPr>
                      <w:rFonts w:hint="eastAsia"/>
                      <w:color w:val="auto"/>
                      <w:sz w:val="21"/>
                      <w:szCs w:val="21"/>
                      <w:vertAlign w:val="superscript"/>
                      <w:lang w:val="en-US" w:eastAsia="zh-CN"/>
                    </w:rPr>
                    <w:t>3</w:t>
                  </w:r>
                  <w:r>
                    <w:rPr>
                      <w:rFonts w:hint="eastAsia" w:ascii="Times New Roman" w:hAnsi="Times New Roman" w:eastAsia="宋体"/>
                      <w:color w:val="auto"/>
                      <w:sz w:val="21"/>
                      <w:szCs w:val="21"/>
                      <w:lang w:eastAsia="zh-CN"/>
                    </w:rPr>
                    <w:t>事故池</w:t>
                  </w:r>
                </w:p>
              </w:tc>
              <w:tc>
                <w:tcPr>
                  <w:tcW w:w="891" w:type="pct"/>
                  <w:tcBorders>
                    <w:tl2br w:val="nil"/>
                    <w:tr2bl w:val="nil"/>
                  </w:tcBorders>
                  <w:noWrap w:val="0"/>
                  <w:vAlign w:val="center"/>
                </w:tcPr>
                <w:p w14:paraId="7823038B">
                  <w:pPr>
                    <w:pStyle w:val="59"/>
                    <w:bidi w:val="0"/>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1</w:t>
                  </w:r>
                </w:p>
              </w:tc>
            </w:tr>
            <w:tr w14:paraId="09DA96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601" w:hRule="atLeast"/>
                <w:jc w:val="center"/>
              </w:trPr>
              <w:tc>
                <w:tcPr>
                  <w:tcW w:w="1554" w:type="pct"/>
                  <w:gridSpan w:val="3"/>
                  <w:tcBorders>
                    <w:tl2br w:val="nil"/>
                    <w:tr2bl w:val="nil"/>
                  </w:tcBorders>
                  <w:noWrap w:val="0"/>
                  <w:vAlign w:val="center"/>
                </w:tcPr>
                <w:p w14:paraId="0ECCA5A9">
                  <w:pPr>
                    <w:pStyle w:val="59"/>
                    <w:bidi w:val="0"/>
                    <w:spacing w:line="240" w:lineRule="auto"/>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防渗</w:t>
                  </w:r>
                </w:p>
              </w:tc>
              <w:tc>
                <w:tcPr>
                  <w:tcW w:w="2554" w:type="pct"/>
                  <w:tcBorders>
                    <w:tl2br w:val="nil"/>
                    <w:tr2bl w:val="nil"/>
                  </w:tcBorders>
                  <w:noWrap w:val="0"/>
                  <w:vAlign w:val="center"/>
                </w:tcPr>
                <w:p w14:paraId="5B8CBA03">
                  <w:pPr>
                    <w:jc w:val="both"/>
                    <w:rPr>
                      <w:rFonts w:hint="eastAsia"/>
                      <w:color w:val="auto"/>
                      <w:lang w:val="en-US" w:eastAsia="zh-CN"/>
                    </w:rPr>
                  </w:pPr>
                  <w:r>
                    <w:rPr>
                      <w:rFonts w:hint="eastAsia" w:ascii="Times New Roman" w:hAnsi="Times New Roman" w:eastAsia="宋体"/>
                      <w:color w:val="auto"/>
                      <w:sz w:val="21"/>
                      <w:szCs w:val="21"/>
                      <w:lang w:eastAsia="zh-CN"/>
                    </w:rPr>
                    <w:t>分区防渗、加强监控和管理</w:t>
                  </w:r>
                  <w:r>
                    <w:rPr>
                      <w:rFonts w:hint="eastAsia"/>
                      <w:color w:val="auto"/>
                      <w:lang w:eastAsia="zh-CN"/>
                    </w:rPr>
                    <w:t>。</w:t>
                  </w:r>
                  <w:r>
                    <w:rPr>
                      <w:rFonts w:hint="eastAsia"/>
                      <w:color w:val="auto"/>
                      <w:lang w:val="en-US" w:eastAsia="zh-CN"/>
                    </w:rPr>
                    <w:t>重点防渗区：等效黏土防渗层Mb≥6.0m，K≤1.0×10</w:t>
                  </w:r>
                  <w:r>
                    <w:rPr>
                      <w:rFonts w:hint="eastAsia"/>
                      <w:color w:val="auto"/>
                      <w:vertAlign w:val="superscript"/>
                      <w:lang w:val="en-US" w:eastAsia="zh-CN"/>
                    </w:rPr>
                    <w:t>-7</w:t>
                  </w:r>
                  <w:r>
                    <w:rPr>
                      <w:rFonts w:hint="eastAsia"/>
                      <w:color w:val="auto"/>
                      <w:lang w:val="en-US" w:eastAsia="zh-CN"/>
                    </w:rPr>
                    <w:t>cm/s。</w:t>
                  </w:r>
                </w:p>
                <w:p w14:paraId="0CF49CD9">
                  <w:pPr>
                    <w:jc w:val="both"/>
                    <w:rPr>
                      <w:rFonts w:hint="eastAsia"/>
                      <w:color w:val="auto"/>
                      <w:lang w:val="en-US" w:eastAsia="zh-CN"/>
                    </w:rPr>
                  </w:pPr>
                  <w:r>
                    <w:rPr>
                      <w:rFonts w:hint="eastAsia"/>
                      <w:color w:val="auto"/>
                      <w:lang w:val="en-US" w:eastAsia="zh-CN"/>
                    </w:rPr>
                    <w:t>一般防渗区:等效黏土防渗层厚≥1.5m,渗透系数≤1.0×10</w:t>
                  </w:r>
                  <w:r>
                    <w:rPr>
                      <w:rFonts w:hint="eastAsia"/>
                      <w:color w:val="auto"/>
                      <w:vertAlign w:val="superscript"/>
                      <w:lang w:val="en-US" w:eastAsia="zh-CN"/>
                    </w:rPr>
                    <w:t>-7</w:t>
                  </w:r>
                  <w:r>
                    <w:rPr>
                      <w:rFonts w:hint="eastAsia"/>
                      <w:color w:val="auto"/>
                      <w:lang w:val="en-US" w:eastAsia="zh-CN"/>
                    </w:rPr>
                    <w:t>cm/s；或者参考GB16889执行</w:t>
                  </w:r>
                </w:p>
                <w:p w14:paraId="1BEF2DC3">
                  <w:pPr>
                    <w:jc w:val="both"/>
                    <w:rPr>
                      <w:rFonts w:hint="default" w:ascii="Times New Roman" w:hAnsi="Times New Roman" w:eastAsia="宋体"/>
                      <w:color w:val="auto"/>
                      <w:sz w:val="21"/>
                      <w:szCs w:val="21"/>
                      <w:lang w:val="en-US" w:eastAsia="zh-CN"/>
                    </w:rPr>
                  </w:pPr>
                  <w:r>
                    <w:rPr>
                      <w:rFonts w:hint="eastAsia"/>
                      <w:color w:val="auto"/>
                      <w:lang w:val="en-US" w:eastAsia="zh-CN"/>
                    </w:rPr>
                    <w:t>简单防渗区：地面硬化处理</w:t>
                  </w:r>
                </w:p>
              </w:tc>
              <w:tc>
                <w:tcPr>
                  <w:tcW w:w="891" w:type="pct"/>
                  <w:tcBorders>
                    <w:tl2br w:val="nil"/>
                    <w:tr2bl w:val="nil"/>
                  </w:tcBorders>
                  <w:noWrap w:val="0"/>
                  <w:vAlign w:val="center"/>
                </w:tcPr>
                <w:p w14:paraId="26F504CB">
                  <w:pPr>
                    <w:pStyle w:val="59"/>
                    <w:bidi w:val="0"/>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2</w:t>
                  </w:r>
                </w:p>
              </w:tc>
            </w:tr>
            <w:tr w14:paraId="78CBC2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26" w:hRule="atLeast"/>
                <w:jc w:val="center"/>
              </w:trPr>
              <w:tc>
                <w:tcPr>
                  <w:tcW w:w="1554" w:type="pct"/>
                  <w:gridSpan w:val="3"/>
                  <w:tcBorders>
                    <w:tl2br w:val="nil"/>
                    <w:tr2bl w:val="nil"/>
                  </w:tcBorders>
                  <w:noWrap w:val="0"/>
                  <w:vAlign w:val="center"/>
                </w:tcPr>
                <w:p w14:paraId="449DA8D6">
                  <w:pPr>
                    <w:pStyle w:val="59"/>
                    <w:bidi w:val="0"/>
                    <w:spacing w:line="240" w:lineRule="auto"/>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其他</w:t>
                  </w:r>
                </w:p>
              </w:tc>
              <w:tc>
                <w:tcPr>
                  <w:tcW w:w="2554" w:type="pct"/>
                  <w:tcBorders>
                    <w:tl2br w:val="nil"/>
                    <w:tr2bl w:val="nil"/>
                  </w:tcBorders>
                  <w:noWrap w:val="0"/>
                  <w:vAlign w:val="center"/>
                </w:tcPr>
                <w:p w14:paraId="2E8A6E64">
                  <w:pPr>
                    <w:pStyle w:val="59"/>
                    <w:bidi w:val="0"/>
                    <w:spacing w:line="240" w:lineRule="auto"/>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厂区绿化</w:t>
                  </w:r>
                </w:p>
              </w:tc>
              <w:tc>
                <w:tcPr>
                  <w:tcW w:w="891" w:type="pct"/>
                  <w:tcBorders>
                    <w:tl2br w:val="nil"/>
                    <w:tr2bl w:val="nil"/>
                  </w:tcBorders>
                  <w:noWrap w:val="0"/>
                  <w:vAlign w:val="center"/>
                </w:tcPr>
                <w:p w14:paraId="66EDC7AF">
                  <w:pPr>
                    <w:pStyle w:val="59"/>
                    <w:bidi w:val="0"/>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0.5</w:t>
                  </w:r>
                </w:p>
              </w:tc>
            </w:tr>
            <w:tr w14:paraId="13E17A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22" w:hRule="atLeast"/>
                <w:jc w:val="center"/>
              </w:trPr>
              <w:tc>
                <w:tcPr>
                  <w:tcW w:w="4108" w:type="pct"/>
                  <w:gridSpan w:val="4"/>
                  <w:tcBorders>
                    <w:tl2br w:val="nil"/>
                    <w:tr2bl w:val="nil"/>
                  </w:tcBorders>
                  <w:noWrap w:val="0"/>
                  <w:vAlign w:val="center"/>
                </w:tcPr>
                <w:p w14:paraId="4A0BA117">
                  <w:pPr>
                    <w:pStyle w:val="59"/>
                    <w:bidi w:val="0"/>
                    <w:spacing w:line="240" w:lineRule="auto"/>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合计</w:t>
                  </w:r>
                </w:p>
              </w:tc>
              <w:tc>
                <w:tcPr>
                  <w:tcW w:w="891" w:type="pct"/>
                  <w:tcBorders>
                    <w:tl2br w:val="nil"/>
                    <w:tr2bl w:val="nil"/>
                  </w:tcBorders>
                  <w:noWrap w:val="0"/>
                  <w:vAlign w:val="center"/>
                </w:tcPr>
                <w:p w14:paraId="5214ECA1">
                  <w:pPr>
                    <w:pStyle w:val="59"/>
                    <w:bidi w:val="0"/>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23</w:t>
                  </w:r>
                </w:p>
              </w:tc>
            </w:tr>
          </w:tbl>
          <w:p w14:paraId="7A8E61A3">
            <w:pPr>
              <w:adjustRightInd w:val="0"/>
              <w:snapToGrid w:val="0"/>
              <w:spacing w:line="360" w:lineRule="auto"/>
              <w:ind w:firstLine="482" w:firstLineChars="200"/>
              <w:jc w:val="left"/>
              <w:rPr>
                <w:b/>
                <w:bCs/>
                <w:color w:val="auto"/>
                <w:sz w:val="24"/>
              </w:rPr>
            </w:pPr>
            <w:r>
              <w:rPr>
                <w:rFonts w:hint="eastAsia"/>
                <w:b/>
                <w:bCs/>
                <w:color w:val="auto"/>
                <w:sz w:val="24"/>
              </w:rPr>
              <w:t>八、排污口规范化设置</w:t>
            </w:r>
          </w:p>
          <w:p w14:paraId="7A2301AF">
            <w:pPr>
              <w:adjustRightInd w:val="0"/>
              <w:snapToGrid w:val="0"/>
              <w:spacing w:line="360" w:lineRule="auto"/>
              <w:ind w:firstLine="480" w:firstLineChars="200"/>
              <w:jc w:val="left"/>
              <w:rPr>
                <w:color w:val="auto"/>
                <w:kern w:val="18"/>
                <w:sz w:val="24"/>
              </w:rPr>
            </w:pPr>
            <w:r>
              <w:rPr>
                <w:color w:val="auto"/>
                <w:kern w:val="18"/>
                <w:sz w:val="24"/>
              </w:rPr>
              <w:t>废水排放口、固定噪声源、固体废物贮存和排气筒和危险废物等必须按照国家和江西省的有关规定进行建设，应符合</w:t>
            </w:r>
            <w:r>
              <w:rPr>
                <w:rFonts w:ascii="宋体" w:hAnsi="宋体"/>
                <w:color w:val="auto"/>
                <w:kern w:val="18"/>
                <w:sz w:val="24"/>
              </w:rPr>
              <w:t>“一明显、二合理、三便于”</w:t>
            </w:r>
            <w:r>
              <w:rPr>
                <w:color w:val="auto"/>
                <w:kern w:val="18"/>
                <w:sz w:val="24"/>
              </w:rPr>
              <w:t>的要求，即环保标志明显，排污口设置合理，便于采集样品、便于监测计量、便于公众参与和监督管理。同时要求按照国家环保总局制定的《环境保护图形标志实施细则（试行）》的规定，设置与排污口相应的图形标志牌。</w:t>
            </w:r>
          </w:p>
          <w:p w14:paraId="2956903E">
            <w:pPr>
              <w:adjustRightInd w:val="0"/>
              <w:snapToGrid w:val="0"/>
              <w:spacing w:line="360" w:lineRule="auto"/>
              <w:ind w:firstLine="480" w:firstLineChars="200"/>
              <w:jc w:val="left"/>
              <w:rPr>
                <w:color w:val="auto"/>
                <w:kern w:val="18"/>
                <w:sz w:val="24"/>
              </w:rPr>
            </w:pPr>
            <w:r>
              <w:rPr>
                <w:color w:val="auto"/>
                <w:kern w:val="18"/>
                <w:sz w:val="24"/>
              </w:rPr>
              <w:t>（1）排气筒设置取样口，并具备采样监测条件，废水排放口附近树立图形标志牌。</w:t>
            </w:r>
          </w:p>
          <w:p w14:paraId="3FB34E3E">
            <w:pPr>
              <w:adjustRightInd w:val="0"/>
              <w:snapToGrid w:val="0"/>
              <w:spacing w:line="360" w:lineRule="auto"/>
              <w:ind w:firstLine="480" w:firstLineChars="200"/>
              <w:jc w:val="left"/>
              <w:rPr>
                <w:color w:val="auto"/>
                <w:kern w:val="18"/>
                <w:sz w:val="24"/>
              </w:rPr>
            </w:pPr>
            <w:r>
              <w:rPr>
                <w:color w:val="auto"/>
                <w:kern w:val="18"/>
                <w:sz w:val="24"/>
              </w:rPr>
              <w:t>（2）排污口管理。建设单位应在各个排污口处树立标志牌，并如实填写《中华人民共和国规范化排污口标记登记证》，由环保部门签发。生态环境主管部门和建设单位可分别按以下内容建立排污口管理的专门档案：排污口性质和编号；位置；排放主要污染物种类、数量、浓度；排放去向；达标情况；治理设施运行情况及整改意见。</w:t>
            </w:r>
          </w:p>
          <w:p w14:paraId="1023F18C">
            <w:pPr>
              <w:adjustRightInd w:val="0"/>
              <w:snapToGrid w:val="0"/>
              <w:spacing w:line="360" w:lineRule="auto"/>
              <w:ind w:firstLine="480" w:firstLineChars="200"/>
              <w:jc w:val="left"/>
              <w:rPr>
                <w:color w:val="auto"/>
                <w:kern w:val="18"/>
                <w:sz w:val="24"/>
              </w:rPr>
            </w:pPr>
            <w:r>
              <w:rPr>
                <w:color w:val="auto"/>
                <w:kern w:val="18"/>
                <w:sz w:val="24"/>
              </w:rPr>
              <w:t>（3）环境保护图形标志</w:t>
            </w:r>
          </w:p>
          <w:p w14:paraId="4F4E2DE1">
            <w:pPr>
              <w:adjustRightInd w:val="0"/>
              <w:snapToGrid w:val="0"/>
              <w:spacing w:line="360" w:lineRule="auto"/>
              <w:ind w:firstLine="480" w:firstLineChars="200"/>
              <w:jc w:val="left"/>
              <w:rPr>
                <w:color w:val="auto"/>
                <w:kern w:val="18"/>
                <w:sz w:val="24"/>
              </w:rPr>
            </w:pPr>
            <w:r>
              <w:rPr>
                <w:color w:val="auto"/>
                <w:kern w:val="18"/>
                <w:sz w:val="24"/>
              </w:rPr>
              <w:t>在厂区的废气排放源、固体废物贮存处置场应设置环境保护图形标志，图形符号分为提示图形和警告图形符号两种，分别按GB15562.1-1995、GB15562.2-1995执行。环境保护图形标志的形状及颜色见</w:t>
            </w:r>
            <w:r>
              <w:rPr>
                <w:rFonts w:hint="eastAsia"/>
                <w:color w:val="auto"/>
                <w:kern w:val="18"/>
                <w:sz w:val="24"/>
              </w:rPr>
              <w:t>下</w:t>
            </w:r>
            <w:r>
              <w:rPr>
                <w:color w:val="auto"/>
                <w:kern w:val="18"/>
                <w:sz w:val="24"/>
              </w:rPr>
              <w:t>表，环境保护图形符号见</w:t>
            </w:r>
            <w:r>
              <w:rPr>
                <w:rFonts w:hint="eastAsia"/>
                <w:color w:val="auto"/>
                <w:kern w:val="18"/>
                <w:sz w:val="24"/>
              </w:rPr>
              <w:t>下</w:t>
            </w:r>
            <w:r>
              <w:rPr>
                <w:color w:val="auto"/>
                <w:kern w:val="18"/>
                <w:sz w:val="24"/>
              </w:rPr>
              <w:t>表。</w:t>
            </w:r>
          </w:p>
          <w:p w14:paraId="75F423AC">
            <w:pPr>
              <w:pStyle w:val="2"/>
              <w:rPr>
                <w:color w:val="auto"/>
              </w:rPr>
            </w:pPr>
          </w:p>
          <w:p w14:paraId="535B6F2F">
            <w:pPr>
              <w:pStyle w:val="49"/>
              <w:spacing w:line="240" w:lineRule="auto"/>
              <w:ind w:firstLine="0" w:firstLineChars="0"/>
              <w:jc w:val="center"/>
              <w:rPr>
                <w:b/>
                <w:bCs/>
                <w:color w:val="auto"/>
                <w:kern w:val="2"/>
                <w:sz w:val="21"/>
                <w:szCs w:val="21"/>
              </w:rPr>
            </w:pPr>
            <w:r>
              <w:rPr>
                <w:rFonts w:hint="eastAsia"/>
                <w:b/>
                <w:bCs/>
                <w:color w:val="auto"/>
                <w:kern w:val="2"/>
                <w:sz w:val="21"/>
                <w:szCs w:val="21"/>
              </w:rPr>
              <w:t>表4-2</w:t>
            </w:r>
            <w:r>
              <w:rPr>
                <w:rFonts w:hint="eastAsia"/>
                <w:b/>
                <w:bCs/>
                <w:color w:val="auto"/>
                <w:kern w:val="2"/>
                <w:sz w:val="21"/>
                <w:szCs w:val="21"/>
                <w:lang w:val="en-US" w:eastAsia="zh-CN"/>
              </w:rPr>
              <w:t xml:space="preserve">6  </w:t>
            </w:r>
            <w:r>
              <w:rPr>
                <w:rFonts w:hint="eastAsia"/>
                <w:b/>
                <w:bCs/>
                <w:color w:val="auto"/>
                <w:kern w:val="2"/>
                <w:sz w:val="21"/>
                <w:szCs w:val="21"/>
              </w:rPr>
              <w:t>环境保护图形标志的形状及颜色表</w:t>
            </w:r>
          </w:p>
          <w:tbl>
            <w:tblPr>
              <w:tblStyle w:val="17"/>
              <w:tblW w:w="48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2428"/>
              <w:gridCol w:w="2032"/>
              <w:gridCol w:w="2338"/>
            </w:tblGrid>
            <w:tr w14:paraId="0D38F0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930" w:type="pct"/>
                  <w:vAlign w:val="center"/>
                </w:tcPr>
                <w:p w14:paraId="210714ED">
                  <w:pPr>
                    <w:adjustRightInd w:val="0"/>
                    <w:snapToGrid w:val="0"/>
                    <w:jc w:val="center"/>
                    <w:rPr>
                      <w:b/>
                      <w:color w:val="auto"/>
                      <w:kern w:val="18"/>
                      <w:szCs w:val="21"/>
                    </w:rPr>
                  </w:pPr>
                  <w:r>
                    <w:rPr>
                      <w:b/>
                      <w:color w:val="auto"/>
                      <w:kern w:val="18"/>
                      <w:szCs w:val="21"/>
                    </w:rPr>
                    <w:t>标志名称</w:t>
                  </w:r>
                </w:p>
              </w:tc>
              <w:tc>
                <w:tcPr>
                  <w:tcW w:w="1453" w:type="pct"/>
                  <w:vAlign w:val="center"/>
                </w:tcPr>
                <w:p w14:paraId="752B4051">
                  <w:pPr>
                    <w:adjustRightInd w:val="0"/>
                    <w:snapToGrid w:val="0"/>
                    <w:jc w:val="center"/>
                    <w:rPr>
                      <w:b/>
                      <w:color w:val="auto"/>
                      <w:kern w:val="18"/>
                      <w:szCs w:val="21"/>
                    </w:rPr>
                  </w:pPr>
                  <w:r>
                    <w:rPr>
                      <w:b/>
                      <w:color w:val="auto"/>
                      <w:kern w:val="18"/>
                      <w:szCs w:val="21"/>
                    </w:rPr>
                    <w:t>形状</w:t>
                  </w:r>
                </w:p>
              </w:tc>
              <w:tc>
                <w:tcPr>
                  <w:tcW w:w="1216" w:type="pct"/>
                  <w:vAlign w:val="center"/>
                </w:tcPr>
                <w:p w14:paraId="75D5AAC1">
                  <w:pPr>
                    <w:adjustRightInd w:val="0"/>
                    <w:snapToGrid w:val="0"/>
                    <w:jc w:val="center"/>
                    <w:rPr>
                      <w:b/>
                      <w:color w:val="auto"/>
                      <w:kern w:val="18"/>
                      <w:szCs w:val="21"/>
                    </w:rPr>
                  </w:pPr>
                  <w:r>
                    <w:rPr>
                      <w:b/>
                      <w:color w:val="auto"/>
                      <w:kern w:val="18"/>
                      <w:szCs w:val="21"/>
                    </w:rPr>
                    <w:t>背景颜色</w:t>
                  </w:r>
                </w:p>
              </w:tc>
              <w:tc>
                <w:tcPr>
                  <w:tcW w:w="1399" w:type="pct"/>
                  <w:vAlign w:val="center"/>
                </w:tcPr>
                <w:p w14:paraId="0E6264BE">
                  <w:pPr>
                    <w:adjustRightInd w:val="0"/>
                    <w:snapToGrid w:val="0"/>
                    <w:jc w:val="center"/>
                    <w:rPr>
                      <w:b/>
                      <w:color w:val="auto"/>
                      <w:kern w:val="18"/>
                      <w:szCs w:val="21"/>
                    </w:rPr>
                  </w:pPr>
                  <w:r>
                    <w:rPr>
                      <w:b/>
                      <w:color w:val="auto"/>
                      <w:kern w:val="18"/>
                      <w:szCs w:val="21"/>
                    </w:rPr>
                    <w:t>图形颜色</w:t>
                  </w:r>
                </w:p>
              </w:tc>
            </w:tr>
            <w:tr w14:paraId="2AA5EB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930" w:type="pct"/>
                  <w:vAlign w:val="center"/>
                </w:tcPr>
                <w:p w14:paraId="584FB51B">
                  <w:pPr>
                    <w:adjustRightInd w:val="0"/>
                    <w:snapToGrid w:val="0"/>
                    <w:jc w:val="center"/>
                    <w:rPr>
                      <w:color w:val="auto"/>
                      <w:kern w:val="18"/>
                      <w:szCs w:val="21"/>
                    </w:rPr>
                  </w:pPr>
                  <w:r>
                    <w:rPr>
                      <w:color w:val="auto"/>
                      <w:kern w:val="18"/>
                      <w:szCs w:val="21"/>
                    </w:rPr>
                    <w:t>警告标志</w:t>
                  </w:r>
                </w:p>
              </w:tc>
              <w:tc>
                <w:tcPr>
                  <w:tcW w:w="1453" w:type="pct"/>
                  <w:vAlign w:val="center"/>
                </w:tcPr>
                <w:p w14:paraId="1940EF69">
                  <w:pPr>
                    <w:adjustRightInd w:val="0"/>
                    <w:snapToGrid w:val="0"/>
                    <w:jc w:val="center"/>
                    <w:rPr>
                      <w:color w:val="auto"/>
                      <w:kern w:val="18"/>
                      <w:szCs w:val="21"/>
                    </w:rPr>
                  </w:pPr>
                  <w:r>
                    <w:rPr>
                      <w:color w:val="auto"/>
                      <w:kern w:val="18"/>
                      <w:szCs w:val="21"/>
                    </w:rPr>
                    <w:t>三角形边框</w:t>
                  </w:r>
                </w:p>
              </w:tc>
              <w:tc>
                <w:tcPr>
                  <w:tcW w:w="1216" w:type="pct"/>
                  <w:vAlign w:val="center"/>
                </w:tcPr>
                <w:p w14:paraId="331FC949">
                  <w:pPr>
                    <w:adjustRightInd w:val="0"/>
                    <w:snapToGrid w:val="0"/>
                    <w:jc w:val="center"/>
                    <w:rPr>
                      <w:color w:val="auto"/>
                      <w:kern w:val="18"/>
                      <w:szCs w:val="21"/>
                    </w:rPr>
                  </w:pPr>
                  <w:r>
                    <w:rPr>
                      <w:color w:val="auto"/>
                      <w:kern w:val="18"/>
                      <w:szCs w:val="21"/>
                    </w:rPr>
                    <w:t>黄色</w:t>
                  </w:r>
                </w:p>
              </w:tc>
              <w:tc>
                <w:tcPr>
                  <w:tcW w:w="1399" w:type="pct"/>
                  <w:vAlign w:val="center"/>
                </w:tcPr>
                <w:p w14:paraId="33E18680">
                  <w:pPr>
                    <w:adjustRightInd w:val="0"/>
                    <w:snapToGrid w:val="0"/>
                    <w:jc w:val="center"/>
                    <w:rPr>
                      <w:color w:val="auto"/>
                      <w:kern w:val="18"/>
                      <w:szCs w:val="21"/>
                    </w:rPr>
                  </w:pPr>
                  <w:r>
                    <w:rPr>
                      <w:color w:val="auto"/>
                      <w:kern w:val="18"/>
                      <w:szCs w:val="21"/>
                    </w:rPr>
                    <w:t>黑色</w:t>
                  </w:r>
                </w:p>
              </w:tc>
            </w:tr>
            <w:tr w14:paraId="451DC7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930" w:type="pct"/>
                  <w:vAlign w:val="center"/>
                </w:tcPr>
                <w:p w14:paraId="66DEE641">
                  <w:pPr>
                    <w:adjustRightInd w:val="0"/>
                    <w:snapToGrid w:val="0"/>
                    <w:jc w:val="center"/>
                    <w:rPr>
                      <w:color w:val="auto"/>
                      <w:kern w:val="18"/>
                      <w:szCs w:val="21"/>
                    </w:rPr>
                  </w:pPr>
                  <w:r>
                    <w:rPr>
                      <w:color w:val="auto"/>
                      <w:kern w:val="18"/>
                      <w:szCs w:val="21"/>
                    </w:rPr>
                    <w:t>提示标志</w:t>
                  </w:r>
                </w:p>
              </w:tc>
              <w:tc>
                <w:tcPr>
                  <w:tcW w:w="1453" w:type="pct"/>
                  <w:vAlign w:val="center"/>
                </w:tcPr>
                <w:p w14:paraId="241922CD">
                  <w:pPr>
                    <w:adjustRightInd w:val="0"/>
                    <w:snapToGrid w:val="0"/>
                    <w:jc w:val="center"/>
                    <w:rPr>
                      <w:color w:val="auto"/>
                      <w:kern w:val="18"/>
                      <w:szCs w:val="21"/>
                    </w:rPr>
                  </w:pPr>
                  <w:r>
                    <w:rPr>
                      <w:color w:val="auto"/>
                      <w:kern w:val="18"/>
                      <w:szCs w:val="21"/>
                    </w:rPr>
                    <w:t>正方形边框</w:t>
                  </w:r>
                </w:p>
              </w:tc>
              <w:tc>
                <w:tcPr>
                  <w:tcW w:w="1216" w:type="pct"/>
                  <w:vAlign w:val="center"/>
                </w:tcPr>
                <w:p w14:paraId="18B25D9C">
                  <w:pPr>
                    <w:adjustRightInd w:val="0"/>
                    <w:snapToGrid w:val="0"/>
                    <w:jc w:val="center"/>
                    <w:rPr>
                      <w:color w:val="auto"/>
                      <w:kern w:val="18"/>
                      <w:szCs w:val="21"/>
                    </w:rPr>
                  </w:pPr>
                  <w:r>
                    <w:rPr>
                      <w:color w:val="auto"/>
                      <w:kern w:val="18"/>
                      <w:szCs w:val="21"/>
                    </w:rPr>
                    <w:t>绿色</w:t>
                  </w:r>
                </w:p>
              </w:tc>
              <w:tc>
                <w:tcPr>
                  <w:tcW w:w="1399" w:type="pct"/>
                  <w:vAlign w:val="center"/>
                </w:tcPr>
                <w:p w14:paraId="09751834">
                  <w:pPr>
                    <w:adjustRightInd w:val="0"/>
                    <w:snapToGrid w:val="0"/>
                    <w:jc w:val="center"/>
                    <w:rPr>
                      <w:color w:val="auto"/>
                      <w:kern w:val="18"/>
                      <w:szCs w:val="21"/>
                    </w:rPr>
                  </w:pPr>
                  <w:r>
                    <w:rPr>
                      <w:color w:val="auto"/>
                      <w:kern w:val="18"/>
                      <w:szCs w:val="21"/>
                    </w:rPr>
                    <w:t>白色</w:t>
                  </w:r>
                </w:p>
              </w:tc>
            </w:tr>
          </w:tbl>
          <w:p w14:paraId="3E720537">
            <w:pPr>
              <w:adjustRightInd w:val="0"/>
              <w:snapToGrid w:val="0"/>
              <w:jc w:val="center"/>
              <w:rPr>
                <w:b/>
                <w:bCs/>
                <w:color w:val="auto"/>
                <w:szCs w:val="21"/>
              </w:rPr>
            </w:pPr>
            <w:r>
              <w:rPr>
                <w:rFonts w:hint="eastAsia"/>
                <w:b/>
                <w:bCs/>
                <w:color w:val="auto"/>
                <w:szCs w:val="21"/>
              </w:rPr>
              <w:t>表4-2</w:t>
            </w:r>
            <w:r>
              <w:rPr>
                <w:rFonts w:hint="eastAsia"/>
                <w:b/>
                <w:bCs/>
                <w:color w:val="auto"/>
                <w:szCs w:val="21"/>
                <w:lang w:val="en-US" w:eastAsia="zh-CN"/>
              </w:rPr>
              <w:t>7</w:t>
            </w:r>
            <w:r>
              <w:rPr>
                <w:rFonts w:hint="eastAsia"/>
                <w:b/>
                <w:bCs/>
                <w:color w:val="auto"/>
                <w:szCs w:val="21"/>
              </w:rPr>
              <w:t xml:space="preserve">  环境保护图形符号一览表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572"/>
              <w:gridCol w:w="1738"/>
              <w:gridCol w:w="1496"/>
              <w:gridCol w:w="2980"/>
            </w:tblGrid>
            <w:tr w14:paraId="318862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3" w:type="pct"/>
                  <w:vAlign w:val="center"/>
                </w:tcPr>
                <w:p w14:paraId="659E8FF7">
                  <w:pPr>
                    <w:pStyle w:val="16"/>
                    <w:snapToGrid w:val="0"/>
                    <w:jc w:val="center"/>
                    <w:rPr>
                      <w:rFonts w:ascii="Times New Roman" w:hAnsi="Times New Roman"/>
                      <w:b/>
                      <w:color w:val="auto"/>
                      <w:sz w:val="21"/>
                      <w:szCs w:val="21"/>
                    </w:rPr>
                  </w:pPr>
                  <w:r>
                    <w:rPr>
                      <w:rFonts w:ascii="Times New Roman" w:hAnsi="Times New Roman"/>
                      <w:b/>
                      <w:color w:val="auto"/>
                      <w:sz w:val="21"/>
                      <w:szCs w:val="21"/>
                    </w:rPr>
                    <w:t>序号</w:t>
                  </w:r>
                </w:p>
              </w:tc>
              <w:tc>
                <w:tcPr>
                  <w:tcW w:w="922" w:type="pct"/>
                  <w:vAlign w:val="center"/>
                </w:tcPr>
                <w:p w14:paraId="554D704E">
                  <w:pPr>
                    <w:pStyle w:val="16"/>
                    <w:snapToGrid w:val="0"/>
                    <w:jc w:val="center"/>
                    <w:rPr>
                      <w:rFonts w:ascii="Times New Roman" w:hAnsi="Times New Roman"/>
                      <w:b/>
                      <w:color w:val="auto"/>
                      <w:sz w:val="21"/>
                      <w:szCs w:val="21"/>
                    </w:rPr>
                  </w:pPr>
                  <w:r>
                    <w:rPr>
                      <w:rFonts w:ascii="Times New Roman" w:hAnsi="Times New Roman"/>
                      <w:b/>
                      <w:color w:val="auto"/>
                      <w:sz w:val="21"/>
                      <w:szCs w:val="21"/>
                    </w:rPr>
                    <w:t>提示图形符号</w:t>
                  </w:r>
                </w:p>
              </w:tc>
              <w:tc>
                <w:tcPr>
                  <w:tcW w:w="1019" w:type="pct"/>
                  <w:vAlign w:val="center"/>
                </w:tcPr>
                <w:p w14:paraId="00DBB5C9">
                  <w:pPr>
                    <w:pStyle w:val="16"/>
                    <w:snapToGrid w:val="0"/>
                    <w:jc w:val="center"/>
                    <w:rPr>
                      <w:rFonts w:ascii="Times New Roman" w:hAnsi="Times New Roman"/>
                      <w:b/>
                      <w:color w:val="auto"/>
                      <w:sz w:val="21"/>
                      <w:szCs w:val="21"/>
                    </w:rPr>
                  </w:pPr>
                  <w:r>
                    <w:rPr>
                      <w:rFonts w:ascii="Times New Roman" w:hAnsi="Times New Roman"/>
                      <w:b/>
                      <w:color w:val="auto"/>
                      <w:sz w:val="21"/>
                      <w:szCs w:val="21"/>
                    </w:rPr>
                    <w:t>警告图形符号</w:t>
                  </w:r>
                </w:p>
              </w:tc>
              <w:tc>
                <w:tcPr>
                  <w:tcW w:w="877" w:type="pct"/>
                  <w:vAlign w:val="center"/>
                </w:tcPr>
                <w:p w14:paraId="2B5F152C">
                  <w:pPr>
                    <w:pStyle w:val="16"/>
                    <w:snapToGrid w:val="0"/>
                    <w:jc w:val="center"/>
                    <w:rPr>
                      <w:rFonts w:ascii="Times New Roman" w:hAnsi="Times New Roman"/>
                      <w:b/>
                      <w:color w:val="auto"/>
                      <w:sz w:val="21"/>
                      <w:szCs w:val="21"/>
                    </w:rPr>
                  </w:pPr>
                  <w:r>
                    <w:rPr>
                      <w:rFonts w:ascii="Times New Roman" w:hAnsi="Times New Roman"/>
                      <w:b/>
                      <w:color w:val="auto"/>
                      <w:sz w:val="21"/>
                      <w:szCs w:val="21"/>
                    </w:rPr>
                    <w:t>名称</w:t>
                  </w:r>
                </w:p>
              </w:tc>
              <w:tc>
                <w:tcPr>
                  <w:tcW w:w="1747" w:type="pct"/>
                  <w:vAlign w:val="center"/>
                </w:tcPr>
                <w:p w14:paraId="674BE4B9">
                  <w:pPr>
                    <w:pStyle w:val="16"/>
                    <w:snapToGrid w:val="0"/>
                    <w:jc w:val="center"/>
                    <w:rPr>
                      <w:rFonts w:ascii="Times New Roman" w:hAnsi="Times New Roman"/>
                      <w:b/>
                      <w:color w:val="auto"/>
                      <w:sz w:val="21"/>
                      <w:szCs w:val="21"/>
                    </w:rPr>
                  </w:pPr>
                  <w:r>
                    <w:rPr>
                      <w:rFonts w:ascii="Times New Roman" w:hAnsi="Times New Roman"/>
                      <w:b/>
                      <w:color w:val="auto"/>
                      <w:sz w:val="21"/>
                      <w:szCs w:val="21"/>
                    </w:rPr>
                    <w:t>功能</w:t>
                  </w:r>
                </w:p>
              </w:tc>
            </w:tr>
            <w:tr w14:paraId="77334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14:paraId="63918C24">
                  <w:pPr>
                    <w:pStyle w:val="16"/>
                    <w:snapToGrid w:val="0"/>
                    <w:jc w:val="center"/>
                    <w:rPr>
                      <w:rFonts w:ascii="Times New Roman" w:hAnsi="Times New Roman"/>
                      <w:b/>
                      <w:color w:val="auto"/>
                      <w:sz w:val="21"/>
                      <w:szCs w:val="21"/>
                    </w:rPr>
                  </w:pPr>
                  <w:r>
                    <w:rPr>
                      <w:rFonts w:ascii="Times New Roman" w:hAnsi="Times New Roman"/>
                      <w:color w:val="auto"/>
                      <w:sz w:val="21"/>
                      <w:szCs w:val="21"/>
                    </w:rPr>
                    <w:t>1</w:t>
                  </w:r>
                </w:p>
              </w:tc>
              <w:tc>
                <w:tcPr>
                  <w:tcW w:w="922" w:type="pct"/>
                  <w:vAlign w:val="center"/>
                </w:tcPr>
                <w:p w14:paraId="22159DBD">
                  <w:pPr>
                    <w:pStyle w:val="15"/>
                    <w:spacing w:line="240" w:lineRule="auto"/>
                    <w:jc w:val="center"/>
                    <w:rPr>
                      <w:rFonts w:ascii="Times New Roman" w:hAnsi="Times New Roman" w:eastAsia="宋体"/>
                      <w:b/>
                      <w:color w:val="auto"/>
                      <w:szCs w:val="21"/>
                    </w:rPr>
                  </w:pPr>
                  <w:r>
                    <w:rPr>
                      <w:rFonts w:ascii="Times New Roman" w:hAnsi="Times New Roman" w:eastAsia="宋体"/>
                      <w:color w:val="auto"/>
                      <w:szCs w:val="21"/>
                    </w:rPr>
                    <w:drawing>
                      <wp:inline distT="0" distB="0" distL="114300" distR="114300">
                        <wp:extent cx="848360" cy="857250"/>
                        <wp:effectExtent l="0" t="0" r="8890" b="0"/>
                        <wp:docPr id="33" name="图片 27" descr="说明: 说明: 说明: 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descr="说明: 说明: 说明: 13001"/>
                                <pic:cNvPicPr>
                                  <a:picLocks noChangeAspect="1"/>
                                </pic:cNvPicPr>
                              </pic:nvPicPr>
                              <pic:blipFill>
                                <a:blip r:embed="rId25"/>
                                <a:stretch>
                                  <a:fillRect/>
                                </a:stretch>
                              </pic:blipFill>
                              <pic:spPr>
                                <a:xfrm>
                                  <a:off x="0" y="0"/>
                                  <a:ext cx="848360" cy="857250"/>
                                </a:xfrm>
                                <a:prstGeom prst="rect">
                                  <a:avLst/>
                                </a:prstGeom>
                                <a:noFill/>
                                <a:ln>
                                  <a:noFill/>
                                </a:ln>
                              </pic:spPr>
                            </pic:pic>
                          </a:graphicData>
                        </a:graphic>
                      </wp:inline>
                    </w:drawing>
                  </w:r>
                </w:p>
              </w:tc>
              <w:tc>
                <w:tcPr>
                  <w:tcW w:w="1019" w:type="pct"/>
                  <w:vAlign w:val="center"/>
                </w:tcPr>
                <w:p w14:paraId="1A478AE2">
                  <w:pPr>
                    <w:pStyle w:val="15"/>
                    <w:spacing w:line="240" w:lineRule="auto"/>
                    <w:jc w:val="center"/>
                    <w:rPr>
                      <w:rFonts w:ascii="Times New Roman" w:hAnsi="Times New Roman" w:eastAsia="宋体"/>
                      <w:b/>
                      <w:color w:val="auto"/>
                      <w:szCs w:val="21"/>
                    </w:rPr>
                  </w:pPr>
                  <w:r>
                    <w:rPr>
                      <w:rFonts w:ascii="Times New Roman" w:hAnsi="Times New Roman" w:eastAsia="宋体"/>
                      <w:color w:val="auto"/>
                      <w:szCs w:val="21"/>
                    </w:rPr>
                    <w:drawing>
                      <wp:inline distT="0" distB="0" distL="114300" distR="114300">
                        <wp:extent cx="826135" cy="836295"/>
                        <wp:effectExtent l="0" t="0" r="12065" b="1905"/>
                        <wp:docPr id="34" name="图片 28" descr="说明: 说明: 说明: 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descr="说明: 说明: 说明: 13002"/>
                                <pic:cNvPicPr>
                                  <a:picLocks noChangeAspect="1"/>
                                </pic:cNvPicPr>
                              </pic:nvPicPr>
                              <pic:blipFill>
                                <a:blip r:embed="rId26"/>
                                <a:stretch>
                                  <a:fillRect/>
                                </a:stretch>
                              </pic:blipFill>
                              <pic:spPr>
                                <a:xfrm>
                                  <a:off x="0" y="0"/>
                                  <a:ext cx="826135" cy="836295"/>
                                </a:xfrm>
                                <a:prstGeom prst="rect">
                                  <a:avLst/>
                                </a:prstGeom>
                                <a:noFill/>
                                <a:ln>
                                  <a:noFill/>
                                </a:ln>
                              </pic:spPr>
                            </pic:pic>
                          </a:graphicData>
                        </a:graphic>
                      </wp:inline>
                    </w:drawing>
                  </w:r>
                </w:p>
              </w:tc>
              <w:tc>
                <w:tcPr>
                  <w:tcW w:w="877" w:type="pct"/>
                  <w:vAlign w:val="center"/>
                </w:tcPr>
                <w:p w14:paraId="2DA7AB13">
                  <w:pPr>
                    <w:pStyle w:val="15"/>
                    <w:spacing w:line="240" w:lineRule="auto"/>
                    <w:jc w:val="center"/>
                    <w:rPr>
                      <w:rFonts w:ascii="Times New Roman" w:hAnsi="Times New Roman" w:eastAsia="宋体"/>
                      <w:b/>
                      <w:color w:val="auto"/>
                      <w:szCs w:val="21"/>
                    </w:rPr>
                  </w:pPr>
                  <w:r>
                    <w:rPr>
                      <w:rFonts w:ascii="Times New Roman" w:hAnsi="Times New Roman" w:eastAsia="宋体"/>
                      <w:color w:val="auto"/>
                      <w:szCs w:val="21"/>
                    </w:rPr>
                    <w:t>废水排放口</w:t>
                  </w:r>
                </w:p>
              </w:tc>
              <w:tc>
                <w:tcPr>
                  <w:tcW w:w="1747" w:type="pct"/>
                  <w:vAlign w:val="center"/>
                </w:tcPr>
                <w:p w14:paraId="4E39CCDC">
                  <w:pPr>
                    <w:pStyle w:val="15"/>
                    <w:spacing w:line="240" w:lineRule="auto"/>
                    <w:jc w:val="center"/>
                    <w:rPr>
                      <w:rFonts w:ascii="Times New Roman" w:hAnsi="Times New Roman" w:eastAsia="宋体"/>
                      <w:b/>
                      <w:color w:val="auto"/>
                      <w:szCs w:val="21"/>
                    </w:rPr>
                  </w:pPr>
                  <w:r>
                    <w:rPr>
                      <w:rFonts w:ascii="Times New Roman" w:hAnsi="Times New Roman" w:eastAsia="宋体"/>
                      <w:color w:val="auto"/>
                      <w:szCs w:val="21"/>
                    </w:rPr>
                    <w:t>表示废水向水体排放</w:t>
                  </w:r>
                </w:p>
              </w:tc>
            </w:tr>
            <w:tr w14:paraId="627F41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14:paraId="6EF268AF">
                  <w:pPr>
                    <w:snapToGrid w:val="0"/>
                    <w:jc w:val="center"/>
                    <w:rPr>
                      <w:color w:val="auto"/>
                      <w:szCs w:val="21"/>
                    </w:rPr>
                  </w:pPr>
                  <w:r>
                    <w:rPr>
                      <w:color w:val="auto"/>
                      <w:szCs w:val="21"/>
                    </w:rPr>
                    <w:t>2</w:t>
                  </w:r>
                </w:p>
              </w:tc>
              <w:tc>
                <w:tcPr>
                  <w:tcW w:w="922" w:type="pct"/>
                  <w:vAlign w:val="center"/>
                </w:tcPr>
                <w:p w14:paraId="658103DA">
                  <w:pPr>
                    <w:snapToGrid w:val="0"/>
                    <w:jc w:val="center"/>
                    <w:rPr>
                      <w:color w:val="auto"/>
                      <w:szCs w:val="21"/>
                    </w:rPr>
                  </w:pPr>
                  <w:r>
                    <w:rPr>
                      <w:color w:val="auto"/>
                      <w:szCs w:val="21"/>
                    </w:rPr>
                    <w:drawing>
                      <wp:inline distT="0" distB="0" distL="114300" distR="114300">
                        <wp:extent cx="848360" cy="857250"/>
                        <wp:effectExtent l="0" t="0" r="8890" b="0"/>
                        <wp:docPr id="36" name="图片 29" descr="说明: 说明: 说明: 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descr="说明: 说明: 说明: 13003"/>
                                <pic:cNvPicPr>
                                  <a:picLocks noChangeAspect="1"/>
                                </pic:cNvPicPr>
                              </pic:nvPicPr>
                              <pic:blipFill>
                                <a:blip r:embed="rId27"/>
                                <a:stretch>
                                  <a:fillRect/>
                                </a:stretch>
                              </pic:blipFill>
                              <pic:spPr>
                                <a:xfrm>
                                  <a:off x="0" y="0"/>
                                  <a:ext cx="848360" cy="857250"/>
                                </a:xfrm>
                                <a:prstGeom prst="rect">
                                  <a:avLst/>
                                </a:prstGeom>
                                <a:noFill/>
                                <a:ln>
                                  <a:noFill/>
                                </a:ln>
                              </pic:spPr>
                            </pic:pic>
                          </a:graphicData>
                        </a:graphic>
                      </wp:inline>
                    </w:drawing>
                  </w:r>
                </w:p>
              </w:tc>
              <w:tc>
                <w:tcPr>
                  <w:tcW w:w="1019" w:type="pct"/>
                  <w:vAlign w:val="center"/>
                </w:tcPr>
                <w:p w14:paraId="1FFBA990">
                  <w:pPr>
                    <w:snapToGrid w:val="0"/>
                    <w:jc w:val="center"/>
                    <w:rPr>
                      <w:color w:val="auto"/>
                      <w:szCs w:val="21"/>
                    </w:rPr>
                  </w:pPr>
                  <w:r>
                    <w:rPr>
                      <w:color w:val="auto"/>
                      <w:szCs w:val="21"/>
                    </w:rPr>
                    <w:drawing>
                      <wp:inline distT="0" distB="0" distL="114300" distR="114300">
                        <wp:extent cx="885825" cy="886460"/>
                        <wp:effectExtent l="0" t="0" r="9525" b="8890"/>
                        <wp:docPr id="37" name="图片 30" descr="说明: 说明: 说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descr="说明: 说明: 说明: 4"/>
                                <pic:cNvPicPr>
                                  <a:picLocks noChangeAspect="1"/>
                                </pic:cNvPicPr>
                              </pic:nvPicPr>
                              <pic:blipFill>
                                <a:blip r:embed="rId28"/>
                                <a:stretch>
                                  <a:fillRect/>
                                </a:stretch>
                              </pic:blipFill>
                              <pic:spPr>
                                <a:xfrm>
                                  <a:off x="0" y="0"/>
                                  <a:ext cx="885825" cy="886460"/>
                                </a:xfrm>
                                <a:prstGeom prst="rect">
                                  <a:avLst/>
                                </a:prstGeom>
                                <a:noFill/>
                                <a:ln>
                                  <a:noFill/>
                                </a:ln>
                              </pic:spPr>
                            </pic:pic>
                          </a:graphicData>
                        </a:graphic>
                      </wp:inline>
                    </w:drawing>
                  </w:r>
                </w:p>
              </w:tc>
              <w:tc>
                <w:tcPr>
                  <w:tcW w:w="877" w:type="pct"/>
                  <w:vAlign w:val="center"/>
                </w:tcPr>
                <w:p w14:paraId="273EDC56">
                  <w:pPr>
                    <w:pStyle w:val="16"/>
                    <w:adjustRightInd w:val="0"/>
                    <w:snapToGrid w:val="0"/>
                    <w:jc w:val="center"/>
                    <w:rPr>
                      <w:rFonts w:ascii="Times New Roman" w:hAnsi="Times New Roman"/>
                      <w:color w:val="auto"/>
                      <w:sz w:val="21"/>
                      <w:szCs w:val="21"/>
                    </w:rPr>
                  </w:pPr>
                  <w:r>
                    <w:rPr>
                      <w:rFonts w:ascii="Times New Roman" w:hAnsi="Times New Roman"/>
                      <w:color w:val="auto"/>
                      <w:sz w:val="21"/>
                      <w:szCs w:val="21"/>
                    </w:rPr>
                    <w:t>废气排放口</w:t>
                  </w:r>
                </w:p>
              </w:tc>
              <w:tc>
                <w:tcPr>
                  <w:tcW w:w="1747" w:type="pct"/>
                  <w:vAlign w:val="center"/>
                </w:tcPr>
                <w:p w14:paraId="290E05AB">
                  <w:pPr>
                    <w:pStyle w:val="16"/>
                    <w:snapToGrid w:val="0"/>
                    <w:jc w:val="center"/>
                    <w:rPr>
                      <w:rFonts w:ascii="Times New Roman" w:hAnsi="Times New Roman"/>
                      <w:color w:val="auto"/>
                      <w:sz w:val="21"/>
                      <w:szCs w:val="21"/>
                    </w:rPr>
                  </w:pPr>
                  <w:r>
                    <w:rPr>
                      <w:rFonts w:ascii="Times New Roman" w:hAnsi="Times New Roman"/>
                      <w:color w:val="auto"/>
                      <w:sz w:val="21"/>
                      <w:szCs w:val="21"/>
                    </w:rPr>
                    <w:t>表示废气向大气环境排放</w:t>
                  </w:r>
                </w:p>
              </w:tc>
            </w:tr>
            <w:tr w14:paraId="552687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14:paraId="5BD786CB">
                  <w:pPr>
                    <w:snapToGrid w:val="0"/>
                    <w:jc w:val="center"/>
                    <w:rPr>
                      <w:color w:val="auto"/>
                      <w:szCs w:val="21"/>
                    </w:rPr>
                  </w:pPr>
                  <w:r>
                    <w:rPr>
                      <w:color w:val="auto"/>
                      <w:szCs w:val="21"/>
                    </w:rPr>
                    <w:t>3</w:t>
                  </w:r>
                </w:p>
              </w:tc>
              <w:tc>
                <w:tcPr>
                  <w:tcW w:w="922" w:type="pct"/>
                  <w:vAlign w:val="center"/>
                </w:tcPr>
                <w:p w14:paraId="3AAB7D97">
                  <w:pPr>
                    <w:snapToGrid w:val="0"/>
                    <w:jc w:val="center"/>
                    <w:rPr>
                      <w:color w:val="auto"/>
                      <w:szCs w:val="21"/>
                    </w:rPr>
                  </w:pPr>
                  <w:r>
                    <w:rPr>
                      <w:color w:val="auto"/>
                      <w:szCs w:val="21"/>
                    </w:rPr>
                    <w:drawing>
                      <wp:inline distT="0" distB="0" distL="114300" distR="114300">
                        <wp:extent cx="848360" cy="857250"/>
                        <wp:effectExtent l="0" t="0" r="8890" b="0"/>
                        <wp:docPr id="42" name="图片 31" descr="说明: 说明: 说明: 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1" descr="说明: 说明: 说明: 14001"/>
                                <pic:cNvPicPr>
                                  <a:picLocks noChangeAspect="1"/>
                                </pic:cNvPicPr>
                              </pic:nvPicPr>
                              <pic:blipFill>
                                <a:blip r:embed="rId29"/>
                                <a:stretch>
                                  <a:fillRect/>
                                </a:stretch>
                              </pic:blipFill>
                              <pic:spPr>
                                <a:xfrm>
                                  <a:off x="0" y="0"/>
                                  <a:ext cx="848360" cy="857250"/>
                                </a:xfrm>
                                <a:prstGeom prst="rect">
                                  <a:avLst/>
                                </a:prstGeom>
                                <a:noFill/>
                                <a:ln>
                                  <a:noFill/>
                                </a:ln>
                              </pic:spPr>
                            </pic:pic>
                          </a:graphicData>
                        </a:graphic>
                      </wp:inline>
                    </w:drawing>
                  </w:r>
                </w:p>
              </w:tc>
              <w:tc>
                <w:tcPr>
                  <w:tcW w:w="1019" w:type="pct"/>
                  <w:vAlign w:val="center"/>
                </w:tcPr>
                <w:p w14:paraId="3EDB4CB4">
                  <w:pPr>
                    <w:snapToGrid w:val="0"/>
                    <w:jc w:val="center"/>
                    <w:rPr>
                      <w:color w:val="auto"/>
                      <w:szCs w:val="21"/>
                    </w:rPr>
                  </w:pPr>
                  <w:r>
                    <w:rPr>
                      <w:color w:val="auto"/>
                      <w:szCs w:val="21"/>
                    </w:rPr>
                    <w:drawing>
                      <wp:inline distT="0" distB="0" distL="114300" distR="114300">
                        <wp:extent cx="914400" cy="857250"/>
                        <wp:effectExtent l="0" t="0" r="0" b="0"/>
                        <wp:docPr id="35" name="图片 32" descr="说明: 说明: 说明: 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descr="说明: 说明: 说明: 14002"/>
                                <pic:cNvPicPr>
                                  <a:picLocks noChangeAspect="1"/>
                                </pic:cNvPicPr>
                              </pic:nvPicPr>
                              <pic:blipFill>
                                <a:blip r:embed="rId30"/>
                                <a:stretch>
                                  <a:fillRect/>
                                </a:stretch>
                              </pic:blipFill>
                              <pic:spPr>
                                <a:xfrm>
                                  <a:off x="0" y="0"/>
                                  <a:ext cx="914400" cy="857250"/>
                                </a:xfrm>
                                <a:prstGeom prst="rect">
                                  <a:avLst/>
                                </a:prstGeom>
                                <a:noFill/>
                                <a:ln>
                                  <a:noFill/>
                                </a:ln>
                              </pic:spPr>
                            </pic:pic>
                          </a:graphicData>
                        </a:graphic>
                      </wp:inline>
                    </w:drawing>
                  </w:r>
                </w:p>
              </w:tc>
              <w:tc>
                <w:tcPr>
                  <w:tcW w:w="877" w:type="pct"/>
                  <w:vAlign w:val="center"/>
                </w:tcPr>
                <w:p w14:paraId="6A04AE4E">
                  <w:pPr>
                    <w:pStyle w:val="16"/>
                    <w:adjustRightInd w:val="0"/>
                    <w:snapToGrid w:val="0"/>
                    <w:jc w:val="center"/>
                    <w:rPr>
                      <w:rFonts w:ascii="Times New Roman" w:hAnsi="Times New Roman"/>
                      <w:color w:val="auto"/>
                      <w:sz w:val="21"/>
                      <w:szCs w:val="21"/>
                    </w:rPr>
                  </w:pPr>
                  <w:r>
                    <w:rPr>
                      <w:rFonts w:ascii="Times New Roman" w:hAnsi="Times New Roman"/>
                      <w:color w:val="auto"/>
                      <w:sz w:val="21"/>
                      <w:szCs w:val="21"/>
                    </w:rPr>
                    <w:t>一般固体废物</w:t>
                  </w:r>
                </w:p>
              </w:tc>
              <w:tc>
                <w:tcPr>
                  <w:tcW w:w="1747" w:type="pct"/>
                  <w:vAlign w:val="center"/>
                </w:tcPr>
                <w:p w14:paraId="20D67E98">
                  <w:pPr>
                    <w:pStyle w:val="16"/>
                    <w:snapToGrid w:val="0"/>
                    <w:jc w:val="center"/>
                    <w:rPr>
                      <w:rFonts w:ascii="Times New Roman" w:hAnsi="Times New Roman"/>
                      <w:color w:val="auto"/>
                      <w:sz w:val="21"/>
                      <w:szCs w:val="21"/>
                    </w:rPr>
                  </w:pPr>
                  <w:r>
                    <w:rPr>
                      <w:rFonts w:ascii="Times New Roman" w:hAnsi="Times New Roman"/>
                      <w:color w:val="auto"/>
                      <w:sz w:val="21"/>
                      <w:szCs w:val="21"/>
                    </w:rPr>
                    <w:t>表示一般固体废物贮存、处置场</w:t>
                  </w:r>
                </w:p>
              </w:tc>
            </w:tr>
            <w:tr w14:paraId="0A87DE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14:paraId="34D9A160">
                  <w:pPr>
                    <w:snapToGrid w:val="0"/>
                    <w:jc w:val="center"/>
                    <w:rPr>
                      <w:color w:val="auto"/>
                      <w:szCs w:val="21"/>
                    </w:rPr>
                  </w:pPr>
                  <w:r>
                    <w:rPr>
                      <w:color w:val="auto"/>
                      <w:szCs w:val="21"/>
                    </w:rPr>
                    <w:t>4</w:t>
                  </w:r>
                </w:p>
              </w:tc>
              <w:tc>
                <w:tcPr>
                  <w:tcW w:w="922" w:type="pct"/>
                  <w:vAlign w:val="center"/>
                </w:tcPr>
                <w:p w14:paraId="2A8DA4B5">
                  <w:pPr>
                    <w:snapToGrid w:val="0"/>
                    <w:jc w:val="center"/>
                    <w:rPr>
                      <w:color w:val="auto"/>
                      <w:szCs w:val="21"/>
                    </w:rPr>
                  </w:pPr>
                  <w:r>
                    <w:rPr>
                      <w:color w:val="auto"/>
                      <w:szCs w:val="21"/>
                    </w:rPr>
                    <w:drawing>
                      <wp:inline distT="0" distB="0" distL="114300" distR="114300">
                        <wp:extent cx="847725" cy="847725"/>
                        <wp:effectExtent l="0" t="0" r="9525" b="9525"/>
                        <wp:docPr id="38" name="图片 33" descr="说明: 说明: 说明: 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descr="说明: 说明: 说明: 200602201518049853"/>
                                <pic:cNvPicPr>
                                  <a:picLocks noChangeAspect="1"/>
                                </pic:cNvPicPr>
                              </pic:nvPicPr>
                              <pic:blipFill>
                                <a:blip r:embed="rId31"/>
                                <a:stretch>
                                  <a:fillRect/>
                                </a:stretch>
                              </pic:blipFill>
                              <pic:spPr>
                                <a:xfrm>
                                  <a:off x="0" y="0"/>
                                  <a:ext cx="847725" cy="847725"/>
                                </a:xfrm>
                                <a:prstGeom prst="rect">
                                  <a:avLst/>
                                </a:prstGeom>
                                <a:noFill/>
                                <a:ln>
                                  <a:noFill/>
                                </a:ln>
                              </pic:spPr>
                            </pic:pic>
                          </a:graphicData>
                        </a:graphic>
                      </wp:inline>
                    </w:drawing>
                  </w:r>
                </w:p>
              </w:tc>
              <w:tc>
                <w:tcPr>
                  <w:tcW w:w="1019" w:type="pct"/>
                  <w:vAlign w:val="center"/>
                </w:tcPr>
                <w:p w14:paraId="37823707">
                  <w:pPr>
                    <w:snapToGrid w:val="0"/>
                    <w:jc w:val="center"/>
                    <w:rPr>
                      <w:color w:val="auto"/>
                      <w:szCs w:val="21"/>
                    </w:rPr>
                  </w:pPr>
                  <w:r>
                    <w:rPr>
                      <w:color w:val="auto"/>
                      <w:szCs w:val="21"/>
                    </w:rPr>
                    <w:drawing>
                      <wp:inline distT="0" distB="0" distL="114300" distR="114300">
                        <wp:extent cx="952500" cy="845820"/>
                        <wp:effectExtent l="0" t="0" r="0" b="11430"/>
                        <wp:docPr id="43" name="图片 34" descr="说明: 说明: 说明: 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4" descr="说明: 说明: 说明: 200602201519018631"/>
                                <pic:cNvPicPr>
                                  <a:picLocks noChangeAspect="1"/>
                                </pic:cNvPicPr>
                              </pic:nvPicPr>
                              <pic:blipFill>
                                <a:blip r:embed="rId32"/>
                                <a:stretch>
                                  <a:fillRect/>
                                </a:stretch>
                              </pic:blipFill>
                              <pic:spPr>
                                <a:xfrm>
                                  <a:off x="0" y="0"/>
                                  <a:ext cx="952500" cy="845820"/>
                                </a:xfrm>
                                <a:prstGeom prst="rect">
                                  <a:avLst/>
                                </a:prstGeom>
                                <a:noFill/>
                                <a:ln>
                                  <a:noFill/>
                                </a:ln>
                              </pic:spPr>
                            </pic:pic>
                          </a:graphicData>
                        </a:graphic>
                      </wp:inline>
                    </w:drawing>
                  </w:r>
                </w:p>
              </w:tc>
              <w:tc>
                <w:tcPr>
                  <w:tcW w:w="877" w:type="pct"/>
                  <w:vAlign w:val="center"/>
                </w:tcPr>
                <w:p w14:paraId="76FC7872">
                  <w:pPr>
                    <w:pStyle w:val="7"/>
                    <w:adjustRightInd w:val="0"/>
                    <w:ind w:firstLine="0"/>
                    <w:jc w:val="center"/>
                    <w:rPr>
                      <w:rFonts w:ascii="Times New Roman" w:hAnsi="Times New Roman" w:eastAsia="宋体"/>
                      <w:color w:val="auto"/>
                      <w:szCs w:val="21"/>
                    </w:rPr>
                  </w:pPr>
                  <w:r>
                    <w:rPr>
                      <w:rFonts w:ascii="Times New Roman" w:hAnsi="Times New Roman" w:eastAsia="宋体"/>
                      <w:color w:val="auto"/>
                      <w:szCs w:val="21"/>
                    </w:rPr>
                    <w:t>噪声排放源</w:t>
                  </w:r>
                </w:p>
              </w:tc>
              <w:tc>
                <w:tcPr>
                  <w:tcW w:w="1747" w:type="pct"/>
                  <w:vAlign w:val="center"/>
                </w:tcPr>
                <w:p w14:paraId="79FF4080">
                  <w:pPr>
                    <w:pStyle w:val="7"/>
                    <w:ind w:firstLine="0"/>
                    <w:jc w:val="center"/>
                    <w:rPr>
                      <w:rFonts w:ascii="Times New Roman" w:hAnsi="Times New Roman" w:eastAsia="宋体"/>
                      <w:color w:val="auto"/>
                      <w:szCs w:val="21"/>
                    </w:rPr>
                  </w:pPr>
                  <w:r>
                    <w:rPr>
                      <w:rFonts w:ascii="Times New Roman" w:hAnsi="Times New Roman" w:eastAsia="宋体"/>
                      <w:color w:val="auto"/>
                      <w:szCs w:val="21"/>
                    </w:rPr>
                    <w:t>表示噪声向外环境排放</w:t>
                  </w:r>
                </w:p>
              </w:tc>
            </w:tr>
            <w:tr w14:paraId="715203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14:paraId="77179F99">
                  <w:pPr>
                    <w:snapToGrid w:val="0"/>
                    <w:jc w:val="center"/>
                    <w:rPr>
                      <w:color w:val="auto"/>
                      <w:szCs w:val="21"/>
                    </w:rPr>
                  </w:pPr>
                  <w:r>
                    <w:rPr>
                      <w:rFonts w:hint="eastAsia"/>
                      <w:color w:val="auto"/>
                      <w:szCs w:val="21"/>
                    </w:rPr>
                    <w:t>5</w:t>
                  </w:r>
                </w:p>
              </w:tc>
              <w:tc>
                <w:tcPr>
                  <w:tcW w:w="922" w:type="pct"/>
                  <w:vAlign w:val="center"/>
                </w:tcPr>
                <w:p w14:paraId="264749D5">
                  <w:pPr>
                    <w:snapToGrid w:val="0"/>
                    <w:jc w:val="center"/>
                    <w:rPr>
                      <w:color w:val="auto"/>
                      <w:szCs w:val="21"/>
                    </w:rPr>
                  </w:pPr>
                </w:p>
              </w:tc>
              <w:tc>
                <w:tcPr>
                  <w:tcW w:w="1019" w:type="pct"/>
                  <w:vAlign w:val="center"/>
                </w:tcPr>
                <w:p w14:paraId="5BCF9DA4">
                  <w:pPr>
                    <w:pStyle w:val="50"/>
                    <w:ind w:left="67"/>
                    <w:rPr>
                      <w:color w:val="auto"/>
                    </w:rPr>
                  </w:pPr>
                  <w:r>
                    <w:rPr>
                      <w:color w:val="auto"/>
                    </w:rPr>
                    <w:fldChar w:fldCharType="begin"/>
                  </w:r>
                  <w:r>
                    <w:rPr>
                      <w:color w:val="auto"/>
                    </w:rPr>
                    <w:instrText xml:space="preserve"> INCLUDEPICTURE "C:\\Users\\ADMINI~1.SC-\\AppData\\Local\\Temp\\ksohtml70416\\wps2.jpg" \* MERGEFORMATINET </w:instrText>
                  </w:r>
                  <w:r>
                    <w:rPr>
                      <w:color w:val="auto"/>
                    </w:rPr>
                    <w:fldChar w:fldCharType="separate"/>
                  </w:r>
                  <w:r>
                    <w:rPr>
                      <w:color w:val="auto"/>
                    </w:rPr>
                    <w:drawing>
                      <wp:inline distT="0" distB="0" distL="114300" distR="114300">
                        <wp:extent cx="905510" cy="858520"/>
                        <wp:effectExtent l="0" t="0" r="8890" b="17780"/>
                        <wp:docPr id="39" name="图片 35"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5" descr="wps2"/>
                                <pic:cNvPicPr>
                                  <a:picLocks noChangeAspect="1"/>
                                </pic:cNvPicPr>
                              </pic:nvPicPr>
                              <pic:blipFill>
                                <a:blip r:embed="rId33"/>
                                <a:stretch>
                                  <a:fillRect/>
                                </a:stretch>
                              </pic:blipFill>
                              <pic:spPr>
                                <a:xfrm>
                                  <a:off x="0" y="0"/>
                                  <a:ext cx="905510" cy="858520"/>
                                </a:xfrm>
                                <a:prstGeom prst="rect">
                                  <a:avLst/>
                                </a:prstGeom>
                                <a:noFill/>
                                <a:ln>
                                  <a:noFill/>
                                </a:ln>
                              </pic:spPr>
                            </pic:pic>
                          </a:graphicData>
                        </a:graphic>
                      </wp:inline>
                    </w:drawing>
                  </w:r>
                  <w:r>
                    <w:rPr>
                      <w:color w:val="auto"/>
                    </w:rPr>
                    <w:fldChar w:fldCharType="end"/>
                  </w:r>
                </w:p>
              </w:tc>
              <w:tc>
                <w:tcPr>
                  <w:tcW w:w="877" w:type="pct"/>
                  <w:vAlign w:val="center"/>
                </w:tcPr>
                <w:p w14:paraId="79C9C066">
                  <w:pPr>
                    <w:pStyle w:val="7"/>
                    <w:adjustRightInd w:val="0"/>
                    <w:ind w:firstLine="0"/>
                    <w:jc w:val="center"/>
                    <w:rPr>
                      <w:rFonts w:ascii="Times New Roman" w:hAnsi="Times New Roman" w:eastAsia="宋体"/>
                      <w:color w:val="auto"/>
                      <w:szCs w:val="21"/>
                    </w:rPr>
                  </w:pPr>
                  <w:r>
                    <w:rPr>
                      <w:rFonts w:hint="eastAsia" w:ascii="Times New Roman" w:hAnsi="Times New Roman" w:eastAsia="宋体"/>
                      <w:color w:val="auto"/>
                      <w:szCs w:val="21"/>
                    </w:rPr>
                    <w:t>医疗废物</w:t>
                  </w:r>
                </w:p>
              </w:tc>
              <w:tc>
                <w:tcPr>
                  <w:tcW w:w="1747" w:type="pct"/>
                  <w:vAlign w:val="center"/>
                </w:tcPr>
                <w:p w14:paraId="0ADA0542">
                  <w:pPr>
                    <w:pStyle w:val="7"/>
                    <w:ind w:firstLine="0"/>
                    <w:jc w:val="center"/>
                    <w:rPr>
                      <w:rFonts w:ascii="Times New Roman" w:hAnsi="Times New Roman" w:eastAsia="宋体"/>
                      <w:color w:val="auto"/>
                      <w:szCs w:val="21"/>
                    </w:rPr>
                  </w:pPr>
                  <w:r>
                    <w:rPr>
                      <w:rFonts w:hint="eastAsia" w:ascii="Times New Roman" w:hAnsi="Times New Roman" w:eastAsia="宋体"/>
                      <w:color w:val="auto"/>
                      <w:szCs w:val="21"/>
                    </w:rPr>
                    <w:t>医疗废物贮存、处置场</w:t>
                  </w:r>
                </w:p>
              </w:tc>
            </w:tr>
            <w:tr w14:paraId="5343D6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14:paraId="4E83FB1D">
                  <w:pPr>
                    <w:snapToGrid w:val="0"/>
                    <w:jc w:val="center"/>
                    <w:rPr>
                      <w:color w:val="auto"/>
                      <w:szCs w:val="21"/>
                    </w:rPr>
                  </w:pPr>
                  <w:r>
                    <w:rPr>
                      <w:color w:val="auto"/>
                      <w:szCs w:val="21"/>
                    </w:rPr>
                    <w:t>6</w:t>
                  </w:r>
                </w:p>
              </w:tc>
              <w:tc>
                <w:tcPr>
                  <w:tcW w:w="922" w:type="pct"/>
                  <w:vAlign w:val="center"/>
                </w:tcPr>
                <w:p w14:paraId="3FB98363">
                  <w:pPr>
                    <w:snapToGrid w:val="0"/>
                    <w:jc w:val="center"/>
                    <w:rPr>
                      <w:color w:val="auto"/>
                      <w:szCs w:val="21"/>
                    </w:rPr>
                  </w:pPr>
                </w:p>
              </w:tc>
              <w:tc>
                <w:tcPr>
                  <w:tcW w:w="1019" w:type="pct"/>
                  <w:vAlign w:val="center"/>
                </w:tcPr>
                <w:p w14:paraId="4B2A5A49">
                  <w:pPr>
                    <w:snapToGrid w:val="0"/>
                    <w:jc w:val="center"/>
                    <w:rPr>
                      <w:color w:val="auto"/>
                      <w:szCs w:val="21"/>
                    </w:rPr>
                  </w:pPr>
                  <w:r>
                    <w:rPr>
                      <w:color w:val="auto"/>
                      <w:szCs w:val="21"/>
                    </w:rPr>
                    <w:drawing>
                      <wp:inline distT="0" distB="0" distL="114300" distR="114300">
                        <wp:extent cx="970915" cy="871855"/>
                        <wp:effectExtent l="0" t="0" r="635" b="4445"/>
                        <wp:docPr id="4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6"/>
                                <pic:cNvPicPr>
                                  <a:picLocks noChangeAspect="1"/>
                                </pic:cNvPicPr>
                              </pic:nvPicPr>
                              <pic:blipFill>
                                <a:blip r:embed="rId34"/>
                                <a:stretch>
                                  <a:fillRect/>
                                </a:stretch>
                              </pic:blipFill>
                              <pic:spPr>
                                <a:xfrm>
                                  <a:off x="0" y="0"/>
                                  <a:ext cx="970915" cy="871855"/>
                                </a:xfrm>
                                <a:prstGeom prst="rect">
                                  <a:avLst/>
                                </a:prstGeom>
                                <a:noFill/>
                                <a:ln>
                                  <a:noFill/>
                                </a:ln>
                              </pic:spPr>
                            </pic:pic>
                          </a:graphicData>
                        </a:graphic>
                      </wp:inline>
                    </w:drawing>
                  </w:r>
                </w:p>
              </w:tc>
              <w:tc>
                <w:tcPr>
                  <w:tcW w:w="877" w:type="pct"/>
                  <w:vAlign w:val="center"/>
                </w:tcPr>
                <w:p w14:paraId="05250686">
                  <w:pPr>
                    <w:pStyle w:val="7"/>
                    <w:adjustRightInd w:val="0"/>
                    <w:ind w:firstLine="0"/>
                    <w:jc w:val="center"/>
                    <w:rPr>
                      <w:rFonts w:ascii="Times New Roman" w:hAnsi="Times New Roman" w:eastAsia="宋体"/>
                      <w:color w:val="auto"/>
                      <w:szCs w:val="21"/>
                    </w:rPr>
                  </w:pPr>
                  <w:r>
                    <w:rPr>
                      <w:rFonts w:ascii="Times New Roman" w:hAnsi="Times New Roman" w:eastAsia="宋体"/>
                      <w:color w:val="auto"/>
                      <w:szCs w:val="21"/>
                    </w:rPr>
                    <w:t>危险废物</w:t>
                  </w:r>
                </w:p>
              </w:tc>
              <w:tc>
                <w:tcPr>
                  <w:tcW w:w="1747" w:type="pct"/>
                  <w:vAlign w:val="center"/>
                </w:tcPr>
                <w:p w14:paraId="1F3D2428">
                  <w:pPr>
                    <w:pStyle w:val="7"/>
                    <w:ind w:firstLine="0"/>
                    <w:jc w:val="center"/>
                    <w:rPr>
                      <w:rFonts w:ascii="Times New Roman" w:hAnsi="Times New Roman" w:eastAsia="宋体"/>
                      <w:color w:val="auto"/>
                      <w:szCs w:val="21"/>
                    </w:rPr>
                  </w:pPr>
                  <w:r>
                    <w:rPr>
                      <w:rFonts w:ascii="Times New Roman" w:hAnsi="Times New Roman" w:eastAsia="宋体"/>
                      <w:color w:val="auto"/>
                      <w:szCs w:val="21"/>
                    </w:rPr>
                    <w:t>表示危险废物贮存、处置场</w:t>
                  </w:r>
                </w:p>
              </w:tc>
            </w:tr>
          </w:tbl>
          <w:p w14:paraId="3E5B8949">
            <w:pPr>
              <w:adjustRightInd w:val="0"/>
              <w:snapToGrid w:val="0"/>
              <w:spacing w:line="360" w:lineRule="auto"/>
              <w:ind w:firstLine="482" w:firstLineChars="200"/>
              <w:jc w:val="left"/>
              <w:rPr>
                <w:b/>
                <w:color w:val="auto"/>
                <w:sz w:val="24"/>
              </w:rPr>
            </w:pPr>
            <w:r>
              <w:rPr>
                <w:rFonts w:hint="eastAsia"/>
                <w:b/>
                <w:color w:val="auto"/>
                <w:sz w:val="24"/>
              </w:rPr>
              <w:t>九、环评与排污许可制度衔接相关工作的通知</w:t>
            </w:r>
          </w:p>
          <w:p w14:paraId="42EDFBBF">
            <w:pPr>
              <w:adjustRightInd w:val="0"/>
              <w:snapToGrid w:val="0"/>
              <w:spacing w:line="360" w:lineRule="auto"/>
              <w:ind w:firstLine="468" w:firstLineChars="195"/>
              <w:rPr>
                <w:color w:val="auto"/>
              </w:rPr>
            </w:pPr>
            <w:r>
              <w:rPr>
                <w:rFonts w:hint="default" w:ascii="Times New Roman" w:hAnsi="Times New Roman" w:eastAsia="宋体" w:cs="Times New Roman"/>
                <w:color w:val="auto"/>
                <w:kern w:val="2"/>
                <w:sz w:val="24"/>
                <w:szCs w:val="24"/>
                <w:highlight w:val="none"/>
                <w:lang w:val="en-US" w:eastAsia="zh-CN" w:bidi="ar-SA"/>
              </w:rPr>
              <w:t>本项目在执行环境影响评价中的相关要求的同时，应按照环境保护部办公厅于2017年11月15日发布的《关于做好环境影响评价制度与排污许可制衔接相关工作的通知》（环办环评[2017]84号）、《排污许可管理办法》（2018年1月10日起施行）、《固定污染源排污许可分类管理名录（2019年版）》以及《排污许可管理条例》（2021年3月1日实施）要求做好排污许可制度的衔接工作。项目主要为</w:t>
            </w:r>
            <w:r>
              <w:rPr>
                <w:rFonts w:hint="eastAsia" w:ascii="Times New Roman" w:hAnsi="Times New Roman" w:eastAsia="宋体" w:cs="Times New Roman"/>
                <w:color w:val="auto"/>
                <w:kern w:val="2"/>
                <w:sz w:val="24"/>
                <w:szCs w:val="24"/>
                <w:highlight w:val="none"/>
                <w:lang w:val="en-US" w:eastAsia="zh-CN" w:bidi="ar-SA"/>
              </w:rPr>
              <w:t>乡镇卫生院</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经对照</w:t>
            </w:r>
            <w:r>
              <w:rPr>
                <w:rFonts w:hint="default" w:ascii="Times New Roman" w:hAnsi="Times New Roman" w:eastAsia="宋体" w:cs="Times New Roman"/>
                <w:color w:val="auto"/>
                <w:kern w:val="2"/>
                <w:sz w:val="24"/>
                <w:szCs w:val="24"/>
                <w:highlight w:val="none"/>
                <w:lang w:val="en-US" w:eastAsia="zh-CN" w:bidi="ar-SA"/>
              </w:rPr>
              <w:t>《固定污染源排污许可分类管理名录（2019年版）》</w:t>
            </w:r>
            <w:r>
              <w:rPr>
                <w:rFonts w:hint="eastAsia" w:ascii="Times New Roman" w:hAnsi="Times New Roman" w:eastAsia="宋体" w:cs="Times New Roman"/>
                <w:color w:val="auto"/>
                <w:kern w:val="2"/>
                <w:sz w:val="24"/>
                <w:szCs w:val="24"/>
                <w:highlight w:val="none"/>
                <w:lang w:val="en-US" w:eastAsia="zh-CN" w:bidi="ar-SA"/>
              </w:rPr>
              <w:t>，本项目无需进行排污管理，但建设单位应履行好相关环保责任</w:t>
            </w:r>
            <w:r>
              <w:rPr>
                <w:rFonts w:hint="default" w:ascii="Times New Roman" w:hAnsi="Times New Roman" w:eastAsia="宋体" w:cs="Times New Roman"/>
                <w:color w:val="auto"/>
                <w:kern w:val="2"/>
                <w:sz w:val="24"/>
                <w:szCs w:val="24"/>
                <w:highlight w:val="none"/>
                <w:lang w:val="en-US" w:eastAsia="zh-CN" w:bidi="ar-SA"/>
              </w:rPr>
              <w:t>。</w:t>
            </w:r>
          </w:p>
        </w:tc>
      </w:tr>
      <w:bookmarkEnd w:id="21"/>
      <w:bookmarkEnd w:id="25"/>
    </w:tbl>
    <w:p w14:paraId="47341B1C">
      <w:pPr>
        <w:pStyle w:val="40"/>
        <w:ind w:left="105" w:right="105"/>
        <w:rPr>
          <w:rFonts w:hint="eastAsia" w:ascii="Times New Roman"/>
          <w:color w:val="auto"/>
        </w:rPr>
        <w:sectPr>
          <w:pgSz w:w="11906" w:h="16838"/>
          <w:pgMar w:top="1701" w:right="1531" w:bottom="1701" w:left="1531" w:header="851" w:footer="851" w:gutter="0"/>
          <w:cols w:space="720" w:num="1"/>
          <w:docGrid w:linePitch="312" w:charSpace="0"/>
        </w:sectPr>
      </w:pPr>
    </w:p>
    <w:p w14:paraId="67CFB49B">
      <w:pPr>
        <w:pStyle w:val="16"/>
        <w:jc w:val="center"/>
        <w:outlineLvl w:val="0"/>
        <w:rPr>
          <w:rFonts w:ascii="Times New Roman" w:hAnsi="Times New Roman"/>
          <w:b/>
          <w:bCs/>
          <w:snapToGrid w:val="0"/>
          <w:color w:val="auto"/>
          <w:sz w:val="30"/>
          <w:szCs w:val="30"/>
        </w:rPr>
      </w:pPr>
      <w:bookmarkStart w:id="26" w:name="_Toc27211"/>
      <w:r>
        <w:rPr>
          <w:rFonts w:ascii="Times New Roman" w:hAnsi="Times New Roman"/>
          <w:b/>
          <w:bCs/>
          <w:snapToGrid w:val="0"/>
          <w:color w:val="auto"/>
          <w:sz w:val="30"/>
          <w:szCs w:val="30"/>
        </w:rPr>
        <w:t>五、</w:t>
      </w:r>
      <w:bookmarkStart w:id="27" w:name="_Hlk54167917"/>
      <w:r>
        <w:rPr>
          <w:rFonts w:ascii="Times New Roman" w:hAnsi="Times New Roman"/>
          <w:b/>
          <w:bCs/>
          <w:snapToGrid w:val="0"/>
          <w:color w:val="auto"/>
          <w:sz w:val="30"/>
          <w:szCs w:val="30"/>
        </w:rPr>
        <w:t>环境保护措施监督检查清单</w:t>
      </w:r>
      <w:bookmarkEnd w:id="26"/>
      <w:bookmarkEnd w:id="27"/>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42"/>
        <w:gridCol w:w="1423"/>
        <w:gridCol w:w="1617"/>
        <w:gridCol w:w="1823"/>
        <w:gridCol w:w="2641"/>
      </w:tblGrid>
      <w:tr w14:paraId="2BD619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2" w:type="dxa"/>
            <w:tcBorders>
              <w:tl2br w:val="single" w:color="auto" w:sz="4" w:space="0"/>
            </w:tcBorders>
          </w:tcPr>
          <w:p w14:paraId="30DC8065">
            <w:pPr>
              <w:adjustRightInd w:val="0"/>
              <w:snapToGrid w:val="0"/>
              <w:ind w:firstLine="840"/>
              <w:rPr>
                <w:rFonts w:cs="宋体"/>
                <w:b/>
                <w:bCs/>
                <w:color w:val="auto"/>
                <w:szCs w:val="21"/>
              </w:rPr>
            </w:pPr>
            <w:r>
              <w:rPr>
                <w:rFonts w:hint="eastAsia" w:cs="宋体"/>
                <w:b/>
                <w:bCs/>
                <w:color w:val="auto"/>
                <w:szCs w:val="21"/>
              </w:rPr>
              <w:t>内容</w:t>
            </w:r>
          </w:p>
          <w:p w14:paraId="039EDB11">
            <w:pPr>
              <w:adjustRightInd w:val="0"/>
              <w:snapToGrid w:val="0"/>
              <w:rPr>
                <w:rFonts w:cs="宋体"/>
                <w:b/>
                <w:bCs/>
                <w:color w:val="auto"/>
                <w:szCs w:val="21"/>
              </w:rPr>
            </w:pPr>
            <w:r>
              <w:rPr>
                <w:rFonts w:hint="eastAsia" w:cs="宋体"/>
                <w:b/>
                <w:bCs/>
                <w:color w:val="auto"/>
                <w:szCs w:val="21"/>
              </w:rPr>
              <w:t>要素</w:t>
            </w:r>
          </w:p>
        </w:tc>
        <w:tc>
          <w:tcPr>
            <w:tcW w:w="1423" w:type="dxa"/>
            <w:vAlign w:val="center"/>
          </w:tcPr>
          <w:p w14:paraId="60D4F94D">
            <w:pPr>
              <w:adjustRightInd w:val="0"/>
              <w:snapToGrid w:val="0"/>
              <w:jc w:val="center"/>
              <w:rPr>
                <w:rFonts w:cs="宋体"/>
                <w:b/>
                <w:bCs/>
                <w:color w:val="auto"/>
                <w:szCs w:val="21"/>
              </w:rPr>
            </w:pPr>
            <w:r>
              <w:rPr>
                <w:rFonts w:hint="eastAsia" w:cs="宋体"/>
                <w:b/>
                <w:bCs/>
                <w:color w:val="auto"/>
                <w:szCs w:val="21"/>
              </w:rPr>
              <w:t>排放口(编号、名称)/污染源</w:t>
            </w:r>
          </w:p>
        </w:tc>
        <w:tc>
          <w:tcPr>
            <w:tcW w:w="1617" w:type="dxa"/>
            <w:vAlign w:val="center"/>
          </w:tcPr>
          <w:p w14:paraId="61B765D5">
            <w:pPr>
              <w:adjustRightInd w:val="0"/>
              <w:snapToGrid w:val="0"/>
              <w:jc w:val="center"/>
              <w:rPr>
                <w:rFonts w:cs="宋体"/>
                <w:b/>
                <w:bCs/>
                <w:color w:val="auto"/>
                <w:szCs w:val="21"/>
              </w:rPr>
            </w:pPr>
            <w:r>
              <w:rPr>
                <w:rFonts w:hint="eastAsia" w:cs="宋体"/>
                <w:b/>
                <w:bCs/>
                <w:color w:val="auto"/>
                <w:szCs w:val="21"/>
              </w:rPr>
              <w:t>污染物项目</w:t>
            </w:r>
          </w:p>
        </w:tc>
        <w:tc>
          <w:tcPr>
            <w:tcW w:w="1823" w:type="dxa"/>
            <w:vAlign w:val="center"/>
          </w:tcPr>
          <w:p w14:paraId="49D2D969">
            <w:pPr>
              <w:adjustRightInd w:val="0"/>
              <w:snapToGrid w:val="0"/>
              <w:jc w:val="center"/>
              <w:rPr>
                <w:rFonts w:cs="宋体"/>
                <w:b/>
                <w:bCs/>
                <w:color w:val="auto"/>
                <w:szCs w:val="21"/>
              </w:rPr>
            </w:pPr>
            <w:r>
              <w:rPr>
                <w:rFonts w:hint="eastAsia" w:cs="宋体"/>
                <w:b/>
                <w:bCs/>
                <w:color w:val="auto"/>
                <w:szCs w:val="21"/>
              </w:rPr>
              <w:t>环境保护措施</w:t>
            </w:r>
          </w:p>
        </w:tc>
        <w:tc>
          <w:tcPr>
            <w:tcW w:w="2641" w:type="dxa"/>
            <w:vAlign w:val="center"/>
          </w:tcPr>
          <w:p w14:paraId="7D34635B">
            <w:pPr>
              <w:adjustRightInd w:val="0"/>
              <w:snapToGrid w:val="0"/>
              <w:jc w:val="center"/>
              <w:rPr>
                <w:rFonts w:cs="宋体"/>
                <w:b/>
                <w:bCs/>
                <w:color w:val="auto"/>
                <w:szCs w:val="21"/>
              </w:rPr>
            </w:pPr>
            <w:r>
              <w:rPr>
                <w:rFonts w:hint="eastAsia" w:cs="宋体"/>
                <w:b/>
                <w:bCs/>
                <w:color w:val="auto"/>
                <w:szCs w:val="21"/>
              </w:rPr>
              <w:t>执行标准</w:t>
            </w:r>
          </w:p>
        </w:tc>
      </w:tr>
      <w:tr w14:paraId="2A5E4F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2" w:type="dxa"/>
            <w:vMerge w:val="restart"/>
            <w:vAlign w:val="center"/>
          </w:tcPr>
          <w:p w14:paraId="2F648E68">
            <w:pPr>
              <w:adjustRightInd w:val="0"/>
              <w:snapToGrid w:val="0"/>
              <w:jc w:val="center"/>
              <w:rPr>
                <w:rFonts w:cs="宋体"/>
                <w:b/>
                <w:bCs/>
                <w:color w:val="auto"/>
                <w:szCs w:val="21"/>
              </w:rPr>
            </w:pPr>
            <w:r>
              <w:rPr>
                <w:rFonts w:hint="eastAsia" w:cs="宋体"/>
                <w:b/>
                <w:bCs/>
                <w:color w:val="auto"/>
                <w:szCs w:val="21"/>
              </w:rPr>
              <w:t>大气环境</w:t>
            </w:r>
          </w:p>
        </w:tc>
        <w:tc>
          <w:tcPr>
            <w:tcW w:w="1423" w:type="dxa"/>
            <w:vAlign w:val="center"/>
          </w:tcPr>
          <w:p w14:paraId="11F14C36">
            <w:pPr>
              <w:pStyle w:val="44"/>
              <w:spacing w:line="240" w:lineRule="auto"/>
              <w:rPr>
                <w:rFonts w:cs="宋体"/>
                <w:color w:val="auto"/>
                <w:szCs w:val="21"/>
                <w:lang w:eastAsia="zh-CN"/>
              </w:rPr>
            </w:pPr>
            <w:r>
              <w:rPr>
                <w:rFonts w:hint="eastAsia" w:cs="宋体"/>
                <w:color w:val="auto"/>
                <w:szCs w:val="21"/>
                <w:lang w:eastAsia="zh-CN"/>
              </w:rPr>
              <w:t>食堂油烟</w:t>
            </w:r>
          </w:p>
        </w:tc>
        <w:tc>
          <w:tcPr>
            <w:tcW w:w="1617" w:type="dxa"/>
            <w:vAlign w:val="center"/>
          </w:tcPr>
          <w:p w14:paraId="65670EB5">
            <w:pPr>
              <w:pStyle w:val="30"/>
              <w:kinsoku w:val="0"/>
              <w:overflowPunct w:val="0"/>
              <w:spacing w:before="120" w:after="120"/>
              <w:jc w:val="center"/>
              <w:rPr>
                <w:rFonts w:cs="宋体"/>
                <w:color w:val="auto"/>
                <w:szCs w:val="21"/>
              </w:rPr>
            </w:pPr>
            <w:r>
              <w:rPr>
                <w:rFonts w:hint="eastAsia" w:cs="宋体"/>
                <w:color w:val="auto"/>
                <w:szCs w:val="21"/>
              </w:rPr>
              <w:t>油烟</w:t>
            </w:r>
          </w:p>
        </w:tc>
        <w:tc>
          <w:tcPr>
            <w:tcW w:w="1823" w:type="dxa"/>
            <w:vAlign w:val="center"/>
          </w:tcPr>
          <w:p w14:paraId="2E4AE08E">
            <w:pPr>
              <w:adjustRightInd w:val="0"/>
              <w:snapToGrid w:val="0"/>
              <w:jc w:val="center"/>
              <w:rPr>
                <w:rFonts w:cs="宋体"/>
                <w:bCs/>
                <w:color w:val="auto"/>
                <w:szCs w:val="21"/>
              </w:rPr>
            </w:pPr>
            <w:r>
              <w:rPr>
                <w:rFonts w:hint="eastAsia" w:cs="宋体"/>
                <w:color w:val="auto"/>
                <w:kern w:val="21"/>
                <w:szCs w:val="21"/>
              </w:rPr>
              <w:t>油烟净化器</w:t>
            </w:r>
          </w:p>
        </w:tc>
        <w:tc>
          <w:tcPr>
            <w:tcW w:w="2641" w:type="dxa"/>
            <w:vAlign w:val="center"/>
          </w:tcPr>
          <w:p w14:paraId="0D92ED99">
            <w:pPr>
              <w:rPr>
                <w:rFonts w:cs="宋体"/>
                <w:snapToGrid w:val="0"/>
                <w:color w:val="auto"/>
                <w:szCs w:val="21"/>
              </w:rPr>
            </w:pPr>
            <w:r>
              <w:rPr>
                <w:rFonts w:hint="eastAsia" w:cs="宋体"/>
                <w:color w:val="auto"/>
                <w:szCs w:val="21"/>
              </w:rPr>
              <w:t>《饮食业油烟排放标准》（GB18483-2001）小型标准</w:t>
            </w:r>
          </w:p>
        </w:tc>
      </w:tr>
      <w:tr w14:paraId="6E3056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2" w:type="dxa"/>
            <w:vMerge w:val="continue"/>
            <w:vAlign w:val="center"/>
          </w:tcPr>
          <w:p w14:paraId="7D87D87F">
            <w:pPr>
              <w:adjustRightInd w:val="0"/>
              <w:snapToGrid w:val="0"/>
              <w:jc w:val="center"/>
              <w:rPr>
                <w:rFonts w:cs="宋体"/>
                <w:b/>
                <w:bCs/>
                <w:color w:val="auto"/>
                <w:szCs w:val="21"/>
              </w:rPr>
            </w:pPr>
          </w:p>
        </w:tc>
        <w:tc>
          <w:tcPr>
            <w:tcW w:w="1423" w:type="dxa"/>
            <w:vAlign w:val="center"/>
          </w:tcPr>
          <w:p w14:paraId="0ABD5748">
            <w:pPr>
              <w:pStyle w:val="44"/>
              <w:spacing w:line="240" w:lineRule="auto"/>
              <w:jc w:val="both"/>
              <w:rPr>
                <w:rFonts w:cs="宋体"/>
                <w:color w:val="auto"/>
                <w:szCs w:val="21"/>
                <w:lang w:eastAsia="zh-CN"/>
              </w:rPr>
            </w:pPr>
            <w:r>
              <w:rPr>
                <w:rFonts w:hint="eastAsia" w:cs="宋体"/>
                <w:color w:val="auto"/>
                <w:szCs w:val="21"/>
                <w:lang w:eastAsia="zh-CN"/>
              </w:rPr>
              <w:t>污水处理站恶臭</w:t>
            </w:r>
          </w:p>
        </w:tc>
        <w:tc>
          <w:tcPr>
            <w:tcW w:w="1617" w:type="dxa"/>
            <w:vAlign w:val="center"/>
          </w:tcPr>
          <w:p w14:paraId="69A4BE10">
            <w:pPr>
              <w:pStyle w:val="30"/>
              <w:kinsoku w:val="0"/>
              <w:overflowPunct w:val="0"/>
              <w:spacing w:before="120" w:after="120"/>
              <w:rPr>
                <w:rFonts w:cs="宋体"/>
                <w:color w:val="auto"/>
                <w:szCs w:val="21"/>
              </w:rPr>
            </w:pPr>
            <w:r>
              <w:rPr>
                <w:rFonts w:hint="eastAsia" w:cs="宋体"/>
                <w:color w:val="auto"/>
                <w:szCs w:val="21"/>
              </w:rPr>
              <w:t>氨、硫化氢、臭气浓度、氯气、甲烷</w:t>
            </w:r>
          </w:p>
        </w:tc>
        <w:tc>
          <w:tcPr>
            <w:tcW w:w="1823" w:type="dxa"/>
            <w:vAlign w:val="center"/>
          </w:tcPr>
          <w:p w14:paraId="68D58D6E">
            <w:pPr>
              <w:adjustRightInd w:val="0"/>
              <w:snapToGrid w:val="0"/>
              <w:rPr>
                <w:rFonts w:cs="宋体"/>
                <w:color w:val="auto"/>
                <w:kern w:val="21"/>
                <w:szCs w:val="21"/>
              </w:rPr>
            </w:pPr>
            <w:r>
              <w:rPr>
                <w:rFonts w:hint="eastAsia" w:cs="宋体"/>
                <w:color w:val="auto"/>
                <w:kern w:val="21"/>
                <w:szCs w:val="21"/>
              </w:rPr>
              <w:t>污水处理设施加盖，投放除臭剂</w:t>
            </w:r>
          </w:p>
        </w:tc>
        <w:tc>
          <w:tcPr>
            <w:tcW w:w="2641" w:type="dxa"/>
            <w:vAlign w:val="center"/>
          </w:tcPr>
          <w:p w14:paraId="4DCB717D">
            <w:pPr>
              <w:rPr>
                <w:rFonts w:cs="宋体"/>
                <w:color w:val="auto"/>
                <w:szCs w:val="21"/>
              </w:rPr>
            </w:pPr>
            <w:r>
              <w:rPr>
                <w:rFonts w:hint="eastAsia" w:cs="宋体"/>
                <w:color w:val="auto"/>
                <w:szCs w:val="21"/>
              </w:rPr>
              <w:t>医疗机构水污染物排放标准》（GB18466-2005）中表3“污水处理站周边大气污染物最高允许浓度”标准</w:t>
            </w:r>
          </w:p>
        </w:tc>
      </w:tr>
      <w:tr w14:paraId="0D3933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2" w:type="dxa"/>
            <w:vAlign w:val="center"/>
          </w:tcPr>
          <w:p w14:paraId="01196AF4">
            <w:pPr>
              <w:adjustRightInd w:val="0"/>
              <w:snapToGrid w:val="0"/>
              <w:jc w:val="center"/>
              <w:rPr>
                <w:rFonts w:cs="宋体"/>
                <w:b/>
                <w:bCs/>
                <w:color w:val="auto"/>
                <w:szCs w:val="21"/>
              </w:rPr>
            </w:pPr>
            <w:r>
              <w:rPr>
                <w:rFonts w:hint="eastAsia" w:cs="宋体"/>
                <w:b/>
                <w:bCs/>
                <w:color w:val="auto"/>
                <w:szCs w:val="21"/>
              </w:rPr>
              <w:t>地表水环境</w:t>
            </w:r>
          </w:p>
        </w:tc>
        <w:tc>
          <w:tcPr>
            <w:tcW w:w="1423" w:type="dxa"/>
            <w:vAlign w:val="center"/>
          </w:tcPr>
          <w:p w14:paraId="08590B96">
            <w:pPr>
              <w:adjustRightInd w:val="0"/>
              <w:snapToGrid w:val="0"/>
              <w:jc w:val="center"/>
              <w:rPr>
                <w:rFonts w:cs="宋体"/>
                <w:color w:val="auto"/>
                <w:szCs w:val="21"/>
              </w:rPr>
            </w:pPr>
            <w:r>
              <w:rPr>
                <w:rFonts w:hint="eastAsia" w:cs="宋体"/>
                <w:color w:val="auto"/>
                <w:szCs w:val="21"/>
              </w:rPr>
              <w:t>综合废水</w:t>
            </w:r>
          </w:p>
        </w:tc>
        <w:tc>
          <w:tcPr>
            <w:tcW w:w="1617" w:type="dxa"/>
            <w:vAlign w:val="center"/>
          </w:tcPr>
          <w:p w14:paraId="143636A5">
            <w:pPr>
              <w:adjustRightInd w:val="0"/>
              <w:snapToGrid w:val="0"/>
              <w:rPr>
                <w:rFonts w:hint="default" w:eastAsia="宋体" w:cs="宋体"/>
                <w:color w:val="auto"/>
                <w:szCs w:val="21"/>
                <w:lang w:val="en-US" w:eastAsia="zh-CN"/>
              </w:rPr>
            </w:pPr>
            <w:r>
              <w:rPr>
                <w:rFonts w:hint="eastAsia" w:cs="宋体"/>
                <w:color w:val="auto"/>
                <w:szCs w:val="21"/>
              </w:rPr>
              <w:t>pH、COD</w:t>
            </w:r>
            <w:r>
              <w:rPr>
                <w:rFonts w:hint="eastAsia" w:cs="宋体"/>
                <w:color w:val="auto"/>
                <w:szCs w:val="21"/>
                <w:vertAlign w:val="subscript"/>
              </w:rPr>
              <w:t>cr</w:t>
            </w:r>
            <w:r>
              <w:rPr>
                <w:rFonts w:hint="eastAsia" w:cs="宋体"/>
                <w:color w:val="auto"/>
                <w:szCs w:val="21"/>
              </w:rPr>
              <w:t>、BOD</w:t>
            </w:r>
            <w:r>
              <w:rPr>
                <w:rFonts w:hint="eastAsia" w:cs="宋体"/>
                <w:color w:val="auto"/>
                <w:szCs w:val="21"/>
                <w:vertAlign w:val="subscript"/>
              </w:rPr>
              <w:t>5</w:t>
            </w:r>
            <w:r>
              <w:rPr>
                <w:rFonts w:hint="eastAsia" w:cs="宋体"/>
                <w:color w:val="auto"/>
                <w:szCs w:val="21"/>
              </w:rPr>
              <w:t>、SS、NH</w:t>
            </w:r>
            <w:r>
              <w:rPr>
                <w:rFonts w:hint="eastAsia" w:cs="宋体"/>
                <w:color w:val="auto"/>
                <w:szCs w:val="21"/>
                <w:vertAlign w:val="subscript"/>
              </w:rPr>
              <w:t>3</w:t>
            </w:r>
            <w:r>
              <w:rPr>
                <w:rFonts w:hint="eastAsia" w:cs="宋体"/>
                <w:color w:val="auto"/>
                <w:szCs w:val="21"/>
              </w:rPr>
              <w:t>-N、T</w:t>
            </w:r>
            <w:r>
              <w:rPr>
                <w:rFonts w:cs="宋体"/>
                <w:color w:val="auto"/>
                <w:szCs w:val="21"/>
              </w:rPr>
              <w:t>P</w:t>
            </w:r>
            <w:r>
              <w:rPr>
                <w:rFonts w:hint="eastAsia" w:cs="宋体"/>
                <w:color w:val="auto"/>
                <w:szCs w:val="21"/>
              </w:rPr>
              <w:t>、T</w:t>
            </w:r>
            <w:r>
              <w:rPr>
                <w:rFonts w:cs="宋体"/>
                <w:color w:val="auto"/>
                <w:szCs w:val="21"/>
              </w:rPr>
              <w:t>N</w:t>
            </w:r>
            <w:r>
              <w:rPr>
                <w:rFonts w:hint="eastAsia" w:cs="宋体"/>
                <w:color w:val="auto"/>
                <w:szCs w:val="21"/>
              </w:rPr>
              <w:t>、动植物油、粪大肠菌群数、总余氯</w:t>
            </w:r>
            <w:r>
              <w:rPr>
                <w:rFonts w:hint="eastAsia" w:cs="宋体"/>
                <w:color w:val="7030A0"/>
                <w:szCs w:val="21"/>
                <w:lang w:eastAsia="zh-CN"/>
              </w:rPr>
              <w:t>、</w:t>
            </w:r>
            <w:r>
              <w:rPr>
                <w:rFonts w:hint="eastAsia" w:cs="宋体"/>
                <w:color w:val="auto"/>
                <w:szCs w:val="21"/>
                <w:lang w:val="en-US" w:eastAsia="zh-CN"/>
              </w:rPr>
              <w:t>LAS</w:t>
            </w:r>
          </w:p>
        </w:tc>
        <w:tc>
          <w:tcPr>
            <w:tcW w:w="1823" w:type="dxa"/>
            <w:vAlign w:val="center"/>
          </w:tcPr>
          <w:p w14:paraId="66766C49">
            <w:pPr>
              <w:rPr>
                <w:rFonts w:cs="宋体"/>
                <w:bCs/>
                <w:color w:val="auto"/>
                <w:szCs w:val="21"/>
              </w:rPr>
            </w:pPr>
            <w:r>
              <w:rPr>
                <w:rFonts w:hint="eastAsia" w:cs="宋体"/>
                <w:color w:val="auto"/>
                <w:szCs w:val="21"/>
              </w:rPr>
              <w:t>中和桶、化粪池、隔油池、污水处理站</w:t>
            </w:r>
          </w:p>
        </w:tc>
        <w:tc>
          <w:tcPr>
            <w:tcW w:w="2641" w:type="dxa"/>
            <w:vAlign w:val="center"/>
          </w:tcPr>
          <w:p w14:paraId="0BC33E3F">
            <w:pPr>
              <w:rPr>
                <w:rFonts w:hint="default" w:cs="宋体"/>
                <w:color w:val="auto"/>
                <w:szCs w:val="21"/>
                <w:lang w:val="en-US"/>
              </w:rPr>
            </w:pPr>
            <w:r>
              <w:rPr>
                <w:rFonts w:hint="eastAsia"/>
                <w:color w:val="auto"/>
                <w:szCs w:val="21"/>
              </w:rPr>
              <w:t>《医疗机构水污染物排放标准》（GB8466-2005）</w:t>
            </w:r>
            <w:r>
              <w:rPr>
                <w:rFonts w:hint="eastAsia"/>
                <w:color w:val="auto"/>
                <w:szCs w:val="21"/>
                <w:lang w:val="en-US" w:eastAsia="zh-CN"/>
              </w:rPr>
              <w:t>和</w:t>
            </w:r>
            <w:r>
              <w:rPr>
                <w:bCs/>
                <w:color w:val="auto"/>
                <w:szCs w:val="21"/>
              </w:rPr>
              <w:t>表2</w:t>
            </w:r>
            <w:r>
              <w:rPr>
                <w:rFonts w:hint="eastAsia"/>
                <w:bCs/>
                <w:color w:val="auto"/>
                <w:szCs w:val="21"/>
              </w:rPr>
              <w:t>预处理标准</w:t>
            </w:r>
            <w:r>
              <w:rPr>
                <w:rFonts w:hint="eastAsia"/>
                <w:bCs/>
                <w:color w:val="auto"/>
                <w:szCs w:val="21"/>
                <w:lang w:val="en-US" w:eastAsia="zh-CN"/>
              </w:rPr>
              <w:t>及</w:t>
            </w:r>
            <w:r>
              <w:rPr>
                <w:rFonts w:hint="eastAsia"/>
                <w:color w:val="auto"/>
                <w:szCs w:val="21"/>
                <w:lang w:val="en-US" w:eastAsia="zh-CN"/>
              </w:rPr>
              <w:t>华林镇污水处理厂严者</w:t>
            </w:r>
          </w:p>
        </w:tc>
      </w:tr>
      <w:tr w14:paraId="6E258B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42" w:type="dxa"/>
            <w:vAlign w:val="center"/>
          </w:tcPr>
          <w:p w14:paraId="1F29D2D0">
            <w:pPr>
              <w:adjustRightInd w:val="0"/>
              <w:snapToGrid w:val="0"/>
              <w:jc w:val="center"/>
              <w:rPr>
                <w:rFonts w:cs="宋体"/>
                <w:b/>
                <w:bCs/>
                <w:color w:val="auto"/>
                <w:szCs w:val="21"/>
              </w:rPr>
            </w:pPr>
            <w:r>
              <w:rPr>
                <w:rFonts w:hint="eastAsia" w:cs="宋体"/>
                <w:b/>
                <w:bCs/>
                <w:color w:val="auto"/>
                <w:szCs w:val="21"/>
              </w:rPr>
              <w:t>声环境</w:t>
            </w:r>
          </w:p>
        </w:tc>
        <w:tc>
          <w:tcPr>
            <w:tcW w:w="1423" w:type="dxa"/>
            <w:vAlign w:val="center"/>
          </w:tcPr>
          <w:p w14:paraId="6EF97FB3">
            <w:pPr>
              <w:adjustRightInd w:val="0"/>
              <w:snapToGrid w:val="0"/>
              <w:jc w:val="center"/>
              <w:rPr>
                <w:rFonts w:cs="宋体"/>
                <w:color w:val="auto"/>
                <w:szCs w:val="21"/>
              </w:rPr>
            </w:pPr>
            <w:r>
              <w:rPr>
                <w:rFonts w:hint="eastAsia" w:cs="宋体"/>
                <w:color w:val="auto"/>
                <w:szCs w:val="21"/>
              </w:rPr>
              <w:t>机械设备</w:t>
            </w:r>
          </w:p>
        </w:tc>
        <w:tc>
          <w:tcPr>
            <w:tcW w:w="1617" w:type="dxa"/>
            <w:vAlign w:val="center"/>
          </w:tcPr>
          <w:p w14:paraId="6F8B2880">
            <w:pPr>
              <w:jc w:val="center"/>
              <w:rPr>
                <w:rFonts w:cs="宋体"/>
                <w:color w:val="auto"/>
                <w:szCs w:val="21"/>
              </w:rPr>
            </w:pPr>
            <w:r>
              <w:rPr>
                <w:rFonts w:hint="eastAsia" w:cs="宋体"/>
                <w:color w:val="auto"/>
                <w:szCs w:val="21"/>
              </w:rPr>
              <w:t>厂界噪声</w:t>
            </w:r>
          </w:p>
        </w:tc>
        <w:tc>
          <w:tcPr>
            <w:tcW w:w="1823" w:type="dxa"/>
            <w:vAlign w:val="center"/>
          </w:tcPr>
          <w:p w14:paraId="4205F05A">
            <w:pPr>
              <w:rPr>
                <w:rFonts w:cs="宋体"/>
                <w:color w:val="auto"/>
                <w:szCs w:val="21"/>
              </w:rPr>
            </w:pPr>
            <w:r>
              <w:rPr>
                <w:rFonts w:hint="eastAsia" w:cs="宋体"/>
                <w:color w:val="auto"/>
                <w:spacing w:val="3"/>
                <w:szCs w:val="21"/>
              </w:rPr>
              <w:t>合理布局，基础减振降噪，隔音、加强管理定期检修维护、厂房隔声、厂界绿化</w:t>
            </w:r>
          </w:p>
        </w:tc>
        <w:tc>
          <w:tcPr>
            <w:tcW w:w="2641" w:type="dxa"/>
            <w:vAlign w:val="center"/>
          </w:tcPr>
          <w:p w14:paraId="7D1698B7">
            <w:pPr>
              <w:rPr>
                <w:rFonts w:cs="宋体"/>
                <w:color w:val="auto"/>
                <w:szCs w:val="21"/>
              </w:rPr>
            </w:pPr>
            <w:r>
              <w:rPr>
                <w:rFonts w:hint="eastAsia" w:cs="宋体"/>
                <w:color w:val="auto"/>
                <w:szCs w:val="21"/>
              </w:rPr>
              <w:t>《工业企业厂界环境噪声排放标准》（GB12348-2008）中</w:t>
            </w:r>
            <w:r>
              <w:rPr>
                <w:rFonts w:hint="eastAsia" w:cs="宋体"/>
                <w:color w:val="auto"/>
                <w:szCs w:val="21"/>
                <w:lang w:val="en-US" w:eastAsia="zh-CN"/>
              </w:rPr>
              <w:t>1</w:t>
            </w:r>
            <w:r>
              <w:rPr>
                <w:rFonts w:hint="eastAsia" w:cs="宋体"/>
                <w:color w:val="auto"/>
                <w:szCs w:val="21"/>
              </w:rPr>
              <w:t>类标准</w:t>
            </w:r>
          </w:p>
        </w:tc>
      </w:tr>
      <w:tr w14:paraId="36D307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2" w:type="dxa"/>
            <w:vMerge w:val="restart"/>
            <w:vAlign w:val="center"/>
          </w:tcPr>
          <w:p w14:paraId="4082613A">
            <w:pPr>
              <w:adjustRightInd w:val="0"/>
              <w:snapToGrid w:val="0"/>
              <w:jc w:val="center"/>
              <w:rPr>
                <w:rFonts w:cs="宋体"/>
                <w:b/>
                <w:bCs/>
                <w:color w:val="auto"/>
                <w:szCs w:val="21"/>
              </w:rPr>
            </w:pPr>
            <w:r>
              <w:rPr>
                <w:rFonts w:hint="eastAsia" w:cs="宋体"/>
                <w:b/>
                <w:bCs/>
                <w:color w:val="auto"/>
                <w:szCs w:val="21"/>
              </w:rPr>
              <w:t>固体废物</w:t>
            </w:r>
          </w:p>
        </w:tc>
        <w:tc>
          <w:tcPr>
            <w:tcW w:w="1423" w:type="dxa"/>
            <w:tcBorders>
              <w:bottom w:val="single" w:color="auto" w:sz="4" w:space="0"/>
            </w:tcBorders>
            <w:vAlign w:val="center"/>
          </w:tcPr>
          <w:p w14:paraId="2C06FF1C">
            <w:pPr>
              <w:adjustRightInd w:val="0"/>
              <w:snapToGrid w:val="0"/>
              <w:jc w:val="center"/>
              <w:rPr>
                <w:rFonts w:cs="宋体"/>
                <w:color w:val="auto"/>
                <w:szCs w:val="21"/>
              </w:rPr>
            </w:pPr>
            <w:r>
              <w:rPr>
                <w:rFonts w:hint="eastAsia" w:cs="宋体"/>
                <w:bCs/>
                <w:color w:val="auto"/>
                <w:szCs w:val="21"/>
              </w:rPr>
              <w:t>生活</w:t>
            </w:r>
          </w:p>
        </w:tc>
        <w:tc>
          <w:tcPr>
            <w:tcW w:w="1617" w:type="dxa"/>
            <w:tcBorders>
              <w:bottom w:val="single" w:color="auto" w:sz="4" w:space="0"/>
            </w:tcBorders>
            <w:vAlign w:val="center"/>
          </w:tcPr>
          <w:p w14:paraId="4C631CA7">
            <w:pPr>
              <w:adjustRightInd w:val="0"/>
              <w:snapToGrid w:val="0"/>
              <w:jc w:val="center"/>
              <w:rPr>
                <w:rFonts w:cs="宋体"/>
                <w:snapToGrid w:val="0"/>
                <w:color w:val="auto"/>
                <w:szCs w:val="21"/>
              </w:rPr>
            </w:pPr>
            <w:r>
              <w:rPr>
                <w:rFonts w:hint="eastAsia" w:cs="宋体"/>
                <w:color w:val="auto"/>
                <w:szCs w:val="21"/>
              </w:rPr>
              <w:t>生活垃圾</w:t>
            </w:r>
          </w:p>
        </w:tc>
        <w:tc>
          <w:tcPr>
            <w:tcW w:w="1823" w:type="dxa"/>
            <w:tcBorders>
              <w:bottom w:val="single" w:color="auto" w:sz="4" w:space="0"/>
            </w:tcBorders>
            <w:vAlign w:val="center"/>
          </w:tcPr>
          <w:p w14:paraId="6284B6C5">
            <w:pPr>
              <w:adjustRightInd w:val="0"/>
              <w:snapToGrid w:val="0"/>
              <w:jc w:val="center"/>
              <w:rPr>
                <w:rFonts w:cs="宋体"/>
                <w:snapToGrid w:val="0"/>
                <w:color w:val="auto"/>
                <w:szCs w:val="21"/>
              </w:rPr>
            </w:pPr>
            <w:r>
              <w:rPr>
                <w:rFonts w:hint="eastAsia" w:cs="宋体"/>
                <w:color w:val="auto"/>
                <w:spacing w:val="4"/>
                <w:kern w:val="21"/>
                <w:szCs w:val="21"/>
              </w:rPr>
              <w:t>经垃圾桶定点收集，委托环卫部门清运</w:t>
            </w:r>
          </w:p>
        </w:tc>
        <w:tc>
          <w:tcPr>
            <w:tcW w:w="2641" w:type="dxa"/>
            <w:vMerge w:val="restart"/>
            <w:vAlign w:val="center"/>
          </w:tcPr>
          <w:p w14:paraId="42AE5094">
            <w:pPr>
              <w:jc w:val="center"/>
              <w:rPr>
                <w:rFonts w:cs="宋体"/>
                <w:color w:val="auto"/>
                <w:szCs w:val="21"/>
              </w:rPr>
            </w:pPr>
            <w:r>
              <w:rPr>
                <w:rFonts w:hint="eastAsia" w:cs="宋体"/>
                <w:color w:val="auto"/>
                <w:szCs w:val="21"/>
              </w:rPr>
              <w:t>无害化</w:t>
            </w:r>
          </w:p>
        </w:tc>
      </w:tr>
      <w:tr w14:paraId="7568C7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542" w:type="dxa"/>
            <w:vMerge w:val="continue"/>
            <w:vAlign w:val="center"/>
          </w:tcPr>
          <w:p w14:paraId="75B80D4E">
            <w:pPr>
              <w:adjustRightInd w:val="0"/>
              <w:snapToGrid w:val="0"/>
              <w:jc w:val="center"/>
              <w:rPr>
                <w:rFonts w:cs="宋体"/>
                <w:b/>
                <w:bCs/>
                <w:color w:val="auto"/>
                <w:szCs w:val="21"/>
              </w:rPr>
            </w:pPr>
          </w:p>
        </w:tc>
        <w:tc>
          <w:tcPr>
            <w:tcW w:w="1423" w:type="dxa"/>
            <w:tcBorders>
              <w:bottom w:val="single" w:color="auto" w:sz="4" w:space="0"/>
            </w:tcBorders>
            <w:vAlign w:val="center"/>
          </w:tcPr>
          <w:p w14:paraId="4CBC7E2C">
            <w:pPr>
              <w:adjustRightInd w:val="0"/>
              <w:snapToGrid w:val="0"/>
              <w:jc w:val="center"/>
              <w:rPr>
                <w:rFonts w:cs="宋体"/>
                <w:bCs/>
                <w:color w:val="auto"/>
                <w:szCs w:val="21"/>
              </w:rPr>
            </w:pPr>
            <w:r>
              <w:rPr>
                <w:rFonts w:hint="eastAsia" w:cs="宋体"/>
                <w:bCs/>
                <w:color w:val="auto"/>
                <w:szCs w:val="21"/>
              </w:rPr>
              <w:t>门诊、住院</w:t>
            </w:r>
          </w:p>
        </w:tc>
        <w:tc>
          <w:tcPr>
            <w:tcW w:w="1617" w:type="dxa"/>
            <w:tcBorders>
              <w:bottom w:val="single" w:color="auto" w:sz="4" w:space="0"/>
            </w:tcBorders>
            <w:vAlign w:val="center"/>
          </w:tcPr>
          <w:p w14:paraId="739A5406">
            <w:pPr>
              <w:adjustRightInd w:val="0"/>
              <w:snapToGrid w:val="0"/>
              <w:jc w:val="center"/>
              <w:rPr>
                <w:rFonts w:cs="宋体"/>
                <w:color w:val="auto"/>
                <w:szCs w:val="21"/>
              </w:rPr>
            </w:pPr>
            <w:r>
              <w:rPr>
                <w:rFonts w:hint="eastAsia" w:cs="宋体"/>
                <w:color w:val="auto"/>
                <w:szCs w:val="21"/>
                <w:lang w:val="en-US" w:eastAsia="zh-CN"/>
              </w:rPr>
              <w:t>未污染的</w:t>
            </w:r>
            <w:r>
              <w:rPr>
                <w:rFonts w:hint="eastAsia" w:cs="宋体"/>
                <w:color w:val="auto"/>
                <w:szCs w:val="21"/>
              </w:rPr>
              <w:t>输液瓶袋</w:t>
            </w:r>
          </w:p>
        </w:tc>
        <w:tc>
          <w:tcPr>
            <w:tcW w:w="1823" w:type="dxa"/>
            <w:tcBorders>
              <w:bottom w:val="single" w:color="auto" w:sz="4" w:space="0"/>
            </w:tcBorders>
            <w:vAlign w:val="center"/>
          </w:tcPr>
          <w:p w14:paraId="2105377F">
            <w:pPr>
              <w:adjustRightInd w:val="0"/>
              <w:snapToGrid w:val="0"/>
              <w:jc w:val="center"/>
              <w:rPr>
                <w:rFonts w:cs="宋体"/>
                <w:color w:val="auto"/>
                <w:spacing w:val="4"/>
                <w:kern w:val="21"/>
                <w:szCs w:val="21"/>
              </w:rPr>
            </w:pPr>
            <w:r>
              <w:rPr>
                <w:rFonts w:hint="eastAsia" w:cs="宋体"/>
                <w:color w:val="auto"/>
                <w:spacing w:val="4"/>
                <w:kern w:val="21"/>
                <w:szCs w:val="21"/>
              </w:rPr>
              <w:t>交由有关单位单位回收处置</w:t>
            </w:r>
          </w:p>
        </w:tc>
        <w:tc>
          <w:tcPr>
            <w:tcW w:w="2641" w:type="dxa"/>
            <w:vMerge w:val="continue"/>
            <w:vAlign w:val="center"/>
          </w:tcPr>
          <w:p w14:paraId="63A5DC18">
            <w:pPr>
              <w:jc w:val="center"/>
              <w:rPr>
                <w:rFonts w:cs="宋体"/>
                <w:color w:val="auto"/>
                <w:szCs w:val="21"/>
              </w:rPr>
            </w:pPr>
          </w:p>
        </w:tc>
      </w:tr>
      <w:tr w14:paraId="37524A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1542" w:type="dxa"/>
            <w:vMerge w:val="continue"/>
            <w:vAlign w:val="center"/>
          </w:tcPr>
          <w:p w14:paraId="7AFA05C9">
            <w:pPr>
              <w:adjustRightInd w:val="0"/>
              <w:snapToGrid w:val="0"/>
              <w:jc w:val="center"/>
              <w:rPr>
                <w:rFonts w:cs="宋体"/>
                <w:b/>
                <w:bCs/>
                <w:color w:val="auto"/>
                <w:szCs w:val="21"/>
              </w:rPr>
            </w:pPr>
          </w:p>
        </w:tc>
        <w:tc>
          <w:tcPr>
            <w:tcW w:w="1423" w:type="dxa"/>
            <w:tcBorders>
              <w:bottom w:val="single" w:color="auto" w:sz="4" w:space="0"/>
            </w:tcBorders>
            <w:vAlign w:val="center"/>
          </w:tcPr>
          <w:p w14:paraId="407E4224">
            <w:pPr>
              <w:adjustRightInd w:val="0"/>
              <w:snapToGrid w:val="0"/>
              <w:jc w:val="center"/>
              <w:rPr>
                <w:rFonts w:cs="宋体"/>
                <w:bCs/>
                <w:color w:val="auto"/>
                <w:szCs w:val="21"/>
              </w:rPr>
            </w:pPr>
            <w:r>
              <w:rPr>
                <w:rFonts w:hint="eastAsia" w:cs="宋体"/>
                <w:bCs/>
                <w:color w:val="auto"/>
                <w:szCs w:val="21"/>
                <w:lang w:val="en-US" w:eastAsia="zh-CN"/>
              </w:rPr>
              <w:t>药房</w:t>
            </w:r>
          </w:p>
        </w:tc>
        <w:tc>
          <w:tcPr>
            <w:tcW w:w="1617" w:type="dxa"/>
            <w:tcBorders>
              <w:bottom w:val="single" w:color="auto" w:sz="4" w:space="0"/>
            </w:tcBorders>
            <w:vAlign w:val="center"/>
          </w:tcPr>
          <w:p w14:paraId="3B3F6032">
            <w:pPr>
              <w:adjustRightInd w:val="0"/>
              <w:snapToGrid w:val="0"/>
              <w:jc w:val="center"/>
              <w:rPr>
                <w:rFonts w:cs="宋体"/>
                <w:color w:val="auto"/>
                <w:szCs w:val="21"/>
              </w:rPr>
            </w:pPr>
            <w:r>
              <w:rPr>
                <w:rFonts w:hint="eastAsia" w:cs="宋体"/>
                <w:color w:val="auto"/>
                <w:szCs w:val="21"/>
              </w:rPr>
              <w:t>药品包装盒</w:t>
            </w:r>
          </w:p>
        </w:tc>
        <w:tc>
          <w:tcPr>
            <w:tcW w:w="1823" w:type="dxa"/>
            <w:tcBorders>
              <w:bottom w:val="single" w:color="auto" w:sz="4" w:space="0"/>
            </w:tcBorders>
            <w:vAlign w:val="center"/>
          </w:tcPr>
          <w:p w14:paraId="4854E029">
            <w:pPr>
              <w:adjustRightInd w:val="0"/>
              <w:snapToGrid w:val="0"/>
              <w:jc w:val="center"/>
              <w:rPr>
                <w:rFonts w:cs="宋体"/>
                <w:color w:val="auto"/>
                <w:spacing w:val="4"/>
                <w:kern w:val="21"/>
                <w:szCs w:val="21"/>
              </w:rPr>
            </w:pPr>
            <w:r>
              <w:rPr>
                <w:rFonts w:hint="eastAsia" w:cs="宋体"/>
                <w:color w:val="auto"/>
                <w:spacing w:val="4"/>
                <w:kern w:val="21"/>
                <w:szCs w:val="21"/>
              </w:rPr>
              <w:t>交由有关单位单位回收</w:t>
            </w:r>
          </w:p>
        </w:tc>
        <w:tc>
          <w:tcPr>
            <w:tcW w:w="2641" w:type="dxa"/>
            <w:vMerge w:val="continue"/>
            <w:vAlign w:val="center"/>
          </w:tcPr>
          <w:p w14:paraId="207D1818">
            <w:pPr>
              <w:jc w:val="center"/>
              <w:rPr>
                <w:rFonts w:cs="宋体"/>
                <w:color w:val="auto"/>
                <w:szCs w:val="21"/>
              </w:rPr>
            </w:pPr>
          </w:p>
        </w:tc>
      </w:tr>
      <w:tr w14:paraId="333816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542" w:type="dxa"/>
            <w:vMerge w:val="continue"/>
            <w:vAlign w:val="center"/>
          </w:tcPr>
          <w:p w14:paraId="45F93AEB">
            <w:pPr>
              <w:adjustRightInd w:val="0"/>
              <w:snapToGrid w:val="0"/>
              <w:jc w:val="center"/>
              <w:rPr>
                <w:rFonts w:cs="宋体"/>
                <w:b/>
                <w:bCs/>
                <w:color w:val="auto"/>
                <w:szCs w:val="21"/>
              </w:rPr>
            </w:pPr>
          </w:p>
        </w:tc>
        <w:tc>
          <w:tcPr>
            <w:tcW w:w="1423" w:type="dxa"/>
            <w:tcBorders>
              <w:bottom w:val="single" w:color="auto" w:sz="4" w:space="0"/>
            </w:tcBorders>
            <w:vAlign w:val="center"/>
          </w:tcPr>
          <w:p w14:paraId="018BE699">
            <w:pPr>
              <w:adjustRightInd w:val="0"/>
              <w:snapToGrid w:val="0"/>
              <w:jc w:val="center"/>
              <w:rPr>
                <w:rFonts w:cs="宋体"/>
                <w:bCs/>
                <w:color w:val="auto"/>
                <w:szCs w:val="21"/>
              </w:rPr>
            </w:pPr>
            <w:r>
              <w:rPr>
                <w:rFonts w:hint="eastAsia" w:cs="宋体"/>
                <w:bCs/>
                <w:color w:val="auto"/>
                <w:szCs w:val="21"/>
              </w:rPr>
              <w:t>中医馆</w:t>
            </w:r>
          </w:p>
        </w:tc>
        <w:tc>
          <w:tcPr>
            <w:tcW w:w="1617" w:type="dxa"/>
            <w:tcBorders>
              <w:bottom w:val="single" w:color="auto" w:sz="4" w:space="0"/>
            </w:tcBorders>
            <w:vAlign w:val="center"/>
          </w:tcPr>
          <w:p w14:paraId="15827B7B">
            <w:pPr>
              <w:adjustRightInd w:val="0"/>
              <w:snapToGrid w:val="0"/>
              <w:jc w:val="center"/>
              <w:rPr>
                <w:rFonts w:cs="宋体"/>
                <w:color w:val="auto"/>
                <w:szCs w:val="21"/>
              </w:rPr>
            </w:pPr>
            <w:r>
              <w:rPr>
                <w:rFonts w:hint="eastAsia" w:cs="宋体"/>
                <w:color w:val="auto"/>
                <w:szCs w:val="21"/>
              </w:rPr>
              <w:t>废残药渣</w:t>
            </w:r>
          </w:p>
        </w:tc>
        <w:tc>
          <w:tcPr>
            <w:tcW w:w="1823" w:type="dxa"/>
            <w:tcBorders>
              <w:bottom w:val="single" w:color="auto" w:sz="4" w:space="0"/>
            </w:tcBorders>
            <w:vAlign w:val="center"/>
          </w:tcPr>
          <w:p w14:paraId="02D861AB">
            <w:pPr>
              <w:adjustRightInd w:val="0"/>
              <w:snapToGrid w:val="0"/>
              <w:jc w:val="center"/>
              <w:rPr>
                <w:rFonts w:cs="宋体"/>
                <w:color w:val="auto"/>
                <w:spacing w:val="4"/>
                <w:kern w:val="21"/>
                <w:szCs w:val="21"/>
              </w:rPr>
            </w:pPr>
            <w:r>
              <w:rPr>
                <w:rFonts w:hint="eastAsia" w:cs="宋体"/>
                <w:color w:val="auto"/>
                <w:spacing w:val="4"/>
                <w:kern w:val="21"/>
                <w:szCs w:val="21"/>
              </w:rPr>
              <w:t>委托环卫部门清运</w:t>
            </w:r>
          </w:p>
        </w:tc>
        <w:tc>
          <w:tcPr>
            <w:tcW w:w="2641" w:type="dxa"/>
            <w:vMerge w:val="continue"/>
            <w:vAlign w:val="center"/>
          </w:tcPr>
          <w:p w14:paraId="017466E2">
            <w:pPr>
              <w:jc w:val="center"/>
              <w:rPr>
                <w:rFonts w:cs="宋体"/>
                <w:color w:val="auto"/>
                <w:szCs w:val="21"/>
              </w:rPr>
            </w:pPr>
          </w:p>
        </w:tc>
      </w:tr>
      <w:tr w14:paraId="461852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542" w:type="dxa"/>
            <w:vMerge w:val="continue"/>
            <w:vAlign w:val="center"/>
          </w:tcPr>
          <w:p w14:paraId="78F539D2">
            <w:pPr>
              <w:adjustRightInd w:val="0"/>
              <w:snapToGrid w:val="0"/>
              <w:jc w:val="center"/>
              <w:rPr>
                <w:rFonts w:cs="宋体"/>
                <w:b/>
                <w:bCs/>
                <w:color w:val="auto"/>
                <w:szCs w:val="21"/>
              </w:rPr>
            </w:pPr>
          </w:p>
        </w:tc>
        <w:tc>
          <w:tcPr>
            <w:tcW w:w="1423" w:type="dxa"/>
            <w:tcBorders>
              <w:bottom w:val="single" w:color="auto" w:sz="4" w:space="0"/>
            </w:tcBorders>
            <w:vAlign w:val="center"/>
          </w:tcPr>
          <w:p w14:paraId="5A37F5DE">
            <w:pPr>
              <w:adjustRightInd w:val="0"/>
              <w:snapToGrid w:val="0"/>
              <w:jc w:val="center"/>
              <w:rPr>
                <w:rFonts w:hint="eastAsia" w:eastAsia="宋体" w:cs="宋体"/>
                <w:color w:val="auto"/>
                <w:szCs w:val="21"/>
                <w:lang w:val="en-US" w:eastAsia="zh-CN"/>
              </w:rPr>
            </w:pPr>
            <w:r>
              <w:rPr>
                <w:rFonts w:hint="eastAsia" w:cs="宋体"/>
                <w:color w:val="auto"/>
                <w:szCs w:val="21"/>
                <w:lang w:val="en-US" w:eastAsia="zh-CN"/>
              </w:rPr>
              <w:t>污水处理</w:t>
            </w:r>
          </w:p>
        </w:tc>
        <w:tc>
          <w:tcPr>
            <w:tcW w:w="1617" w:type="dxa"/>
            <w:tcBorders>
              <w:bottom w:val="single" w:color="auto" w:sz="4" w:space="0"/>
            </w:tcBorders>
            <w:vAlign w:val="center"/>
          </w:tcPr>
          <w:p w14:paraId="33466AEB">
            <w:pPr>
              <w:adjustRightInd w:val="0"/>
              <w:snapToGrid w:val="0"/>
              <w:jc w:val="center"/>
              <w:rPr>
                <w:rFonts w:hint="default" w:eastAsia="宋体" w:cs="宋体"/>
                <w:color w:val="auto"/>
                <w:szCs w:val="21"/>
                <w:lang w:val="en-US" w:eastAsia="zh-CN"/>
              </w:rPr>
            </w:pPr>
            <w:r>
              <w:rPr>
                <w:rFonts w:hint="eastAsia" w:cs="宋体"/>
                <w:color w:val="auto"/>
                <w:szCs w:val="21"/>
                <w:lang w:val="en-US" w:eastAsia="zh-CN"/>
              </w:rPr>
              <w:t>废MBR膜</w:t>
            </w:r>
          </w:p>
        </w:tc>
        <w:tc>
          <w:tcPr>
            <w:tcW w:w="1823" w:type="dxa"/>
            <w:vAlign w:val="center"/>
          </w:tcPr>
          <w:p w14:paraId="7FD120BB">
            <w:pPr>
              <w:adjustRightInd w:val="0"/>
              <w:snapToGrid w:val="0"/>
              <w:jc w:val="center"/>
              <w:rPr>
                <w:rFonts w:hint="eastAsia" w:cs="宋体"/>
                <w:color w:val="auto"/>
                <w:spacing w:val="4"/>
                <w:kern w:val="21"/>
                <w:szCs w:val="21"/>
                <w:lang w:val="en-US" w:eastAsia="zh-CN"/>
              </w:rPr>
            </w:pPr>
            <w:r>
              <w:rPr>
                <w:rFonts w:hint="eastAsia" w:cs="宋体"/>
                <w:color w:val="auto"/>
                <w:spacing w:val="4"/>
                <w:kern w:val="21"/>
                <w:szCs w:val="21"/>
              </w:rPr>
              <w:t>委托有资质的单位处置</w:t>
            </w:r>
          </w:p>
        </w:tc>
        <w:tc>
          <w:tcPr>
            <w:tcW w:w="2641" w:type="dxa"/>
            <w:vMerge w:val="continue"/>
            <w:vAlign w:val="center"/>
          </w:tcPr>
          <w:p w14:paraId="0B3C70FF">
            <w:pPr>
              <w:jc w:val="center"/>
              <w:rPr>
                <w:rFonts w:cs="宋体"/>
                <w:color w:val="auto"/>
                <w:szCs w:val="21"/>
              </w:rPr>
            </w:pPr>
          </w:p>
        </w:tc>
      </w:tr>
      <w:tr w14:paraId="766F05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542" w:type="dxa"/>
            <w:vMerge w:val="continue"/>
            <w:vAlign w:val="center"/>
          </w:tcPr>
          <w:p w14:paraId="1F017040">
            <w:pPr>
              <w:adjustRightInd w:val="0"/>
              <w:snapToGrid w:val="0"/>
              <w:jc w:val="center"/>
              <w:rPr>
                <w:rFonts w:cs="宋体"/>
                <w:b/>
                <w:bCs/>
                <w:color w:val="auto"/>
                <w:szCs w:val="21"/>
              </w:rPr>
            </w:pPr>
          </w:p>
        </w:tc>
        <w:tc>
          <w:tcPr>
            <w:tcW w:w="1423" w:type="dxa"/>
            <w:tcBorders>
              <w:bottom w:val="single" w:color="auto" w:sz="4" w:space="0"/>
            </w:tcBorders>
            <w:vAlign w:val="center"/>
          </w:tcPr>
          <w:p w14:paraId="20C61345">
            <w:pPr>
              <w:adjustRightInd w:val="0"/>
              <w:snapToGrid w:val="0"/>
              <w:jc w:val="center"/>
              <w:rPr>
                <w:rFonts w:cs="宋体"/>
                <w:color w:val="auto"/>
                <w:szCs w:val="21"/>
              </w:rPr>
            </w:pPr>
            <w:r>
              <w:rPr>
                <w:rFonts w:hint="eastAsia" w:cs="宋体"/>
                <w:color w:val="auto"/>
                <w:szCs w:val="21"/>
              </w:rPr>
              <w:t>门诊、住院</w:t>
            </w:r>
          </w:p>
        </w:tc>
        <w:tc>
          <w:tcPr>
            <w:tcW w:w="1617" w:type="dxa"/>
            <w:tcBorders>
              <w:bottom w:val="single" w:color="auto" w:sz="4" w:space="0"/>
            </w:tcBorders>
            <w:vAlign w:val="center"/>
          </w:tcPr>
          <w:p w14:paraId="21D66CCD">
            <w:pPr>
              <w:adjustRightInd w:val="0"/>
              <w:snapToGrid w:val="0"/>
              <w:jc w:val="center"/>
              <w:rPr>
                <w:rFonts w:cs="宋体"/>
                <w:color w:val="auto"/>
                <w:szCs w:val="21"/>
              </w:rPr>
            </w:pPr>
            <w:r>
              <w:rPr>
                <w:rFonts w:hint="eastAsia" w:cs="宋体"/>
                <w:color w:val="auto"/>
                <w:szCs w:val="21"/>
              </w:rPr>
              <w:t>医疗废物</w:t>
            </w:r>
          </w:p>
        </w:tc>
        <w:tc>
          <w:tcPr>
            <w:tcW w:w="1823" w:type="dxa"/>
            <w:vMerge w:val="restart"/>
            <w:vAlign w:val="center"/>
          </w:tcPr>
          <w:p w14:paraId="1BC20FD1">
            <w:pPr>
              <w:adjustRightInd w:val="0"/>
              <w:snapToGrid w:val="0"/>
              <w:jc w:val="center"/>
              <w:rPr>
                <w:rFonts w:cs="宋体"/>
                <w:color w:val="auto"/>
                <w:spacing w:val="4"/>
                <w:kern w:val="21"/>
                <w:szCs w:val="21"/>
              </w:rPr>
            </w:pPr>
            <w:r>
              <w:rPr>
                <w:rFonts w:hint="eastAsia" w:cs="宋体"/>
                <w:color w:val="auto"/>
                <w:spacing w:val="4"/>
                <w:kern w:val="21"/>
                <w:szCs w:val="21"/>
                <w:lang w:val="en-US" w:eastAsia="zh-CN"/>
              </w:rPr>
              <w:t>医疗</w:t>
            </w:r>
            <w:r>
              <w:rPr>
                <w:rFonts w:hint="eastAsia" w:cs="宋体"/>
                <w:color w:val="auto"/>
                <w:spacing w:val="4"/>
                <w:kern w:val="21"/>
                <w:szCs w:val="21"/>
              </w:rPr>
              <w:t>废物暂存间，委托有资质的单位处置</w:t>
            </w:r>
          </w:p>
        </w:tc>
        <w:tc>
          <w:tcPr>
            <w:tcW w:w="2641" w:type="dxa"/>
            <w:vMerge w:val="continue"/>
            <w:vAlign w:val="center"/>
          </w:tcPr>
          <w:p w14:paraId="19A2B253">
            <w:pPr>
              <w:jc w:val="center"/>
              <w:rPr>
                <w:rFonts w:cs="宋体"/>
                <w:color w:val="auto"/>
                <w:szCs w:val="21"/>
              </w:rPr>
            </w:pPr>
          </w:p>
        </w:tc>
      </w:tr>
      <w:tr w14:paraId="4F5822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542" w:type="dxa"/>
            <w:vMerge w:val="continue"/>
            <w:vAlign w:val="center"/>
          </w:tcPr>
          <w:p w14:paraId="048C6E54">
            <w:pPr>
              <w:adjustRightInd w:val="0"/>
              <w:snapToGrid w:val="0"/>
              <w:jc w:val="center"/>
              <w:rPr>
                <w:rFonts w:cs="宋体"/>
                <w:b/>
                <w:bCs/>
                <w:color w:val="auto"/>
                <w:szCs w:val="21"/>
              </w:rPr>
            </w:pPr>
          </w:p>
        </w:tc>
        <w:tc>
          <w:tcPr>
            <w:tcW w:w="1423" w:type="dxa"/>
            <w:tcBorders>
              <w:bottom w:val="single" w:color="auto" w:sz="4" w:space="0"/>
            </w:tcBorders>
            <w:vAlign w:val="center"/>
          </w:tcPr>
          <w:p w14:paraId="03248F40">
            <w:pPr>
              <w:adjustRightInd w:val="0"/>
              <w:snapToGrid w:val="0"/>
              <w:jc w:val="center"/>
              <w:rPr>
                <w:rFonts w:cs="宋体"/>
                <w:color w:val="auto"/>
                <w:szCs w:val="21"/>
              </w:rPr>
            </w:pPr>
            <w:r>
              <w:rPr>
                <w:rFonts w:hint="eastAsia" w:cs="宋体"/>
                <w:color w:val="auto"/>
                <w:szCs w:val="21"/>
              </w:rPr>
              <w:t>消毒</w:t>
            </w:r>
          </w:p>
        </w:tc>
        <w:tc>
          <w:tcPr>
            <w:tcW w:w="1617" w:type="dxa"/>
            <w:tcBorders>
              <w:bottom w:val="single" w:color="auto" w:sz="4" w:space="0"/>
            </w:tcBorders>
            <w:vAlign w:val="center"/>
          </w:tcPr>
          <w:p w14:paraId="210FB27F">
            <w:pPr>
              <w:adjustRightInd w:val="0"/>
              <w:snapToGrid w:val="0"/>
              <w:jc w:val="center"/>
              <w:rPr>
                <w:rFonts w:cs="宋体"/>
                <w:color w:val="auto"/>
                <w:szCs w:val="21"/>
              </w:rPr>
            </w:pPr>
            <w:r>
              <w:rPr>
                <w:rFonts w:hint="eastAsia" w:cs="宋体"/>
                <w:color w:val="auto"/>
                <w:szCs w:val="21"/>
              </w:rPr>
              <w:t>废紫外线灯管</w:t>
            </w:r>
          </w:p>
        </w:tc>
        <w:tc>
          <w:tcPr>
            <w:tcW w:w="1823" w:type="dxa"/>
            <w:vMerge w:val="continue"/>
            <w:vAlign w:val="center"/>
          </w:tcPr>
          <w:p w14:paraId="29679486">
            <w:pPr>
              <w:adjustRightInd w:val="0"/>
              <w:snapToGrid w:val="0"/>
              <w:jc w:val="center"/>
              <w:rPr>
                <w:rFonts w:cs="宋体"/>
                <w:color w:val="auto"/>
                <w:spacing w:val="4"/>
                <w:kern w:val="21"/>
                <w:szCs w:val="21"/>
              </w:rPr>
            </w:pPr>
          </w:p>
        </w:tc>
        <w:tc>
          <w:tcPr>
            <w:tcW w:w="2641" w:type="dxa"/>
            <w:vMerge w:val="continue"/>
            <w:vAlign w:val="center"/>
          </w:tcPr>
          <w:p w14:paraId="00D87A64">
            <w:pPr>
              <w:jc w:val="center"/>
              <w:rPr>
                <w:rFonts w:cs="宋体"/>
                <w:color w:val="auto"/>
                <w:szCs w:val="21"/>
              </w:rPr>
            </w:pPr>
          </w:p>
        </w:tc>
      </w:tr>
      <w:tr w14:paraId="400DB3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542" w:type="dxa"/>
            <w:vMerge w:val="continue"/>
            <w:vAlign w:val="center"/>
          </w:tcPr>
          <w:p w14:paraId="4D4C5B19">
            <w:pPr>
              <w:adjustRightInd w:val="0"/>
              <w:snapToGrid w:val="0"/>
              <w:jc w:val="center"/>
              <w:rPr>
                <w:rFonts w:cs="宋体"/>
                <w:b/>
                <w:bCs/>
                <w:color w:val="auto"/>
                <w:szCs w:val="21"/>
              </w:rPr>
            </w:pPr>
          </w:p>
        </w:tc>
        <w:tc>
          <w:tcPr>
            <w:tcW w:w="1423" w:type="dxa"/>
            <w:tcBorders>
              <w:bottom w:val="single" w:color="auto" w:sz="4" w:space="0"/>
            </w:tcBorders>
            <w:vAlign w:val="center"/>
          </w:tcPr>
          <w:p w14:paraId="0A5E3E8B">
            <w:pPr>
              <w:adjustRightInd w:val="0"/>
              <w:snapToGrid w:val="0"/>
              <w:jc w:val="center"/>
              <w:rPr>
                <w:rFonts w:cs="宋体"/>
                <w:color w:val="auto"/>
                <w:szCs w:val="21"/>
              </w:rPr>
            </w:pPr>
            <w:r>
              <w:rPr>
                <w:rFonts w:hint="eastAsia" w:cs="宋体"/>
                <w:bCs/>
                <w:color w:val="auto"/>
                <w:szCs w:val="21"/>
              </w:rPr>
              <w:t>污水处理</w:t>
            </w:r>
          </w:p>
        </w:tc>
        <w:tc>
          <w:tcPr>
            <w:tcW w:w="1617" w:type="dxa"/>
            <w:tcBorders>
              <w:bottom w:val="single" w:color="auto" w:sz="4" w:space="0"/>
            </w:tcBorders>
            <w:vAlign w:val="center"/>
          </w:tcPr>
          <w:p w14:paraId="006177AC">
            <w:pPr>
              <w:adjustRightInd w:val="0"/>
              <w:snapToGrid w:val="0"/>
              <w:jc w:val="center"/>
              <w:rPr>
                <w:rFonts w:cs="宋体"/>
                <w:color w:val="auto"/>
                <w:szCs w:val="21"/>
              </w:rPr>
            </w:pPr>
            <w:r>
              <w:rPr>
                <w:rFonts w:hint="eastAsia" w:cs="宋体"/>
                <w:color w:val="auto"/>
                <w:szCs w:val="21"/>
              </w:rPr>
              <w:t>污水处理污泥</w:t>
            </w:r>
          </w:p>
        </w:tc>
        <w:tc>
          <w:tcPr>
            <w:tcW w:w="1823" w:type="dxa"/>
            <w:tcBorders>
              <w:bottom w:val="single" w:color="auto" w:sz="4" w:space="0"/>
            </w:tcBorders>
            <w:vAlign w:val="center"/>
          </w:tcPr>
          <w:p w14:paraId="5034B56D">
            <w:pPr>
              <w:jc w:val="center"/>
              <w:rPr>
                <w:rFonts w:hint="default" w:eastAsia="宋体" w:cs="宋体"/>
                <w:color w:val="auto"/>
                <w:spacing w:val="4"/>
                <w:kern w:val="21"/>
                <w:szCs w:val="21"/>
                <w:lang w:val="en-US" w:eastAsia="zh-CN"/>
              </w:rPr>
            </w:pPr>
            <w:r>
              <w:rPr>
                <w:rFonts w:hint="eastAsia" w:cs="宋体"/>
                <w:color w:val="auto"/>
                <w:spacing w:val="4"/>
                <w:kern w:val="21"/>
                <w:szCs w:val="21"/>
                <w:lang w:val="en-US" w:eastAsia="zh-CN"/>
              </w:rPr>
              <w:t>定期委托有资质单位清掏处理</w:t>
            </w:r>
          </w:p>
        </w:tc>
        <w:tc>
          <w:tcPr>
            <w:tcW w:w="2641" w:type="dxa"/>
            <w:vMerge w:val="continue"/>
            <w:vAlign w:val="center"/>
          </w:tcPr>
          <w:p w14:paraId="30DAC9DE">
            <w:pPr>
              <w:jc w:val="center"/>
              <w:rPr>
                <w:rFonts w:cs="宋体"/>
                <w:color w:val="auto"/>
                <w:szCs w:val="21"/>
              </w:rPr>
            </w:pPr>
          </w:p>
        </w:tc>
      </w:tr>
      <w:tr w14:paraId="572945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26" w:hRule="atLeast"/>
          <w:jc w:val="center"/>
        </w:trPr>
        <w:tc>
          <w:tcPr>
            <w:tcW w:w="1542" w:type="dxa"/>
            <w:vAlign w:val="center"/>
          </w:tcPr>
          <w:p w14:paraId="68D3D3B4">
            <w:pPr>
              <w:adjustRightInd w:val="0"/>
              <w:snapToGrid w:val="0"/>
              <w:jc w:val="center"/>
              <w:rPr>
                <w:rFonts w:cs="宋体"/>
                <w:b/>
                <w:bCs/>
                <w:color w:val="auto"/>
                <w:szCs w:val="21"/>
              </w:rPr>
            </w:pPr>
            <w:r>
              <w:rPr>
                <w:rFonts w:hint="eastAsia" w:cs="宋体"/>
                <w:b/>
                <w:bCs/>
                <w:color w:val="auto"/>
                <w:szCs w:val="21"/>
              </w:rPr>
              <w:t>土壤及地下水</w:t>
            </w:r>
          </w:p>
          <w:p w14:paraId="56A93BA5">
            <w:pPr>
              <w:adjustRightInd w:val="0"/>
              <w:snapToGrid w:val="0"/>
              <w:jc w:val="center"/>
              <w:rPr>
                <w:rFonts w:cs="宋体"/>
                <w:b/>
                <w:bCs/>
                <w:color w:val="auto"/>
                <w:szCs w:val="21"/>
              </w:rPr>
            </w:pPr>
            <w:r>
              <w:rPr>
                <w:rFonts w:hint="eastAsia" w:cs="宋体"/>
                <w:b/>
                <w:bCs/>
                <w:color w:val="auto"/>
                <w:szCs w:val="21"/>
              </w:rPr>
              <w:t>污染防治措施</w:t>
            </w:r>
          </w:p>
        </w:tc>
        <w:tc>
          <w:tcPr>
            <w:tcW w:w="7504" w:type="dxa"/>
            <w:gridSpan w:val="4"/>
            <w:vAlign w:val="center"/>
          </w:tcPr>
          <w:p w14:paraId="7629FBCF">
            <w:pPr>
              <w:adjustRightInd w:val="0"/>
              <w:snapToGrid w:val="0"/>
              <w:jc w:val="center"/>
              <w:rPr>
                <w:rFonts w:cs="宋体"/>
                <w:color w:val="auto"/>
                <w:szCs w:val="21"/>
              </w:rPr>
            </w:pPr>
            <w:r>
              <w:rPr>
                <w:rFonts w:hint="eastAsia" w:cs="宋体"/>
                <w:color w:val="auto"/>
                <w:szCs w:val="21"/>
              </w:rPr>
              <w:t>项目在建设阶段，应充分做好污水处理站、污水管道、医疗废物暂存间的防渗处理，杜绝污水渗漏，确保管道、污水收集处理系统衔接良好，严格用水管理，防止污水“跑、冒、滴、漏”现象的发生；营运期落实好防渗、防污措施。</w:t>
            </w:r>
          </w:p>
        </w:tc>
      </w:tr>
      <w:tr w14:paraId="5DFE18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4" w:hRule="atLeast"/>
          <w:jc w:val="center"/>
        </w:trPr>
        <w:tc>
          <w:tcPr>
            <w:tcW w:w="1542" w:type="dxa"/>
            <w:vAlign w:val="center"/>
          </w:tcPr>
          <w:p w14:paraId="31FEF1C7">
            <w:pPr>
              <w:adjustRightInd w:val="0"/>
              <w:snapToGrid w:val="0"/>
              <w:jc w:val="center"/>
              <w:rPr>
                <w:rFonts w:cs="宋体"/>
                <w:b/>
                <w:bCs/>
                <w:color w:val="auto"/>
                <w:spacing w:val="-8"/>
                <w:szCs w:val="21"/>
              </w:rPr>
            </w:pPr>
            <w:r>
              <w:rPr>
                <w:rFonts w:hint="eastAsia" w:cs="宋体"/>
                <w:b/>
                <w:bCs/>
                <w:color w:val="auto"/>
                <w:spacing w:val="-8"/>
                <w:szCs w:val="21"/>
              </w:rPr>
              <w:t>环境风险</w:t>
            </w:r>
          </w:p>
          <w:p w14:paraId="23BC3B14">
            <w:pPr>
              <w:adjustRightInd w:val="0"/>
              <w:snapToGrid w:val="0"/>
              <w:jc w:val="center"/>
              <w:rPr>
                <w:rFonts w:cs="宋体"/>
                <w:b/>
                <w:bCs/>
                <w:color w:val="auto"/>
                <w:spacing w:val="-8"/>
                <w:szCs w:val="21"/>
              </w:rPr>
            </w:pPr>
            <w:r>
              <w:rPr>
                <w:rFonts w:hint="eastAsia" w:cs="宋体"/>
                <w:b/>
                <w:bCs/>
                <w:color w:val="auto"/>
                <w:spacing w:val="-8"/>
                <w:szCs w:val="21"/>
              </w:rPr>
              <w:t>防范措施</w:t>
            </w:r>
          </w:p>
        </w:tc>
        <w:tc>
          <w:tcPr>
            <w:tcW w:w="7504" w:type="dxa"/>
            <w:gridSpan w:val="4"/>
            <w:vAlign w:val="center"/>
          </w:tcPr>
          <w:p w14:paraId="18A157CC">
            <w:pPr>
              <w:adjustRightInd w:val="0"/>
              <w:snapToGrid w:val="0"/>
              <w:jc w:val="center"/>
              <w:rPr>
                <w:color w:val="auto"/>
              </w:rPr>
            </w:pPr>
            <w:r>
              <w:rPr>
                <w:rFonts w:hint="eastAsia"/>
                <w:color w:val="auto"/>
              </w:rPr>
              <w:t>/</w:t>
            </w:r>
          </w:p>
        </w:tc>
      </w:tr>
      <w:tr w14:paraId="43E679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4" w:hRule="atLeast"/>
          <w:jc w:val="center"/>
        </w:trPr>
        <w:tc>
          <w:tcPr>
            <w:tcW w:w="1542" w:type="dxa"/>
            <w:vAlign w:val="center"/>
          </w:tcPr>
          <w:p w14:paraId="601608D5">
            <w:pPr>
              <w:adjustRightInd w:val="0"/>
              <w:snapToGrid w:val="0"/>
              <w:jc w:val="center"/>
              <w:rPr>
                <w:rFonts w:cs="宋体"/>
                <w:b/>
                <w:bCs/>
                <w:color w:val="auto"/>
                <w:spacing w:val="-8"/>
                <w:szCs w:val="21"/>
              </w:rPr>
            </w:pPr>
            <w:r>
              <w:rPr>
                <w:rFonts w:hint="eastAsia" w:cs="宋体"/>
                <w:b/>
                <w:bCs/>
                <w:color w:val="auto"/>
                <w:spacing w:val="-8"/>
                <w:szCs w:val="21"/>
              </w:rPr>
              <w:t>其他环境</w:t>
            </w:r>
          </w:p>
          <w:p w14:paraId="544912E4">
            <w:pPr>
              <w:adjustRightInd w:val="0"/>
              <w:snapToGrid w:val="0"/>
              <w:jc w:val="center"/>
              <w:rPr>
                <w:rFonts w:cs="宋体"/>
                <w:b/>
                <w:bCs/>
                <w:color w:val="auto"/>
                <w:spacing w:val="-8"/>
                <w:szCs w:val="21"/>
              </w:rPr>
            </w:pPr>
            <w:r>
              <w:rPr>
                <w:rFonts w:hint="eastAsia" w:cs="宋体"/>
                <w:b/>
                <w:bCs/>
                <w:color w:val="auto"/>
                <w:spacing w:val="-8"/>
                <w:szCs w:val="21"/>
              </w:rPr>
              <w:t>管理要求</w:t>
            </w:r>
          </w:p>
        </w:tc>
        <w:tc>
          <w:tcPr>
            <w:tcW w:w="7504" w:type="dxa"/>
            <w:gridSpan w:val="4"/>
            <w:vAlign w:val="center"/>
          </w:tcPr>
          <w:p w14:paraId="744E6570">
            <w:pPr>
              <w:adjustRightInd w:val="0"/>
              <w:snapToGrid w:val="0"/>
              <w:jc w:val="center"/>
              <w:rPr>
                <w:rFonts w:cs="宋体"/>
                <w:color w:val="auto"/>
                <w:szCs w:val="21"/>
              </w:rPr>
            </w:pPr>
            <w:r>
              <w:rPr>
                <w:rFonts w:hint="eastAsia" w:cs="宋体"/>
                <w:color w:val="auto"/>
                <w:szCs w:val="21"/>
              </w:rPr>
              <w:t>/</w:t>
            </w:r>
          </w:p>
        </w:tc>
      </w:tr>
    </w:tbl>
    <w:p w14:paraId="5D6B953B">
      <w:pPr>
        <w:pStyle w:val="16"/>
        <w:jc w:val="center"/>
        <w:outlineLvl w:val="0"/>
        <w:rPr>
          <w:rFonts w:ascii="Times New Roman" w:hAnsi="Times New Roman"/>
          <w:snapToGrid w:val="0"/>
          <w:color w:val="auto"/>
          <w:sz w:val="30"/>
          <w:szCs w:val="30"/>
        </w:rPr>
      </w:pPr>
      <w:r>
        <w:rPr>
          <w:rFonts w:ascii="Times New Roman" w:hAnsi="Times New Roman"/>
          <w:snapToGrid w:val="0"/>
          <w:color w:val="auto"/>
        </w:rPr>
        <w:br w:type="page"/>
      </w:r>
      <w:bookmarkStart w:id="28" w:name="_Toc5788"/>
      <w:r>
        <w:rPr>
          <w:rFonts w:ascii="Times New Roman" w:hAnsi="Times New Roman"/>
          <w:snapToGrid w:val="0"/>
          <w:color w:val="auto"/>
          <w:sz w:val="30"/>
          <w:szCs w:val="30"/>
        </w:rPr>
        <w:t>六、结论</w:t>
      </w:r>
      <w:bookmarkEnd w:id="28"/>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5F225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2FF249A6">
            <w:pPr>
              <w:spacing w:line="360" w:lineRule="auto"/>
              <w:ind w:firstLine="480" w:firstLineChars="200"/>
              <w:rPr>
                <w:color w:val="auto"/>
                <w:sz w:val="24"/>
              </w:rPr>
            </w:pPr>
            <w:r>
              <w:rPr>
                <w:rFonts w:hAnsi="宋体"/>
                <w:color w:val="auto"/>
                <w:sz w:val="24"/>
              </w:rPr>
              <w:t>本项目符合国家、地方的相关产业政策、选址合理，同时与相关环境功能区划具有很好的符合性，各类污染物经本评价提出的污染防治措施治理后均可达标排放，污染防治措施可行，同时建设单位保证污染治理措施的正常运行，则本项目对周围环境不会产生明显的不利影响。</w:t>
            </w:r>
          </w:p>
          <w:p w14:paraId="707123D1">
            <w:pPr>
              <w:spacing w:line="360" w:lineRule="auto"/>
              <w:ind w:firstLine="480" w:firstLineChars="200"/>
              <w:rPr>
                <w:color w:val="auto"/>
                <w:sz w:val="24"/>
              </w:rPr>
            </w:pPr>
            <w:r>
              <w:rPr>
                <w:rFonts w:hAnsi="宋体"/>
                <w:color w:val="auto"/>
                <w:sz w:val="24"/>
              </w:rPr>
              <w:t>从环境保护角度分析，本项目的建设是可行的。本项目若新增设施，须向有审批权的环境保护主管部门另行申报。</w:t>
            </w:r>
          </w:p>
        </w:tc>
      </w:tr>
    </w:tbl>
    <w:p w14:paraId="3315BC73">
      <w:pPr>
        <w:rPr>
          <w:color w:val="auto"/>
        </w:rPr>
        <w:sectPr>
          <w:pgSz w:w="11906" w:h="16838"/>
          <w:pgMar w:top="1701" w:right="1531" w:bottom="1701" w:left="1531" w:header="851" w:footer="851" w:gutter="0"/>
          <w:cols w:space="720" w:num="1"/>
          <w:docGrid w:linePitch="312" w:charSpace="0"/>
        </w:sectPr>
      </w:pPr>
    </w:p>
    <w:p w14:paraId="55D26071">
      <w:pPr>
        <w:pStyle w:val="16"/>
        <w:adjustRightInd w:val="0"/>
        <w:snapToGrid w:val="0"/>
        <w:spacing w:before="0" w:beforeAutospacing="0" w:after="0" w:afterAutospacing="0"/>
        <w:outlineLvl w:val="0"/>
        <w:rPr>
          <w:rFonts w:ascii="Times New Roman" w:hAnsi="Times New Roman"/>
          <w:snapToGrid w:val="0"/>
          <w:color w:val="auto"/>
          <w:sz w:val="32"/>
          <w:szCs w:val="32"/>
        </w:rPr>
      </w:pPr>
      <w:bookmarkStart w:id="29" w:name="_Toc13022"/>
      <w:r>
        <w:rPr>
          <w:rFonts w:ascii="Times New Roman" w:hAnsi="Times New Roman"/>
          <w:snapToGrid w:val="0"/>
          <w:color w:val="auto"/>
          <w:sz w:val="32"/>
          <w:szCs w:val="32"/>
        </w:rPr>
        <w:t>附表</w:t>
      </w:r>
      <w:bookmarkEnd w:id="29"/>
    </w:p>
    <w:p w14:paraId="759DE408">
      <w:pPr>
        <w:jc w:val="center"/>
        <w:rPr>
          <w:b/>
          <w:bCs/>
          <w:color w:val="auto"/>
          <w:sz w:val="32"/>
          <w:szCs w:val="32"/>
        </w:rPr>
      </w:pPr>
      <w:r>
        <w:rPr>
          <w:b/>
          <w:bCs/>
          <w:color w:val="auto"/>
          <w:sz w:val="32"/>
          <w:szCs w:val="32"/>
        </w:rPr>
        <w:t>建设项目污染物排放量汇总表</w:t>
      </w:r>
      <w:r>
        <w:rPr>
          <w:rFonts w:hint="eastAsia"/>
          <w:b/>
          <w:bCs/>
          <w:color w:val="auto"/>
          <w:sz w:val="32"/>
          <w:szCs w:val="32"/>
        </w:rPr>
        <w:t xml:space="preserve"> </w:t>
      </w:r>
      <w:r>
        <w:rPr>
          <w:b/>
          <w:bCs/>
          <w:color w:val="auto"/>
          <w:sz w:val="32"/>
          <w:szCs w:val="32"/>
        </w:rPr>
        <w:t xml:space="preserve"> </w:t>
      </w:r>
      <w:r>
        <w:rPr>
          <w:rFonts w:hint="eastAsia"/>
          <w:b/>
          <w:bCs/>
          <w:color w:val="auto"/>
          <w:sz w:val="32"/>
          <w:szCs w:val="32"/>
        </w:rPr>
        <w:t>（单位：</w:t>
      </w:r>
      <w:r>
        <w:rPr>
          <w:b/>
          <w:bCs/>
          <w:color w:val="auto"/>
          <w:sz w:val="32"/>
          <w:szCs w:val="32"/>
        </w:rPr>
        <w:t>t/a</w:t>
      </w:r>
      <w:r>
        <w:rPr>
          <w:rFonts w:hint="eastAsia"/>
          <w:b/>
          <w:bCs/>
          <w:color w:val="auto"/>
          <w:sz w:val="32"/>
          <w:szCs w:val="32"/>
        </w:rPr>
        <w:t>）</w:t>
      </w:r>
    </w:p>
    <w:tbl>
      <w:tblPr>
        <w:tblStyle w:val="17"/>
        <w:tblW w:w="1410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736"/>
        <w:gridCol w:w="1596"/>
        <w:gridCol w:w="1381"/>
        <w:gridCol w:w="1701"/>
        <w:gridCol w:w="1559"/>
        <w:gridCol w:w="1761"/>
        <w:gridCol w:w="1650"/>
        <w:gridCol w:w="1448"/>
      </w:tblGrid>
      <w:tr w14:paraId="4326A9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9" w:type="dxa"/>
            <w:tcBorders>
              <w:tl2br w:val="single" w:color="auto" w:sz="4" w:space="0"/>
            </w:tcBorders>
            <w:tcMar>
              <w:left w:w="28" w:type="dxa"/>
              <w:right w:w="28" w:type="dxa"/>
            </w:tcMar>
            <w:vAlign w:val="center"/>
          </w:tcPr>
          <w:p w14:paraId="3750161A">
            <w:pPr>
              <w:pStyle w:val="28"/>
              <w:spacing w:beforeLines="0" w:afterLines="0" w:line="240" w:lineRule="auto"/>
              <w:rPr>
                <w:rFonts w:ascii="Times New Roman"/>
                <w:b/>
                <w:bCs/>
                <w:snapToGrid w:val="0"/>
                <w:color w:val="auto"/>
                <w:spacing w:val="-6"/>
                <w:kern w:val="21"/>
                <w:szCs w:val="21"/>
              </w:rPr>
            </w:pPr>
            <w:r>
              <w:rPr>
                <w:rFonts w:hint="eastAsia" w:ascii="Times New Roman"/>
                <w:b/>
                <w:bCs/>
                <w:snapToGrid w:val="0"/>
                <w:color w:val="auto"/>
                <w:spacing w:val="-6"/>
                <w:kern w:val="21"/>
                <w:szCs w:val="21"/>
              </w:rPr>
              <w:t xml:space="preserve">       </w:t>
            </w:r>
            <w:r>
              <w:rPr>
                <w:rFonts w:ascii="Times New Roman"/>
                <w:b/>
                <w:bCs/>
                <w:snapToGrid w:val="0"/>
                <w:color w:val="auto"/>
                <w:spacing w:val="-6"/>
                <w:kern w:val="21"/>
                <w:szCs w:val="21"/>
              </w:rPr>
              <w:t>项目</w:t>
            </w:r>
          </w:p>
          <w:p w14:paraId="609A5492">
            <w:pPr>
              <w:pStyle w:val="28"/>
              <w:spacing w:beforeLines="0" w:afterLines="0" w:line="240" w:lineRule="auto"/>
              <w:jc w:val="both"/>
              <w:rPr>
                <w:rFonts w:ascii="Times New Roman"/>
                <w:b/>
                <w:bCs/>
                <w:snapToGrid w:val="0"/>
                <w:color w:val="auto"/>
                <w:spacing w:val="-6"/>
                <w:kern w:val="21"/>
                <w:szCs w:val="21"/>
              </w:rPr>
            </w:pPr>
            <w:r>
              <w:rPr>
                <w:rFonts w:hint="eastAsia" w:ascii="Times New Roman"/>
                <w:b/>
                <w:bCs/>
                <w:snapToGrid w:val="0"/>
                <w:color w:val="auto"/>
                <w:spacing w:val="-6"/>
                <w:kern w:val="21"/>
                <w:szCs w:val="21"/>
              </w:rPr>
              <w:t>分类</w:t>
            </w:r>
          </w:p>
        </w:tc>
        <w:tc>
          <w:tcPr>
            <w:tcW w:w="1736" w:type="dxa"/>
            <w:tcMar>
              <w:left w:w="28" w:type="dxa"/>
              <w:right w:w="28" w:type="dxa"/>
            </w:tcMar>
            <w:vAlign w:val="center"/>
          </w:tcPr>
          <w:p w14:paraId="735C2F96">
            <w:pPr>
              <w:pStyle w:val="28"/>
              <w:spacing w:beforeLines="0" w:afterLines="0" w:line="240" w:lineRule="auto"/>
              <w:rPr>
                <w:rFonts w:ascii="Times New Roman"/>
                <w:b/>
                <w:bCs/>
                <w:snapToGrid w:val="0"/>
                <w:color w:val="auto"/>
                <w:spacing w:val="-6"/>
                <w:kern w:val="21"/>
                <w:szCs w:val="21"/>
              </w:rPr>
            </w:pPr>
            <w:r>
              <w:rPr>
                <w:rFonts w:ascii="Times New Roman"/>
                <w:b/>
                <w:bCs/>
                <w:snapToGrid w:val="0"/>
                <w:color w:val="auto"/>
                <w:spacing w:val="-6"/>
                <w:kern w:val="21"/>
                <w:szCs w:val="21"/>
              </w:rPr>
              <w:t>污染物名称</w:t>
            </w:r>
          </w:p>
        </w:tc>
        <w:tc>
          <w:tcPr>
            <w:tcW w:w="1596" w:type="dxa"/>
            <w:tcMar>
              <w:left w:w="28" w:type="dxa"/>
              <w:right w:w="28" w:type="dxa"/>
            </w:tcMar>
            <w:vAlign w:val="center"/>
          </w:tcPr>
          <w:p w14:paraId="65A80388">
            <w:pPr>
              <w:pStyle w:val="28"/>
              <w:spacing w:beforeLines="0" w:afterLines="0" w:line="240" w:lineRule="auto"/>
              <w:rPr>
                <w:rFonts w:ascii="Times New Roman"/>
                <w:b/>
                <w:bCs/>
                <w:snapToGrid w:val="0"/>
                <w:color w:val="auto"/>
                <w:spacing w:val="-6"/>
                <w:kern w:val="21"/>
                <w:szCs w:val="21"/>
              </w:rPr>
            </w:pPr>
            <w:r>
              <w:rPr>
                <w:rFonts w:ascii="Times New Roman"/>
                <w:b/>
                <w:bCs/>
                <w:snapToGrid w:val="0"/>
                <w:color w:val="auto"/>
                <w:spacing w:val="-6"/>
                <w:kern w:val="21"/>
                <w:szCs w:val="21"/>
              </w:rPr>
              <w:t>现有工程</w:t>
            </w:r>
          </w:p>
          <w:p w14:paraId="0CBD88B5">
            <w:pPr>
              <w:pStyle w:val="28"/>
              <w:spacing w:beforeLines="0" w:afterLines="0" w:line="240" w:lineRule="auto"/>
              <w:rPr>
                <w:rFonts w:ascii="Times New Roman"/>
                <w:b/>
                <w:bCs/>
                <w:snapToGrid w:val="0"/>
                <w:color w:val="auto"/>
                <w:spacing w:val="-6"/>
                <w:kern w:val="21"/>
                <w:szCs w:val="21"/>
              </w:rPr>
            </w:pPr>
            <w:r>
              <w:rPr>
                <w:rFonts w:ascii="Times New Roman"/>
                <w:b/>
                <w:bCs/>
                <w:snapToGrid w:val="0"/>
                <w:color w:val="auto"/>
                <w:spacing w:val="-6"/>
                <w:kern w:val="21"/>
                <w:szCs w:val="21"/>
              </w:rPr>
              <w:t>排放量（固体废物产生量）</w:t>
            </w:r>
            <w:r>
              <w:rPr>
                <w:rFonts w:ascii="Times New Roman"/>
                <w:b/>
                <w:bCs/>
                <w:snapToGrid w:val="0"/>
                <w:color w:val="auto"/>
                <w:spacing w:val="-6"/>
                <w:kern w:val="21"/>
                <w:szCs w:val="21"/>
              </w:rPr>
              <w:fldChar w:fldCharType="begin"/>
            </w:r>
            <w:r>
              <w:rPr>
                <w:rFonts w:ascii="Times New Roman"/>
                <w:b/>
                <w:bCs/>
                <w:snapToGrid w:val="0"/>
                <w:color w:val="auto"/>
                <w:spacing w:val="-6"/>
                <w:kern w:val="21"/>
                <w:szCs w:val="21"/>
              </w:rPr>
              <w:instrText xml:space="preserve"> = 1 \* GB3 \* MERGEFORMAT </w:instrText>
            </w:r>
            <w:r>
              <w:rPr>
                <w:rFonts w:ascii="Times New Roman"/>
                <w:b/>
                <w:bCs/>
                <w:snapToGrid w:val="0"/>
                <w:color w:val="auto"/>
                <w:spacing w:val="-6"/>
                <w:kern w:val="21"/>
                <w:szCs w:val="21"/>
              </w:rPr>
              <w:fldChar w:fldCharType="separate"/>
            </w:r>
            <w:r>
              <w:rPr>
                <w:rFonts w:hint="eastAsia" w:hAnsi="宋体" w:cs="宋体"/>
                <w:b/>
                <w:bCs/>
                <w:color w:val="auto"/>
                <w:kern w:val="2"/>
                <w:szCs w:val="21"/>
              </w:rPr>
              <w:t>①</w:t>
            </w:r>
            <w:r>
              <w:rPr>
                <w:rFonts w:ascii="Times New Roman"/>
                <w:b/>
                <w:bCs/>
                <w:snapToGrid w:val="0"/>
                <w:color w:val="auto"/>
                <w:spacing w:val="-6"/>
                <w:kern w:val="21"/>
                <w:szCs w:val="21"/>
              </w:rPr>
              <w:fldChar w:fldCharType="end"/>
            </w:r>
          </w:p>
        </w:tc>
        <w:tc>
          <w:tcPr>
            <w:tcW w:w="1381" w:type="dxa"/>
            <w:tcMar>
              <w:left w:w="28" w:type="dxa"/>
              <w:right w:w="28" w:type="dxa"/>
            </w:tcMar>
            <w:vAlign w:val="center"/>
          </w:tcPr>
          <w:p w14:paraId="6F85551B">
            <w:pPr>
              <w:pStyle w:val="28"/>
              <w:spacing w:beforeLines="0" w:afterLines="0" w:line="240" w:lineRule="auto"/>
              <w:rPr>
                <w:rFonts w:ascii="Times New Roman"/>
                <w:b/>
                <w:bCs/>
                <w:snapToGrid w:val="0"/>
                <w:color w:val="auto"/>
                <w:spacing w:val="-6"/>
                <w:kern w:val="21"/>
                <w:szCs w:val="21"/>
              </w:rPr>
            </w:pPr>
            <w:r>
              <w:rPr>
                <w:rFonts w:ascii="Times New Roman"/>
                <w:b/>
                <w:bCs/>
                <w:snapToGrid w:val="0"/>
                <w:color w:val="auto"/>
                <w:spacing w:val="-6"/>
                <w:kern w:val="21"/>
                <w:szCs w:val="21"/>
              </w:rPr>
              <w:t>现有工程</w:t>
            </w:r>
          </w:p>
          <w:p w14:paraId="2FE4A14F">
            <w:pPr>
              <w:pStyle w:val="28"/>
              <w:spacing w:beforeLines="0" w:afterLines="0" w:line="240" w:lineRule="auto"/>
              <w:rPr>
                <w:rFonts w:ascii="Times New Roman"/>
                <w:b/>
                <w:bCs/>
                <w:snapToGrid w:val="0"/>
                <w:color w:val="auto"/>
                <w:spacing w:val="-6"/>
                <w:kern w:val="21"/>
                <w:szCs w:val="21"/>
              </w:rPr>
            </w:pPr>
            <w:r>
              <w:rPr>
                <w:rFonts w:ascii="Times New Roman"/>
                <w:b/>
                <w:bCs/>
                <w:snapToGrid w:val="0"/>
                <w:color w:val="auto"/>
                <w:spacing w:val="-6"/>
                <w:kern w:val="21"/>
                <w:szCs w:val="21"/>
              </w:rPr>
              <w:t>许可排放量</w:t>
            </w:r>
          </w:p>
          <w:p w14:paraId="01872290">
            <w:pPr>
              <w:pStyle w:val="28"/>
              <w:spacing w:beforeLines="0" w:afterLines="0" w:line="240" w:lineRule="auto"/>
              <w:rPr>
                <w:rFonts w:ascii="Times New Roman"/>
                <w:b/>
                <w:bCs/>
                <w:snapToGrid w:val="0"/>
                <w:color w:val="auto"/>
                <w:spacing w:val="-6"/>
                <w:kern w:val="21"/>
                <w:szCs w:val="21"/>
              </w:rPr>
            </w:pPr>
            <w:r>
              <w:rPr>
                <w:rFonts w:ascii="Times New Roman"/>
                <w:b/>
                <w:bCs/>
                <w:snapToGrid w:val="0"/>
                <w:color w:val="auto"/>
                <w:spacing w:val="-6"/>
                <w:kern w:val="21"/>
                <w:szCs w:val="21"/>
              </w:rPr>
              <w:fldChar w:fldCharType="begin"/>
            </w:r>
            <w:r>
              <w:rPr>
                <w:rFonts w:ascii="Times New Roman"/>
                <w:b/>
                <w:bCs/>
                <w:snapToGrid w:val="0"/>
                <w:color w:val="auto"/>
                <w:spacing w:val="-6"/>
                <w:kern w:val="21"/>
                <w:szCs w:val="21"/>
              </w:rPr>
              <w:instrText xml:space="preserve"> = 2 \* GB3 \* MERGEFORMAT </w:instrText>
            </w:r>
            <w:r>
              <w:rPr>
                <w:rFonts w:ascii="Times New Roman"/>
                <w:b/>
                <w:bCs/>
                <w:snapToGrid w:val="0"/>
                <w:color w:val="auto"/>
                <w:spacing w:val="-6"/>
                <w:kern w:val="21"/>
                <w:szCs w:val="21"/>
              </w:rPr>
              <w:fldChar w:fldCharType="separate"/>
            </w:r>
            <w:r>
              <w:rPr>
                <w:rFonts w:hint="eastAsia" w:hAnsi="宋体" w:cs="宋体"/>
                <w:b/>
                <w:bCs/>
                <w:snapToGrid w:val="0"/>
                <w:color w:val="auto"/>
                <w:spacing w:val="-6"/>
                <w:kern w:val="21"/>
                <w:szCs w:val="21"/>
              </w:rPr>
              <w:t>②</w:t>
            </w:r>
            <w:r>
              <w:rPr>
                <w:rFonts w:ascii="Times New Roman"/>
                <w:b/>
                <w:bCs/>
                <w:snapToGrid w:val="0"/>
                <w:color w:val="auto"/>
                <w:spacing w:val="-6"/>
                <w:kern w:val="21"/>
                <w:szCs w:val="21"/>
              </w:rPr>
              <w:fldChar w:fldCharType="end"/>
            </w:r>
          </w:p>
        </w:tc>
        <w:tc>
          <w:tcPr>
            <w:tcW w:w="1701" w:type="dxa"/>
            <w:tcMar>
              <w:left w:w="28" w:type="dxa"/>
              <w:right w:w="28" w:type="dxa"/>
            </w:tcMar>
            <w:vAlign w:val="center"/>
          </w:tcPr>
          <w:p w14:paraId="115D4211">
            <w:pPr>
              <w:pStyle w:val="28"/>
              <w:spacing w:beforeLines="0" w:afterLines="0" w:line="240" w:lineRule="auto"/>
              <w:rPr>
                <w:rFonts w:ascii="Times New Roman"/>
                <w:b/>
                <w:bCs/>
                <w:snapToGrid w:val="0"/>
                <w:color w:val="auto"/>
                <w:spacing w:val="-6"/>
                <w:kern w:val="21"/>
                <w:szCs w:val="21"/>
              </w:rPr>
            </w:pPr>
            <w:r>
              <w:rPr>
                <w:rFonts w:ascii="Times New Roman"/>
                <w:b/>
                <w:bCs/>
                <w:snapToGrid w:val="0"/>
                <w:color w:val="auto"/>
                <w:spacing w:val="-6"/>
                <w:kern w:val="21"/>
                <w:szCs w:val="21"/>
              </w:rPr>
              <w:t>在建工程</w:t>
            </w:r>
          </w:p>
          <w:p w14:paraId="04495081">
            <w:pPr>
              <w:pStyle w:val="28"/>
              <w:spacing w:beforeLines="0" w:afterLines="0" w:line="240" w:lineRule="auto"/>
              <w:rPr>
                <w:rFonts w:ascii="Times New Roman"/>
                <w:b/>
                <w:bCs/>
                <w:snapToGrid w:val="0"/>
                <w:color w:val="auto"/>
                <w:spacing w:val="-6"/>
                <w:kern w:val="21"/>
                <w:szCs w:val="21"/>
              </w:rPr>
            </w:pPr>
            <w:r>
              <w:rPr>
                <w:rFonts w:ascii="Times New Roman"/>
                <w:b/>
                <w:bCs/>
                <w:snapToGrid w:val="0"/>
                <w:color w:val="auto"/>
                <w:spacing w:val="-6"/>
                <w:kern w:val="21"/>
                <w:szCs w:val="21"/>
              </w:rPr>
              <w:t>排放量（固体废物产生量）</w:t>
            </w:r>
            <w:r>
              <w:rPr>
                <w:rFonts w:ascii="Times New Roman"/>
                <w:b/>
                <w:bCs/>
                <w:snapToGrid w:val="0"/>
                <w:color w:val="auto"/>
                <w:spacing w:val="-6"/>
                <w:kern w:val="21"/>
                <w:szCs w:val="21"/>
              </w:rPr>
              <w:fldChar w:fldCharType="begin"/>
            </w:r>
            <w:r>
              <w:rPr>
                <w:rFonts w:ascii="Times New Roman"/>
                <w:b/>
                <w:bCs/>
                <w:snapToGrid w:val="0"/>
                <w:color w:val="auto"/>
                <w:spacing w:val="-6"/>
                <w:kern w:val="21"/>
                <w:szCs w:val="21"/>
              </w:rPr>
              <w:instrText xml:space="preserve"> = 3 \* GB3 \* MERGEFORMAT </w:instrText>
            </w:r>
            <w:r>
              <w:rPr>
                <w:rFonts w:ascii="Times New Roman"/>
                <w:b/>
                <w:bCs/>
                <w:snapToGrid w:val="0"/>
                <w:color w:val="auto"/>
                <w:spacing w:val="-6"/>
                <w:kern w:val="21"/>
                <w:szCs w:val="21"/>
              </w:rPr>
              <w:fldChar w:fldCharType="separate"/>
            </w:r>
            <w:r>
              <w:rPr>
                <w:rFonts w:hint="eastAsia" w:hAnsi="宋体" w:cs="宋体"/>
                <w:b/>
                <w:bCs/>
                <w:color w:val="auto"/>
                <w:kern w:val="2"/>
                <w:szCs w:val="21"/>
              </w:rPr>
              <w:t>③</w:t>
            </w:r>
            <w:r>
              <w:rPr>
                <w:rFonts w:ascii="Times New Roman"/>
                <w:b/>
                <w:bCs/>
                <w:snapToGrid w:val="0"/>
                <w:color w:val="auto"/>
                <w:spacing w:val="-6"/>
                <w:kern w:val="21"/>
                <w:szCs w:val="21"/>
              </w:rPr>
              <w:fldChar w:fldCharType="end"/>
            </w:r>
          </w:p>
        </w:tc>
        <w:tc>
          <w:tcPr>
            <w:tcW w:w="1559" w:type="dxa"/>
            <w:tcMar>
              <w:left w:w="28" w:type="dxa"/>
              <w:right w:w="28" w:type="dxa"/>
            </w:tcMar>
            <w:vAlign w:val="center"/>
          </w:tcPr>
          <w:p w14:paraId="361BAA61">
            <w:pPr>
              <w:pStyle w:val="28"/>
              <w:spacing w:beforeLines="0" w:afterLines="0" w:line="240" w:lineRule="auto"/>
              <w:rPr>
                <w:rFonts w:ascii="Times New Roman"/>
                <w:b/>
                <w:bCs/>
                <w:snapToGrid w:val="0"/>
                <w:color w:val="auto"/>
                <w:spacing w:val="-6"/>
                <w:kern w:val="21"/>
                <w:szCs w:val="21"/>
              </w:rPr>
            </w:pPr>
            <w:r>
              <w:rPr>
                <w:rFonts w:ascii="Times New Roman"/>
                <w:b/>
                <w:bCs/>
                <w:snapToGrid w:val="0"/>
                <w:color w:val="auto"/>
                <w:spacing w:val="-6"/>
                <w:kern w:val="21"/>
                <w:szCs w:val="21"/>
              </w:rPr>
              <w:t>本项目</w:t>
            </w:r>
          </w:p>
          <w:p w14:paraId="6C333FF8">
            <w:pPr>
              <w:pStyle w:val="28"/>
              <w:spacing w:beforeLines="0" w:afterLines="0" w:line="240" w:lineRule="auto"/>
              <w:rPr>
                <w:rFonts w:ascii="Times New Roman"/>
                <w:b/>
                <w:bCs/>
                <w:snapToGrid w:val="0"/>
                <w:color w:val="auto"/>
                <w:spacing w:val="-6"/>
                <w:kern w:val="21"/>
                <w:szCs w:val="21"/>
              </w:rPr>
            </w:pPr>
            <w:r>
              <w:rPr>
                <w:rFonts w:ascii="Times New Roman"/>
                <w:b/>
                <w:bCs/>
                <w:snapToGrid w:val="0"/>
                <w:color w:val="auto"/>
                <w:spacing w:val="-6"/>
                <w:kern w:val="21"/>
                <w:szCs w:val="21"/>
              </w:rPr>
              <w:t>排放量（固体废物产生量）</w:t>
            </w:r>
            <w:r>
              <w:rPr>
                <w:rFonts w:ascii="Times New Roman"/>
                <w:b/>
                <w:bCs/>
                <w:snapToGrid w:val="0"/>
                <w:color w:val="auto"/>
                <w:spacing w:val="-6"/>
                <w:kern w:val="21"/>
                <w:szCs w:val="21"/>
              </w:rPr>
              <w:fldChar w:fldCharType="begin"/>
            </w:r>
            <w:r>
              <w:rPr>
                <w:rFonts w:ascii="Times New Roman"/>
                <w:b/>
                <w:bCs/>
                <w:snapToGrid w:val="0"/>
                <w:color w:val="auto"/>
                <w:spacing w:val="-6"/>
                <w:kern w:val="21"/>
                <w:szCs w:val="21"/>
              </w:rPr>
              <w:instrText xml:space="preserve"> = 4 \* GB3 \* MERGEFORMAT </w:instrText>
            </w:r>
            <w:r>
              <w:rPr>
                <w:rFonts w:ascii="Times New Roman"/>
                <w:b/>
                <w:bCs/>
                <w:snapToGrid w:val="0"/>
                <w:color w:val="auto"/>
                <w:spacing w:val="-6"/>
                <w:kern w:val="21"/>
                <w:szCs w:val="21"/>
              </w:rPr>
              <w:fldChar w:fldCharType="separate"/>
            </w:r>
            <w:r>
              <w:rPr>
                <w:rFonts w:hint="eastAsia" w:hAnsi="宋体" w:cs="宋体"/>
                <w:b/>
                <w:bCs/>
                <w:color w:val="auto"/>
                <w:kern w:val="2"/>
                <w:szCs w:val="21"/>
              </w:rPr>
              <w:t>④</w:t>
            </w:r>
            <w:r>
              <w:rPr>
                <w:rFonts w:ascii="Times New Roman"/>
                <w:b/>
                <w:bCs/>
                <w:snapToGrid w:val="0"/>
                <w:color w:val="auto"/>
                <w:spacing w:val="-6"/>
                <w:kern w:val="21"/>
                <w:szCs w:val="21"/>
              </w:rPr>
              <w:fldChar w:fldCharType="end"/>
            </w:r>
          </w:p>
        </w:tc>
        <w:tc>
          <w:tcPr>
            <w:tcW w:w="1761" w:type="dxa"/>
            <w:tcMar>
              <w:left w:w="28" w:type="dxa"/>
              <w:right w:w="28" w:type="dxa"/>
            </w:tcMar>
            <w:vAlign w:val="center"/>
          </w:tcPr>
          <w:p w14:paraId="520E4B27">
            <w:pPr>
              <w:pStyle w:val="28"/>
              <w:spacing w:beforeLines="0" w:afterLines="0" w:line="240" w:lineRule="auto"/>
              <w:rPr>
                <w:rFonts w:ascii="Times New Roman"/>
                <w:b/>
                <w:bCs/>
                <w:snapToGrid w:val="0"/>
                <w:color w:val="auto"/>
                <w:spacing w:val="-16"/>
                <w:kern w:val="21"/>
                <w:szCs w:val="21"/>
              </w:rPr>
            </w:pPr>
            <w:r>
              <w:rPr>
                <w:rFonts w:ascii="Times New Roman"/>
                <w:b/>
                <w:bCs/>
                <w:snapToGrid w:val="0"/>
                <w:color w:val="auto"/>
                <w:spacing w:val="-16"/>
                <w:kern w:val="21"/>
                <w:szCs w:val="21"/>
              </w:rPr>
              <w:t>以新带老削减量</w:t>
            </w:r>
          </w:p>
          <w:p w14:paraId="779B018D">
            <w:pPr>
              <w:pStyle w:val="28"/>
              <w:spacing w:beforeLines="0" w:afterLines="0" w:line="240" w:lineRule="auto"/>
              <w:rPr>
                <w:rFonts w:ascii="Times New Roman"/>
                <w:b/>
                <w:bCs/>
                <w:snapToGrid w:val="0"/>
                <w:color w:val="auto"/>
                <w:spacing w:val="-16"/>
                <w:kern w:val="21"/>
                <w:szCs w:val="21"/>
              </w:rPr>
            </w:pPr>
            <w:r>
              <w:rPr>
                <w:rFonts w:ascii="Times New Roman"/>
                <w:b/>
                <w:bCs/>
                <w:snapToGrid w:val="0"/>
                <w:color w:val="auto"/>
                <w:spacing w:val="-16"/>
                <w:kern w:val="21"/>
                <w:szCs w:val="21"/>
              </w:rPr>
              <w:t>（新建项目不填）</w:t>
            </w:r>
            <w:r>
              <w:rPr>
                <w:rFonts w:ascii="Times New Roman"/>
                <w:b/>
                <w:bCs/>
                <w:snapToGrid w:val="0"/>
                <w:color w:val="auto"/>
                <w:spacing w:val="-16"/>
                <w:kern w:val="21"/>
                <w:szCs w:val="21"/>
              </w:rPr>
              <w:fldChar w:fldCharType="begin"/>
            </w:r>
            <w:r>
              <w:rPr>
                <w:rFonts w:ascii="Times New Roman"/>
                <w:b/>
                <w:bCs/>
                <w:snapToGrid w:val="0"/>
                <w:color w:val="auto"/>
                <w:spacing w:val="-16"/>
                <w:kern w:val="21"/>
                <w:szCs w:val="21"/>
              </w:rPr>
              <w:instrText xml:space="preserve"> = 5 \* GB3 \* MERGEFORMAT </w:instrText>
            </w:r>
            <w:r>
              <w:rPr>
                <w:rFonts w:ascii="Times New Roman"/>
                <w:b/>
                <w:bCs/>
                <w:snapToGrid w:val="0"/>
                <w:color w:val="auto"/>
                <w:spacing w:val="-16"/>
                <w:kern w:val="21"/>
                <w:szCs w:val="21"/>
              </w:rPr>
              <w:fldChar w:fldCharType="separate"/>
            </w:r>
            <w:r>
              <w:rPr>
                <w:rFonts w:hint="eastAsia" w:hAnsi="宋体" w:cs="宋体"/>
                <w:b/>
                <w:bCs/>
                <w:color w:val="auto"/>
                <w:kern w:val="2"/>
                <w:szCs w:val="21"/>
              </w:rPr>
              <w:t>⑤</w:t>
            </w:r>
            <w:r>
              <w:rPr>
                <w:rFonts w:ascii="Times New Roman"/>
                <w:b/>
                <w:bCs/>
                <w:snapToGrid w:val="0"/>
                <w:color w:val="auto"/>
                <w:spacing w:val="-16"/>
                <w:kern w:val="21"/>
                <w:szCs w:val="21"/>
              </w:rPr>
              <w:fldChar w:fldCharType="end"/>
            </w:r>
          </w:p>
        </w:tc>
        <w:tc>
          <w:tcPr>
            <w:tcW w:w="1650" w:type="dxa"/>
            <w:tcMar>
              <w:left w:w="28" w:type="dxa"/>
              <w:right w:w="28" w:type="dxa"/>
            </w:tcMar>
            <w:vAlign w:val="center"/>
          </w:tcPr>
          <w:p w14:paraId="7C3660E2">
            <w:pPr>
              <w:pStyle w:val="28"/>
              <w:spacing w:beforeLines="0" w:afterLines="0" w:line="240" w:lineRule="auto"/>
              <w:rPr>
                <w:rFonts w:ascii="Times New Roman"/>
                <w:b/>
                <w:bCs/>
                <w:snapToGrid w:val="0"/>
                <w:color w:val="auto"/>
                <w:spacing w:val="-16"/>
                <w:kern w:val="21"/>
                <w:szCs w:val="21"/>
              </w:rPr>
            </w:pPr>
            <w:r>
              <w:rPr>
                <w:rFonts w:ascii="Times New Roman"/>
                <w:b/>
                <w:bCs/>
                <w:snapToGrid w:val="0"/>
                <w:color w:val="auto"/>
                <w:spacing w:val="-16"/>
                <w:kern w:val="21"/>
                <w:szCs w:val="21"/>
              </w:rPr>
              <w:t>本项目建成后</w:t>
            </w:r>
          </w:p>
          <w:p w14:paraId="11247291">
            <w:pPr>
              <w:pStyle w:val="28"/>
              <w:spacing w:beforeLines="0" w:afterLines="0" w:line="240" w:lineRule="auto"/>
              <w:rPr>
                <w:rFonts w:ascii="Times New Roman"/>
                <w:b/>
                <w:bCs/>
                <w:snapToGrid w:val="0"/>
                <w:color w:val="auto"/>
                <w:spacing w:val="-16"/>
                <w:kern w:val="21"/>
                <w:szCs w:val="21"/>
              </w:rPr>
            </w:pPr>
            <w:r>
              <w:rPr>
                <w:rFonts w:ascii="Times New Roman"/>
                <w:b/>
                <w:bCs/>
                <w:snapToGrid w:val="0"/>
                <w:color w:val="auto"/>
                <w:spacing w:val="-16"/>
                <w:kern w:val="21"/>
                <w:szCs w:val="21"/>
              </w:rPr>
              <w:t>全厂排放量（固体废物产生量）</w:t>
            </w:r>
            <w:r>
              <w:rPr>
                <w:rFonts w:ascii="Times New Roman"/>
                <w:b/>
                <w:bCs/>
                <w:snapToGrid w:val="0"/>
                <w:color w:val="auto"/>
                <w:spacing w:val="-16"/>
                <w:kern w:val="21"/>
                <w:szCs w:val="21"/>
              </w:rPr>
              <w:fldChar w:fldCharType="begin"/>
            </w:r>
            <w:r>
              <w:rPr>
                <w:rFonts w:ascii="Times New Roman"/>
                <w:b/>
                <w:bCs/>
                <w:snapToGrid w:val="0"/>
                <w:color w:val="auto"/>
                <w:spacing w:val="-16"/>
                <w:kern w:val="21"/>
                <w:szCs w:val="21"/>
              </w:rPr>
              <w:instrText xml:space="preserve"> = 6 \* GB3 \* MERGEFORMAT </w:instrText>
            </w:r>
            <w:r>
              <w:rPr>
                <w:rFonts w:ascii="Times New Roman"/>
                <w:b/>
                <w:bCs/>
                <w:snapToGrid w:val="0"/>
                <w:color w:val="auto"/>
                <w:spacing w:val="-16"/>
                <w:kern w:val="21"/>
                <w:szCs w:val="21"/>
              </w:rPr>
              <w:fldChar w:fldCharType="separate"/>
            </w:r>
            <w:r>
              <w:rPr>
                <w:rFonts w:hint="eastAsia" w:hAnsi="宋体" w:cs="宋体"/>
                <w:b/>
                <w:bCs/>
                <w:color w:val="auto"/>
                <w:kern w:val="2"/>
                <w:szCs w:val="21"/>
              </w:rPr>
              <w:t>⑥</w:t>
            </w:r>
            <w:r>
              <w:rPr>
                <w:rFonts w:ascii="Times New Roman"/>
                <w:b/>
                <w:bCs/>
                <w:snapToGrid w:val="0"/>
                <w:color w:val="auto"/>
                <w:spacing w:val="-16"/>
                <w:kern w:val="21"/>
                <w:szCs w:val="21"/>
              </w:rPr>
              <w:fldChar w:fldCharType="end"/>
            </w:r>
          </w:p>
        </w:tc>
        <w:tc>
          <w:tcPr>
            <w:tcW w:w="1448" w:type="dxa"/>
            <w:tcMar>
              <w:left w:w="28" w:type="dxa"/>
              <w:right w:w="28" w:type="dxa"/>
            </w:tcMar>
            <w:vAlign w:val="center"/>
          </w:tcPr>
          <w:p w14:paraId="161E6C6E">
            <w:pPr>
              <w:pStyle w:val="28"/>
              <w:spacing w:beforeLines="0" w:afterLines="0" w:line="240" w:lineRule="auto"/>
              <w:rPr>
                <w:rFonts w:ascii="Times New Roman"/>
                <w:b/>
                <w:bCs/>
                <w:snapToGrid w:val="0"/>
                <w:color w:val="auto"/>
                <w:spacing w:val="-6"/>
                <w:kern w:val="21"/>
                <w:szCs w:val="21"/>
              </w:rPr>
            </w:pPr>
            <w:r>
              <w:rPr>
                <w:rFonts w:ascii="Times New Roman"/>
                <w:b/>
                <w:bCs/>
                <w:snapToGrid w:val="0"/>
                <w:color w:val="auto"/>
                <w:spacing w:val="-6"/>
                <w:kern w:val="21"/>
                <w:szCs w:val="21"/>
              </w:rPr>
              <w:t>变化量</w:t>
            </w:r>
          </w:p>
          <w:p w14:paraId="7D97A440">
            <w:pPr>
              <w:pStyle w:val="28"/>
              <w:spacing w:beforeLines="0" w:afterLines="0" w:line="240" w:lineRule="auto"/>
              <w:rPr>
                <w:rFonts w:ascii="Times New Roman"/>
                <w:b/>
                <w:bCs/>
                <w:snapToGrid w:val="0"/>
                <w:color w:val="auto"/>
                <w:spacing w:val="-6"/>
                <w:kern w:val="21"/>
                <w:szCs w:val="21"/>
              </w:rPr>
            </w:pPr>
            <w:r>
              <w:rPr>
                <w:rFonts w:ascii="Times New Roman"/>
                <w:b/>
                <w:bCs/>
                <w:snapToGrid w:val="0"/>
                <w:color w:val="auto"/>
                <w:spacing w:val="-6"/>
                <w:kern w:val="21"/>
                <w:szCs w:val="21"/>
              </w:rPr>
              <w:fldChar w:fldCharType="begin"/>
            </w:r>
            <w:r>
              <w:rPr>
                <w:rFonts w:ascii="Times New Roman"/>
                <w:b/>
                <w:bCs/>
                <w:snapToGrid w:val="0"/>
                <w:color w:val="auto"/>
                <w:spacing w:val="-6"/>
                <w:kern w:val="21"/>
                <w:szCs w:val="21"/>
              </w:rPr>
              <w:instrText xml:space="preserve"> = 7 \* GB3 \* MERGEFORMAT </w:instrText>
            </w:r>
            <w:r>
              <w:rPr>
                <w:rFonts w:ascii="Times New Roman"/>
                <w:b/>
                <w:bCs/>
                <w:snapToGrid w:val="0"/>
                <w:color w:val="auto"/>
                <w:spacing w:val="-6"/>
                <w:kern w:val="21"/>
                <w:szCs w:val="21"/>
              </w:rPr>
              <w:fldChar w:fldCharType="separate"/>
            </w:r>
            <w:r>
              <w:rPr>
                <w:rFonts w:hint="eastAsia" w:hAnsi="宋体" w:cs="宋体"/>
                <w:b/>
                <w:bCs/>
                <w:color w:val="auto"/>
                <w:kern w:val="2"/>
                <w:szCs w:val="21"/>
              </w:rPr>
              <w:t>⑦</w:t>
            </w:r>
            <w:r>
              <w:rPr>
                <w:rFonts w:ascii="Times New Roman"/>
                <w:b/>
                <w:bCs/>
                <w:snapToGrid w:val="0"/>
                <w:color w:val="auto"/>
                <w:spacing w:val="-6"/>
                <w:kern w:val="21"/>
                <w:szCs w:val="21"/>
              </w:rPr>
              <w:fldChar w:fldCharType="end"/>
            </w:r>
          </w:p>
        </w:tc>
      </w:tr>
      <w:tr w14:paraId="599D73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69" w:type="dxa"/>
            <w:vMerge w:val="restart"/>
            <w:vAlign w:val="center"/>
          </w:tcPr>
          <w:p w14:paraId="4B33A538">
            <w:pPr>
              <w:pStyle w:val="28"/>
              <w:spacing w:beforeLines="0" w:afterLines="0" w:line="240" w:lineRule="auto"/>
              <w:rPr>
                <w:rFonts w:ascii="Times New Roman"/>
                <w:snapToGrid w:val="0"/>
                <w:color w:val="auto"/>
                <w:kern w:val="21"/>
                <w:szCs w:val="21"/>
              </w:rPr>
            </w:pPr>
            <w:r>
              <w:rPr>
                <w:rFonts w:ascii="Times New Roman"/>
                <w:snapToGrid w:val="0"/>
                <w:color w:val="auto"/>
                <w:kern w:val="21"/>
                <w:szCs w:val="21"/>
              </w:rPr>
              <w:t>废气</w:t>
            </w:r>
          </w:p>
        </w:tc>
        <w:tc>
          <w:tcPr>
            <w:tcW w:w="1736" w:type="dxa"/>
            <w:vAlign w:val="center"/>
          </w:tcPr>
          <w:p w14:paraId="51AC9CD6">
            <w:pPr>
              <w:widowControl/>
              <w:adjustRightInd w:val="0"/>
              <w:snapToGrid w:val="0"/>
              <w:jc w:val="center"/>
              <w:rPr>
                <w:color w:val="auto"/>
                <w:kern w:val="0"/>
                <w:szCs w:val="21"/>
              </w:rPr>
            </w:pPr>
            <w:r>
              <w:rPr>
                <w:color w:val="auto"/>
                <w:kern w:val="0"/>
                <w:szCs w:val="21"/>
              </w:rPr>
              <w:t>油烟</w:t>
            </w:r>
          </w:p>
        </w:tc>
        <w:tc>
          <w:tcPr>
            <w:tcW w:w="1596" w:type="dxa"/>
            <w:vAlign w:val="center"/>
          </w:tcPr>
          <w:p w14:paraId="49F8955D">
            <w:pPr>
              <w:adjustRightInd w:val="0"/>
              <w:snapToGrid w:val="0"/>
              <w:jc w:val="center"/>
              <w:rPr>
                <w:color w:val="auto"/>
                <w:szCs w:val="21"/>
              </w:rPr>
            </w:pPr>
            <w:r>
              <w:rPr>
                <w:rFonts w:hint="eastAsia"/>
                <w:color w:val="auto"/>
                <w:szCs w:val="21"/>
              </w:rPr>
              <w:t>/</w:t>
            </w:r>
          </w:p>
        </w:tc>
        <w:tc>
          <w:tcPr>
            <w:tcW w:w="1381" w:type="dxa"/>
            <w:shd w:val="clear" w:color="auto" w:fill="auto"/>
            <w:vAlign w:val="center"/>
          </w:tcPr>
          <w:p w14:paraId="4CA88543">
            <w:pPr>
              <w:adjustRightInd w:val="0"/>
              <w:snapToGrid w:val="0"/>
              <w:jc w:val="center"/>
              <w:rPr>
                <w:color w:val="auto"/>
                <w:szCs w:val="21"/>
              </w:rPr>
            </w:pPr>
            <w:r>
              <w:rPr>
                <w:rFonts w:hint="eastAsia"/>
                <w:color w:val="auto"/>
                <w:szCs w:val="21"/>
              </w:rPr>
              <w:t>/</w:t>
            </w:r>
          </w:p>
        </w:tc>
        <w:tc>
          <w:tcPr>
            <w:tcW w:w="1701" w:type="dxa"/>
            <w:shd w:val="clear" w:color="auto" w:fill="auto"/>
            <w:vAlign w:val="center"/>
          </w:tcPr>
          <w:p w14:paraId="2208114C">
            <w:pPr>
              <w:adjustRightInd w:val="0"/>
              <w:snapToGrid w:val="0"/>
              <w:jc w:val="center"/>
              <w:rPr>
                <w:color w:val="auto"/>
                <w:szCs w:val="21"/>
              </w:rPr>
            </w:pPr>
            <w:r>
              <w:rPr>
                <w:rFonts w:hint="eastAsia"/>
                <w:color w:val="auto"/>
                <w:szCs w:val="21"/>
              </w:rPr>
              <w:t>/</w:t>
            </w:r>
          </w:p>
        </w:tc>
        <w:tc>
          <w:tcPr>
            <w:tcW w:w="1559" w:type="dxa"/>
            <w:vAlign w:val="center"/>
          </w:tcPr>
          <w:p w14:paraId="131CBD45">
            <w:pPr>
              <w:adjustRightInd w:val="0"/>
              <w:snapToGrid w:val="0"/>
              <w:jc w:val="center"/>
              <w:rPr>
                <w:rFonts w:hint="eastAsia" w:eastAsia="宋体"/>
                <w:color w:val="auto"/>
                <w:szCs w:val="21"/>
                <w:lang w:eastAsia="zh-CN"/>
              </w:rPr>
            </w:pPr>
            <w:r>
              <w:rPr>
                <w:rFonts w:hint="eastAsia"/>
                <w:color w:val="auto"/>
                <w:kern w:val="0"/>
                <w:szCs w:val="21"/>
                <w:lang w:eastAsia="zh-CN" w:bidi="ar"/>
              </w:rPr>
              <w:t>0.8640</w:t>
            </w:r>
          </w:p>
        </w:tc>
        <w:tc>
          <w:tcPr>
            <w:tcW w:w="1761" w:type="dxa"/>
            <w:shd w:val="clear" w:color="auto" w:fill="auto"/>
            <w:vAlign w:val="center"/>
          </w:tcPr>
          <w:p w14:paraId="0FA28343">
            <w:pPr>
              <w:adjustRightInd w:val="0"/>
              <w:snapToGrid w:val="0"/>
              <w:jc w:val="center"/>
              <w:rPr>
                <w:color w:val="auto"/>
                <w:szCs w:val="21"/>
              </w:rPr>
            </w:pPr>
            <w:r>
              <w:rPr>
                <w:rFonts w:hint="eastAsia"/>
                <w:color w:val="auto"/>
                <w:szCs w:val="21"/>
              </w:rPr>
              <w:t>/</w:t>
            </w:r>
          </w:p>
        </w:tc>
        <w:tc>
          <w:tcPr>
            <w:tcW w:w="1650" w:type="dxa"/>
            <w:shd w:val="clear" w:color="auto" w:fill="auto"/>
            <w:vAlign w:val="center"/>
          </w:tcPr>
          <w:p w14:paraId="04D50ED1">
            <w:pPr>
              <w:adjustRightInd w:val="0"/>
              <w:snapToGrid w:val="0"/>
              <w:jc w:val="center"/>
              <w:rPr>
                <w:rFonts w:hint="eastAsia" w:eastAsia="宋体"/>
                <w:color w:val="auto"/>
                <w:szCs w:val="21"/>
                <w:lang w:eastAsia="zh-CN"/>
              </w:rPr>
            </w:pPr>
            <w:r>
              <w:rPr>
                <w:rFonts w:hint="eastAsia"/>
                <w:color w:val="auto"/>
                <w:kern w:val="0"/>
                <w:szCs w:val="21"/>
                <w:lang w:eastAsia="zh-CN" w:bidi="ar"/>
              </w:rPr>
              <w:t>0.8640</w:t>
            </w:r>
          </w:p>
        </w:tc>
        <w:tc>
          <w:tcPr>
            <w:tcW w:w="1448" w:type="dxa"/>
            <w:shd w:val="clear" w:color="auto" w:fill="auto"/>
            <w:vAlign w:val="center"/>
          </w:tcPr>
          <w:p w14:paraId="638FD590">
            <w:pPr>
              <w:adjustRightInd w:val="0"/>
              <w:snapToGrid w:val="0"/>
              <w:jc w:val="center"/>
              <w:rPr>
                <w:rFonts w:hint="eastAsia" w:eastAsia="宋体"/>
                <w:color w:val="auto"/>
                <w:szCs w:val="21"/>
                <w:lang w:eastAsia="zh-CN"/>
              </w:rPr>
            </w:pPr>
            <w:r>
              <w:rPr>
                <w:rFonts w:hint="eastAsia"/>
                <w:color w:val="auto"/>
                <w:kern w:val="0"/>
                <w:szCs w:val="21"/>
                <w:lang w:bidi="ar"/>
              </w:rPr>
              <w:t>+</w:t>
            </w:r>
            <w:r>
              <w:rPr>
                <w:rFonts w:hint="eastAsia"/>
                <w:color w:val="auto"/>
                <w:kern w:val="0"/>
                <w:szCs w:val="21"/>
                <w:lang w:eastAsia="zh-CN" w:bidi="ar"/>
              </w:rPr>
              <w:t>0.8640</w:t>
            </w:r>
          </w:p>
        </w:tc>
      </w:tr>
      <w:tr w14:paraId="54B55F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69" w:type="dxa"/>
            <w:vMerge w:val="continue"/>
            <w:vAlign w:val="center"/>
          </w:tcPr>
          <w:p w14:paraId="29F02CFB">
            <w:pPr>
              <w:pStyle w:val="28"/>
              <w:spacing w:beforeLines="0" w:afterLines="0" w:line="240" w:lineRule="auto"/>
              <w:rPr>
                <w:rFonts w:ascii="Times New Roman"/>
                <w:snapToGrid w:val="0"/>
                <w:color w:val="auto"/>
                <w:kern w:val="21"/>
                <w:szCs w:val="21"/>
              </w:rPr>
            </w:pPr>
          </w:p>
        </w:tc>
        <w:tc>
          <w:tcPr>
            <w:tcW w:w="1736" w:type="dxa"/>
            <w:vAlign w:val="center"/>
          </w:tcPr>
          <w:p w14:paraId="28E6ABD4">
            <w:pPr>
              <w:widowControl/>
              <w:adjustRightInd w:val="0"/>
              <w:snapToGrid w:val="0"/>
              <w:jc w:val="center"/>
              <w:textAlignment w:val="center"/>
              <w:rPr>
                <w:color w:val="auto"/>
                <w:kern w:val="0"/>
                <w:szCs w:val="21"/>
                <w:lang w:bidi="ar"/>
              </w:rPr>
            </w:pPr>
            <w:r>
              <w:rPr>
                <w:color w:val="auto"/>
                <w:kern w:val="0"/>
                <w:szCs w:val="21"/>
                <w:lang w:bidi="ar"/>
              </w:rPr>
              <w:t>氨</w:t>
            </w:r>
          </w:p>
        </w:tc>
        <w:tc>
          <w:tcPr>
            <w:tcW w:w="1596" w:type="dxa"/>
            <w:vAlign w:val="center"/>
          </w:tcPr>
          <w:p w14:paraId="0131F697">
            <w:pPr>
              <w:adjustRightInd w:val="0"/>
              <w:snapToGrid w:val="0"/>
              <w:jc w:val="center"/>
              <w:rPr>
                <w:color w:val="auto"/>
                <w:szCs w:val="21"/>
              </w:rPr>
            </w:pPr>
            <w:r>
              <w:rPr>
                <w:rFonts w:hint="eastAsia"/>
                <w:color w:val="auto"/>
                <w:szCs w:val="21"/>
              </w:rPr>
              <w:t>/</w:t>
            </w:r>
          </w:p>
        </w:tc>
        <w:tc>
          <w:tcPr>
            <w:tcW w:w="1381" w:type="dxa"/>
            <w:shd w:val="clear" w:color="auto" w:fill="auto"/>
            <w:vAlign w:val="center"/>
          </w:tcPr>
          <w:p w14:paraId="69B191C3">
            <w:pPr>
              <w:adjustRightInd w:val="0"/>
              <w:snapToGrid w:val="0"/>
              <w:jc w:val="center"/>
              <w:rPr>
                <w:color w:val="auto"/>
                <w:szCs w:val="21"/>
              </w:rPr>
            </w:pPr>
            <w:r>
              <w:rPr>
                <w:rFonts w:hint="eastAsia"/>
                <w:color w:val="auto"/>
                <w:szCs w:val="21"/>
              </w:rPr>
              <w:t>/</w:t>
            </w:r>
          </w:p>
        </w:tc>
        <w:tc>
          <w:tcPr>
            <w:tcW w:w="1701" w:type="dxa"/>
            <w:shd w:val="clear" w:color="auto" w:fill="auto"/>
            <w:vAlign w:val="center"/>
          </w:tcPr>
          <w:p w14:paraId="639BB800">
            <w:pPr>
              <w:adjustRightInd w:val="0"/>
              <w:snapToGrid w:val="0"/>
              <w:jc w:val="center"/>
              <w:rPr>
                <w:color w:val="auto"/>
                <w:szCs w:val="21"/>
              </w:rPr>
            </w:pPr>
            <w:r>
              <w:rPr>
                <w:rFonts w:hint="eastAsia"/>
                <w:color w:val="auto"/>
                <w:szCs w:val="21"/>
              </w:rPr>
              <w:t>/</w:t>
            </w:r>
          </w:p>
        </w:tc>
        <w:tc>
          <w:tcPr>
            <w:tcW w:w="1559" w:type="dxa"/>
            <w:vAlign w:val="center"/>
          </w:tcPr>
          <w:p w14:paraId="6A4B97F2">
            <w:pPr>
              <w:widowControl/>
              <w:adjustRightInd w:val="0"/>
              <w:snapToGrid w:val="0"/>
              <w:jc w:val="center"/>
              <w:textAlignment w:val="center"/>
              <w:rPr>
                <w:color w:val="auto"/>
                <w:kern w:val="0"/>
                <w:szCs w:val="21"/>
                <w:lang w:bidi="ar"/>
              </w:rPr>
            </w:pPr>
            <w:r>
              <w:rPr>
                <w:rFonts w:hint="eastAsia" w:cs="宋体"/>
                <w:bCs/>
                <w:color w:val="auto"/>
                <w:sz w:val="18"/>
                <w:szCs w:val="18"/>
                <w:lang w:val="en-US" w:eastAsia="zh-CN"/>
              </w:rPr>
              <w:t>7.267</w:t>
            </w:r>
            <w:r>
              <w:rPr>
                <w:rFonts w:hint="eastAsia" w:cs="宋体"/>
                <w:bCs/>
                <w:color w:val="auto"/>
                <w:sz w:val="18"/>
                <w:szCs w:val="18"/>
              </w:rPr>
              <w:t>×</w:t>
            </w:r>
            <w:r>
              <w:rPr>
                <w:rFonts w:cs="宋体"/>
                <w:bCs/>
                <w:color w:val="auto"/>
                <w:sz w:val="18"/>
                <w:szCs w:val="18"/>
              </w:rPr>
              <w:t>10</w:t>
            </w:r>
            <w:r>
              <w:rPr>
                <w:rFonts w:cs="宋体"/>
                <w:bCs/>
                <w:color w:val="auto"/>
                <w:sz w:val="18"/>
                <w:szCs w:val="18"/>
                <w:vertAlign w:val="superscript"/>
              </w:rPr>
              <w:t>-</w:t>
            </w:r>
            <w:r>
              <w:rPr>
                <w:rFonts w:hint="eastAsia" w:cs="宋体"/>
                <w:bCs/>
                <w:color w:val="auto"/>
                <w:sz w:val="18"/>
                <w:szCs w:val="18"/>
                <w:vertAlign w:val="superscript"/>
              </w:rPr>
              <w:t>4</w:t>
            </w:r>
          </w:p>
        </w:tc>
        <w:tc>
          <w:tcPr>
            <w:tcW w:w="1761" w:type="dxa"/>
            <w:shd w:val="clear" w:color="auto" w:fill="auto"/>
            <w:vAlign w:val="center"/>
          </w:tcPr>
          <w:p w14:paraId="47D272D4">
            <w:pPr>
              <w:adjustRightInd w:val="0"/>
              <w:snapToGrid w:val="0"/>
              <w:jc w:val="center"/>
              <w:rPr>
                <w:color w:val="auto"/>
                <w:szCs w:val="21"/>
              </w:rPr>
            </w:pPr>
            <w:r>
              <w:rPr>
                <w:rFonts w:hint="eastAsia"/>
                <w:color w:val="auto"/>
                <w:szCs w:val="21"/>
              </w:rPr>
              <w:t>/</w:t>
            </w:r>
          </w:p>
        </w:tc>
        <w:tc>
          <w:tcPr>
            <w:tcW w:w="1650" w:type="dxa"/>
            <w:shd w:val="clear" w:color="auto" w:fill="auto"/>
            <w:vAlign w:val="center"/>
          </w:tcPr>
          <w:p w14:paraId="4FFC1580">
            <w:pPr>
              <w:widowControl/>
              <w:adjustRightInd w:val="0"/>
              <w:snapToGrid w:val="0"/>
              <w:jc w:val="center"/>
              <w:textAlignment w:val="center"/>
              <w:rPr>
                <w:color w:val="auto"/>
                <w:kern w:val="0"/>
                <w:szCs w:val="21"/>
                <w:lang w:bidi="ar"/>
              </w:rPr>
            </w:pPr>
            <w:r>
              <w:rPr>
                <w:rFonts w:hint="eastAsia" w:cs="宋体"/>
                <w:bCs/>
                <w:color w:val="auto"/>
                <w:sz w:val="18"/>
                <w:szCs w:val="18"/>
                <w:lang w:val="en-US" w:eastAsia="zh-CN"/>
              </w:rPr>
              <w:t>7.267</w:t>
            </w:r>
            <w:r>
              <w:rPr>
                <w:rFonts w:hint="eastAsia" w:cs="宋体"/>
                <w:bCs/>
                <w:color w:val="auto"/>
                <w:sz w:val="18"/>
                <w:szCs w:val="18"/>
              </w:rPr>
              <w:t>×</w:t>
            </w:r>
            <w:r>
              <w:rPr>
                <w:rFonts w:cs="宋体"/>
                <w:bCs/>
                <w:color w:val="auto"/>
                <w:sz w:val="18"/>
                <w:szCs w:val="18"/>
              </w:rPr>
              <w:t>10</w:t>
            </w:r>
            <w:r>
              <w:rPr>
                <w:rFonts w:cs="宋体"/>
                <w:bCs/>
                <w:color w:val="auto"/>
                <w:sz w:val="18"/>
                <w:szCs w:val="18"/>
                <w:vertAlign w:val="superscript"/>
              </w:rPr>
              <w:t>-</w:t>
            </w:r>
            <w:r>
              <w:rPr>
                <w:rFonts w:hint="eastAsia" w:cs="宋体"/>
                <w:bCs/>
                <w:color w:val="auto"/>
                <w:sz w:val="18"/>
                <w:szCs w:val="18"/>
                <w:vertAlign w:val="superscript"/>
              </w:rPr>
              <w:t>4</w:t>
            </w:r>
          </w:p>
        </w:tc>
        <w:tc>
          <w:tcPr>
            <w:tcW w:w="1448" w:type="dxa"/>
            <w:shd w:val="clear" w:color="auto" w:fill="auto"/>
            <w:vAlign w:val="center"/>
          </w:tcPr>
          <w:p w14:paraId="66A8288A">
            <w:pPr>
              <w:widowControl/>
              <w:adjustRightInd w:val="0"/>
              <w:snapToGrid w:val="0"/>
              <w:jc w:val="center"/>
              <w:textAlignment w:val="center"/>
              <w:rPr>
                <w:color w:val="auto"/>
                <w:kern w:val="0"/>
                <w:szCs w:val="21"/>
                <w:lang w:bidi="ar"/>
              </w:rPr>
            </w:pPr>
            <w:r>
              <w:rPr>
                <w:rFonts w:hint="eastAsia"/>
                <w:color w:val="auto"/>
                <w:kern w:val="0"/>
                <w:szCs w:val="21"/>
                <w:lang w:bidi="ar"/>
              </w:rPr>
              <w:t>+</w:t>
            </w:r>
            <w:r>
              <w:rPr>
                <w:rFonts w:hint="eastAsia" w:cs="宋体"/>
                <w:bCs/>
                <w:color w:val="auto"/>
                <w:sz w:val="18"/>
                <w:szCs w:val="18"/>
                <w:lang w:val="en-US" w:eastAsia="zh-CN"/>
              </w:rPr>
              <w:t>7.267</w:t>
            </w:r>
            <w:r>
              <w:rPr>
                <w:rFonts w:hint="eastAsia" w:cs="宋体"/>
                <w:bCs/>
                <w:color w:val="auto"/>
                <w:sz w:val="18"/>
                <w:szCs w:val="18"/>
              </w:rPr>
              <w:t>×</w:t>
            </w:r>
            <w:r>
              <w:rPr>
                <w:rFonts w:cs="宋体"/>
                <w:bCs/>
                <w:color w:val="auto"/>
                <w:sz w:val="18"/>
                <w:szCs w:val="18"/>
              </w:rPr>
              <w:t>10</w:t>
            </w:r>
            <w:r>
              <w:rPr>
                <w:rFonts w:cs="宋体"/>
                <w:bCs/>
                <w:color w:val="auto"/>
                <w:sz w:val="18"/>
                <w:szCs w:val="18"/>
                <w:vertAlign w:val="superscript"/>
              </w:rPr>
              <w:t>-</w:t>
            </w:r>
            <w:r>
              <w:rPr>
                <w:rFonts w:hint="eastAsia" w:cs="宋体"/>
                <w:bCs/>
                <w:color w:val="auto"/>
                <w:sz w:val="18"/>
                <w:szCs w:val="18"/>
                <w:vertAlign w:val="superscript"/>
              </w:rPr>
              <w:t>4</w:t>
            </w:r>
          </w:p>
        </w:tc>
      </w:tr>
      <w:tr w14:paraId="1A5131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9" w:type="dxa"/>
            <w:vMerge w:val="continue"/>
            <w:vAlign w:val="center"/>
          </w:tcPr>
          <w:p w14:paraId="3D3E30ED">
            <w:pPr>
              <w:pStyle w:val="28"/>
              <w:spacing w:beforeLines="0" w:afterLines="0" w:line="240" w:lineRule="auto"/>
              <w:rPr>
                <w:rFonts w:ascii="Times New Roman"/>
                <w:snapToGrid w:val="0"/>
                <w:color w:val="auto"/>
                <w:kern w:val="21"/>
                <w:szCs w:val="21"/>
              </w:rPr>
            </w:pPr>
          </w:p>
        </w:tc>
        <w:tc>
          <w:tcPr>
            <w:tcW w:w="1736" w:type="dxa"/>
            <w:vAlign w:val="center"/>
          </w:tcPr>
          <w:p w14:paraId="49FA3F9A">
            <w:pPr>
              <w:widowControl/>
              <w:adjustRightInd w:val="0"/>
              <w:snapToGrid w:val="0"/>
              <w:jc w:val="center"/>
              <w:textAlignment w:val="center"/>
              <w:rPr>
                <w:color w:val="auto"/>
                <w:kern w:val="0"/>
                <w:szCs w:val="21"/>
                <w:lang w:bidi="ar"/>
              </w:rPr>
            </w:pPr>
            <w:r>
              <w:rPr>
                <w:color w:val="auto"/>
                <w:kern w:val="0"/>
                <w:szCs w:val="21"/>
                <w:lang w:bidi="ar"/>
              </w:rPr>
              <w:t>硫化氢</w:t>
            </w:r>
          </w:p>
        </w:tc>
        <w:tc>
          <w:tcPr>
            <w:tcW w:w="1596" w:type="dxa"/>
            <w:vAlign w:val="center"/>
          </w:tcPr>
          <w:p w14:paraId="06C27118">
            <w:pPr>
              <w:adjustRightInd w:val="0"/>
              <w:snapToGrid w:val="0"/>
              <w:jc w:val="center"/>
              <w:rPr>
                <w:color w:val="auto"/>
                <w:szCs w:val="21"/>
              </w:rPr>
            </w:pPr>
            <w:r>
              <w:rPr>
                <w:rFonts w:hint="eastAsia"/>
                <w:color w:val="auto"/>
                <w:szCs w:val="21"/>
              </w:rPr>
              <w:t>/</w:t>
            </w:r>
          </w:p>
        </w:tc>
        <w:tc>
          <w:tcPr>
            <w:tcW w:w="1381" w:type="dxa"/>
            <w:shd w:val="clear" w:color="auto" w:fill="auto"/>
            <w:vAlign w:val="center"/>
          </w:tcPr>
          <w:p w14:paraId="22C8CD8B">
            <w:pPr>
              <w:adjustRightInd w:val="0"/>
              <w:snapToGrid w:val="0"/>
              <w:jc w:val="center"/>
              <w:rPr>
                <w:color w:val="auto"/>
                <w:szCs w:val="21"/>
              </w:rPr>
            </w:pPr>
            <w:r>
              <w:rPr>
                <w:rFonts w:hint="eastAsia"/>
                <w:color w:val="auto"/>
                <w:szCs w:val="21"/>
              </w:rPr>
              <w:t>/</w:t>
            </w:r>
          </w:p>
        </w:tc>
        <w:tc>
          <w:tcPr>
            <w:tcW w:w="1701" w:type="dxa"/>
            <w:shd w:val="clear" w:color="auto" w:fill="auto"/>
            <w:vAlign w:val="center"/>
          </w:tcPr>
          <w:p w14:paraId="3CC3F069">
            <w:pPr>
              <w:adjustRightInd w:val="0"/>
              <w:snapToGrid w:val="0"/>
              <w:jc w:val="center"/>
              <w:rPr>
                <w:color w:val="auto"/>
                <w:szCs w:val="21"/>
              </w:rPr>
            </w:pPr>
            <w:r>
              <w:rPr>
                <w:rFonts w:hint="eastAsia"/>
                <w:color w:val="auto"/>
                <w:szCs w:val="21"/>
              </w:rPr>
              <w:t>/</w:t>
            </w:r>
          </w:p>
        </w:tc>
        <w:tc>
          <w:tcPr>
            <w:tcW w:w="1559" w:type="dxa"/>
            <w:vAlign w:val="center"/>
          </w:tcPr>
          <w:p w14:paraId="4B977916">
            <w:pPr>
              <w:widowControl/>
              <w:adjustRightInd w:val="0"/>
              <w:snapToGrid w:val="0"/>
              <w:jc w:val="center"/>
              <w:textAlignment w:val="center"/>
              <w:rPr>
                <w:color w:val="auto"/>
                <w:kern w:val="0"/>
                <w:szCs w:val="21"/>
                <w:lang w:bidi="ar"/>
              </w:rPr>
            </w:pPr>
            <w:r>
              <w:rPr>
                <w:rFonts w:hint="eastAsia" w:cs="宋体"/>
                <w:bCs/>
                <w:color w:val="auto"/>
                <w:sz w:val="18"/>
                <w:szCs w:val="18"/>
                <w:lang w:val="en-US" w:eastAsia="zh-CN"/>
              </w:rPr>
              <w:t>2.81</w:t>
            </w:r>
            <w:r>
              <w:rPr>
                <w:rFonts w:hint="eastAsia" w:cs="宋体"/>
                <w:bCs/>
                <w:color w:val="auto"/>
                <w:sz w:val="18"/>
                <w:szCs w:val="18"/>
              </w:rPr>
              <w:t>×</w:t>
            </w:r>
            <w:r>
              <w:rPr>
                <w:rFonts w:cs="宋体"/>
                <w:bCs/>
                <w:color w:val="auto"/>
                <w:sz w:val="18"/>
                <w:szCs w:val="18"/>
              </w:rPr>
              <w:t>10</w:t>
            </w:r>
            <w:r>
              <w:rPr>
                <w:rFonts w:cs="宋体"/>
                <w:bCs/>
                <w:color w:val="auto"/>
                <w:sz w:val="18"/>
                <w:szCs w:val="18"/>
                <w:vertAlign w:val="superscript"/>
              </w:rPr>
              <w:t>-5</w:t>
            </w:r>
          </w:p>
        </w:tc>
        <w:tc>
          <w:tcPr>
            <w:tcW w:w="1761" w:type="dxa"/>
            <w:shd w:val="clear" w:color="auto" w:fill="auto"/>
            <w:vAlign w:val="center"/>
          </w:tcPr>
          <w:p w14:paraId="18E6B6AA">
            <w:pPr>
              <w:adjustRightInd w:val="0"/>
              <w:snapToGrid w:val="0"/>
              <w:jc w:val="center"/>
              <w:rPr>
                <w:color w:val="auto"/>
                <w:szCs w:val="21"/>
              </w:rPr>
            </w:pPr>
            <w:r>
              <w:rPr>
                <w:rFonts w:hint="eastAsia"/>
                <w:color w:val="auto"/>
                <w:szCs w:val="21"/>
              </w:rPr>
              <w:t>/</w:t>
            </w:r>
          </w:p>
        </w:tc>
        <w:tc>
          <w:tcPr>
            <w:tcW w:w="1650" w:type="dxa"/>
            <w:shd w:val="clear" w:color="auto" w:fill="auto"/>
            <w:vAlign w:val="center"/>
          </w:tcPr>
          <w:p w14:paraId="4E02939E">
            <w:pPr>
              <w:widowControl/>
              <w:adjustRightInd w:val="0"/>
              <w:snapToGrid w:val="0"/>
              <w:jc w:val="center"/>
              <w:textAlignment w:val="center"/>
              <w:rPr>
                <w:color w:val="auto"/>
                <w:kern w:val="0"/>
                <w:szCs w:val="21"/>
                <w:lang w:bidi="ar"/>
              </w:rPr>
            </w:pPr>
            <w:r>
              <w:rPr>
                <w:rFonts w:hint="eastAsia" w:cs="宋体"/>
                <w:bCs/>
                <w:color w:val="auto"/>
                <w:sz w:val="18"/>
                <w:szCs w:val="18"/>
                <w:lang w:val="en-US" w:eastAsia="zh-CN"/>
              </w:rPr>
              <w:t>2.81</w:t>
            </w:r>
            <w:r>
              <w:rPr>
                <w:rFonts w:hint="eastAsia" w:cs="宋体"/>
                <w:bCs/>
                <w:color w:val="auto"/>
                <w:sz w:val="18"/>
                <w:szCs w:val="18"/>
              </w:rPr>
              <w:t>×</w:t>
            </w:r>
            <w:r>
              <w:rPr>
                <w:rFonts w:cs="宋体"/>
                <w:bCs/>
                <w:color w:val="auto"/>
                <w:sz w:val="18"/>
                <w:szCs w:val="18"/>
              </w:rPr>
              <w:t>10</w:t>
            </w:r>
            <w:r>
              <w:rPr>
                <w:rFonts w:cs="宋体"/>
                <w:bCs/>
                <w:color w:val="auto"/>
                <w:sz w:val="18"/>
                <w:szCs w:val="18"/>
                <w:vertAlign w:val="superscript"/>
              </w:rPr>
              <w:t>-5</w:t>
            </w:r>
          </w:p>
        </w:tc>
        <w:tc>
          <w:tcPr>
            <w:tcW w:w="1448" w:type="dxa"/>
            <w:shd w:val="clear" w:color="auto" w:fill="auto"/>
            <w:vAlign w:val="center"/>
          </w:tcPr>
          <w:p w14:paraId="376DB481">
            <w:pPr>
              <w:widowControl/>
              <w:adjustRightInd w:val="0"/>
              <w:snapToGrid w:val="0"/>
              <w:jc w:val="center"/>
              <w:textAlignment w:val="center"/>
              <w:rPr>
                <w:color w:val="auto"/>
                <w:kern w:val="0"/>
                <w:szCs w:val="21"/>
                <w:lang w:bidi="ar"/>
              </w:rPr>
            </w:pPr>
            <w:r>
              <w:rPr>
                <w:rFonts w:hint="eastAsia"/>
                <w:color w:val="auto"/>
                <w:kern w:val="0"/>
                <w:szCs w:val="21"/>
                <w:lang w:bidi="ar"/>
              </w:rPr>
              <w:t>+</w:t>
            </w:r>
            <w:r>
              <w:rPr>
                <w:rFonts w:hint="eastAsia"/>
                <w:color w:val="auto"/>
                <w:kern w:val="0"/>
                <w:szCs w:val="21"/>
                <w:lang w:val="en-US" w:eastAsia="zh-CN" w:bidi="ar"/>
              </w:rPr>
              <w:t>2.81</w:t>
            </w:r>
            <w:r>
              <w:rPr>
                <w:rFonts w:hint="eastAsia" w:cs="宋体"/>
                <w:bCs/>
                <w:color w:val="auto"/>
                <w:sz w:val="18"/>
                <w:szCs w:val="18"/>
              </w:rPr>
              <w:t>×</w:t>
            </w:r>
            <w:r>
              <w:rPr>
                <w:rFonts w:cs="宋体"/>
                <w:bCs/>
                <w:color w:val="auto"/>
                <w:sz w:val="18"/>
                <w:szCs w:val="18"/>
              </w:rPr>
              <w:t>10</w:t>
            </w:r>
            <w:r>
              <w:rPr>
                <w:rFonts w:cs="宋体"/>
                <w:bCs/>
                <w:color w:val="auto"/>
                <w:sz w:val="18"/>
                <w:szCs w:val="18"/>
                <w:vertAlign w:val="superscript"/>
              </w:rPr>
              <w:t>-5</w:t>
            </w:r>
          </w:p>
        </w:tc>
      </w:tr>
      <w:tr w14:paraId="123AB2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9" w:type="dxa"/>
            <w:vMerge w:val="restart"/>
            <w:vAlign w:val="center"/>
          </w:tcPr>
          <w:p w14:paraId="264667CE">
            <w:pPr>
              <w:pStyle w:val="28"/>
              <w:spacing w:beforeLines="0" w:afterLines="0" w:line="240" w:lineRule="auto"/>
              <w:rPr>
                <w:rFonts w:ascii="Times New Roman"/>
                <w:snapToGrid w:val="0"/>
                <w:color w:val="auto"/>
                <w:kern w:val="21"/>
                <w:szCs w:val="21"/>
              </w:rPr>
            </w:pPr>
            <w:r>
              <w:rPr>
                <w:rFonts w:ascii="Times New Roman"/>
                <w:snapToGrid w:val="0"/>
                <w:color w:val="auto"/>
                <w:kern w:val="21"/>
                <w:szCs w:val="21"/>
              </w:rPr>
              <w:t>废水</w:t>
            </w:r>
          </w:p>
        </w:tc>
        <w:tc>
          <w:tcPr>
            <w:tcW w:w="1736" w:type="dxa"/>
            <w:vAlign w:val="center"/>
          </w:tcPr>
          <w:p w14:paraId="47B47552">
            <w:pPr>
              <w:widowControl/>
              <w:adjustRightInd w:val="0"/>
              <w:snapToGrid w:val="0"/>
              <w:jc w:val="center"/>
              <w:rPr>
                <w:color w:val="auto"/>
                <w:kern w:val="0"/>
                <w:szCs w:val="21"/>
              </w:rPr>
            </w:pPr>
            <w:r>
              <w:rPr>
                <w:color w:val="auto"/>
                <w:kern w:val="0"/>
                <w:szCs w:val="21"/>
              </w:rPr>
              <w:t>COD</w:t>
            </w:r>
            <w:r>
              <w:rPr>
                <w:color w:val="auto"/>
                <w:kern w:val="0"/>
                <w:szCs w:val="21"/>
                <w:vertAlign w:val="subscript"/>
              </w:rPr>
              <w:t>cr</w:t>
            </w:r>
          </w:p>
        </w:tc>
        <w:tc>
          <w:tcPr>
            <w:tcW w:w="1596" w:type="dxa"/>
            <w:vAlign w:val="center"/>
          </w:tcPr>
          <w:p w14:paraId="220AC73A">
            <w:pPr>
              <w:widowControl/>
              <w:adjustRightInd w:val="0"/>
              <w:snapToGrid w:val="0"/>
              <w:jc w:val="center"/>
              <w:rPr>
                <w:color w:val="auto"/>
                <w:kern w:val="0"/>
                <w:szCs w:val="21"/>
              </w:rPr>
            </w:pPr>
            <w:r>
              <w:rPr>
                <w:rFonts w:hint="eastAsia"/>
                <w:color w:val="auto"/>
                <w:kern w:val="0"/>
                <w:szCs w:val="21"/>
              </w:rPr>
              <w:t>/</w:t>
            </w:r>
          </w:p>
        </w:tc>
        <w:tc>
          <w:tcPr>
            <w:tcW w:w="1381" w:type="dxa"/>
            <w:shd w:val="clear" w:color="auto" w:fill="auto"/>
            <w:vAlign w:val="center"/>
          </w:tcPr>
          <w:p w14:paraId="50B8FB15">
            <w:pPr>
              <w:widowControl/>
              <w:adjustRightInd w:val="0"/>
              <w:snapToGrid w:val="0"/>
              <w:jc w:val="center"/>
              <w:rPr>
                <w:color w:val="auto"/>
                <w:kern w:val="0"/>
                <w:szCs w:val="21"/>
              </w:rPr>
            </w:pPr>
            <w:r>
              <w:rPr>
                <w:rFonts w:hint="eastAsia"/>
                <w:color w:val="auto"/>
                <w:kern w:val="0"/>
                <w:szCs w:val="21"/>
              </w:rPr>
              <w:t>/</w:t>
            </w:r>
          </w:p>
        </w:tc>
        <w:tc>
          <w:tcPr>
            <w:tcW w:w="1701" w:type="dxa"/>
            <w:shd w:val="clear" w:color="auto" w:fill="auto"/>
            <w:vAlign w:val="center"/>
          </w:tcPr>
          <w:p w14:paraId="4FC34DA8">
            <w:pPr>
              <w:widowControl/>
              <w:adjustRightInd w:val="0"/>
              <w:snapToGrid w:val="0"/>
              <w:jc w:val="center"/>
              <w:rPr>
                <w:color w:val="auto"/>
                <w:kern w:val="0"/>
                <w:szCs w:val="21"/>
              </w:rPr>
            </w:pPr>
            <w:r>
              <w:rPr>
                <w:rFonts w:hint="eastAsia"/>
                <w:color w:val="auto"/>
                <w:kern w:val="0"/>
                <w:szCs w:val="21"/>
              </w:rPr>
              <w:t>/</w:t>
            </w:r>
          </w:p>
        </w:tc>
        <w:tc>
          <w:tcPr>
            <w:tcW w:w="1559" w:type="dxa"/>
            <w:shd w:val="clear" w:color="auto" w:fill="auto"/>
            <w:vAlign w:val="center"/>
          </w:tcPr>
          <w:p w14:paraId="0EE5B793">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0.0794</w:t>
            </w:r>
          </w:p>
        </w:tc>
        <w:tc>
          <w:tcPr>
            <w:tcW w:w="1761" w:type="dxa"/>
            <w:shd w:val="clear" w:color="auto" w:fill="auto"/>
            <w:vAlign w:val="center"/>
          </w:tcPr>
          <w:p w14:paraId="5747864E">
            <w:pPr>
              <w:widowControl/>
              <w:adjustRightInd w:val="0"/>
              <w:snapToGrid w:val="0"/>
              <w:jc w:val="center"/>
              <w:rPr>
                <w:color w:val="auto"/>
                <w:kern w:val="0"/>
                <w:szCs w:val="21"/>
              </w:rPr>
            </w:pPr>
            <w:r>
              <w:rPr>
                <w:rFonts w:hint="eastAsia"/>
                <w:color w:val="auto"/>
                <w:kern w:val="0"/>
                <w:szCs w:val="21"/>
              </w:rPr>
              <w:t>/</w:t>
            </w:r>
          </w:p>
        </w:tc>
        <w:tc>
          <w:tcPr>
            <w:tcW w:w="1650" w:type="dxa"/>
            <w:shd w:val="clear" w:color="auto" w:fill="auto"/>
            <w:vAlign w:val="center"/>
          </w:tcPr>
          <w:p w14:paraId="16CCDF82">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0.0794</w:t>
            </w:r>
          </w:p>
        </w:tc>
        <w:tc>
          <w:tcPr>
            <w:tcW w:w="1448" w:type="dxa"/>
            <w:shd w:val="clear" w:color="auto" w:fill="auto"/>
            <w:vAlign w:val="center"/>
          </w:tcPr>
          <w:p w14:paraId="7EE69CCD">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+0.0794</w:t>
            </w:r>
          </w:p>
        </w:tc>
      </w:tr>
      <w:tr w14:paraId="13FB5E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9" w:type="dxa"/>
            <w:vMerge w:val="continue"/>
            <w:vAlign w:val="center"/>
          </w:tcPr>
          <w:p w14:paraId="64E6CB7C">
            <w:pPr>
              <w:pStyle w:val="28"/>
              <w:spacing w:beforeLines="0" w:afterLines="0" w:line="240" w:lineRule="auto"/>
              <w:rPr>
                <w:rFonts w:ascii="Times New Roman"/>
                <w:snapToGrid w:val="0"/>
                <w:color w:val="auto"/>
                <w:kern w:val="21"/>
                <w:szCs w:val="21"/>
              </w:rPr>
            </w:pPr>
          </w:p>
        </w:tc>
        <w:tc>
          <w:tcPr>
            <w:tcW w:w="1736" w:type="dxa"/>
            <w:vAlign w:val="center"/>
          </w:tcPr>
          <w:p w14:paraId="615A43CE">
            <w:pPr>
              <w:widowControl/>
              <w:adjustRightInd w:val="0"/>
              <w:snapToGrid w:val="0"/>
              <w:jc w:val="center"/>
              <w:rPr>
                <w:color w:val="auto"/>
                <w:kern w:val="0"/>
                <w:szCs w:val="21"/>
              </w:rPr>
            </w:pPr>
            <w:r>
              <w:rPr>
                <w:color w:val="auto"/>
                <w:kern w:val="0"/>
                <w:szCs w:val="21"/>
              </w:rPr>
              <w:t>BOD</w:t>
            </w:r>
            <w:r>
              <w:rPr>
                <w:color w:val="auto"/>
                <w:kern w:val="0"/>
                <w:szCs w:val="21"/>
                <w:vertAlign w:val="subscript"/>
              </w:rPr>
              <w:t>5</w:t>
            </w:r>
          </w:p>
        </w:tc>
        <w:tc>
          <w:tcPr>
            <w:tcW w:w="1596" w:type="dxa"/>
            <w:vAlign w:val="center"/>
          </w:tcPr>
          <w:p w14:paraId="59380E71">
            <w:pPr>
              <w:widowControl/>
              <w:adjustRightInd w:val="0"/>
              <w:snapToGrid w:val="0"/>
              <w:jc w:val="center"/>
              <w:rPr>
                <w:color w:val="auto"/>
                <w:kern w:val="0"/>
                <w:szCs w:val="21"/>
              </w:rPr>
            </w:pPr>
            <w:r>
              <w:rPr>
                <w:rFonts w:hint="eastAsia"/>
                <w:color w:val="auto"/>
                <w:kern w:val="0"/>
                <w:szCs w:val="21"/>
              </w:rPr>
              <w:t>/</w:t>
            </w:r>
          </w:p>
        </w:tc>
        <w:tc>
          <w:tcPr>
            <w:tcW w:w="1381" w:type="dxa"/>
            <w:shd w:val="clear" w:color="auto" w:fill="auto"/>
            <w:vAlign w:val="center"/>
          </w:tcPr>
          <w:p w14:paraId="277F0DDE">
            <w:pPr>
              <w:widowControl/>
              <w:adjustRightInd w:val="0"/>
              <w:snapToGrid w:val="0"/>
              <w:jc w:val="center"/>
              <w:rPr>
                <w:color w:val="auto"/>
                <w:kern w:val="0"/>
                <w:szCs w:val="21"/>
              </w:rPr>
            </w:pPr>
            <w:r>
              <w:rPr>
                <w:rFonts w:hint="eastAsia"/>
                <w:color w:val="auto"/>
                <w:kern w:val="0"/>
                <w:szCs w:val="21"/>
              </w:rPr>
              <w:t>/</w:t>
            </w:r>
          </w:p>
        </w:tc>
        <w:tc>
          <w:tcPr>
            <w:tcW w:w="1701" w:type="dxa"/>
            <w:shd w:val="clear" w:color="auto" w:fill="auto"/>
            <w:vAlign w:val="center"/>
          </w:tcPr>
          <w:p w14:paraId="68421478">
            <w:pPr>
              <w:widowControl/>
              <w:adjustRightInd w:val="0"/>
              <w:snapToGrid w:val="0"/>
              <w:jc w:val="center"/>
              <w:rPr>
                <w:color w:val="auto"/>
                <w:kern w:val="0"/>
                <w:szCs w:val="21"/>
              </w:rPr>
            </w:pPr>
            <w:r>
              <w:rPr>
                <w:rFonts w:hint="eastAsia"/>
                <w:color w:val="auto"/>
                <w:kern w:val="0"/>
                <w:szCs w:val="21"/>
              </w:rPr>
              <w:t>/</w:t>
            </w:r>
          </w:p>
        </w:tc>
        <w:tc>
          <w:tcPr>
            <w:tcW w:w="1559" w:type="dxa"/>
            <w:shd w:val="clear" w:color="auto" w:fill="auto"/>
            <w:vAlign w:val="center"/>
          </w:tcPr>
          <w:p w14:paraId="08595928">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0.0423</w:t>
            </w:r>
          </w:p>
        </w:tc>
        <w:tc>
          <w:tcPr>
            <w:tcW w:w="1761" w:type="dxa"/>
            <w:shd w:val="clear" w:color="auto" w:fill="auto"/>
            <w:vAlign w:val="center"/>
          </w:tcPr>
          <w:p w14:paraId="400EFB32">
            <w:pPr>
              <w:widowControl/>
              <w:adjustRightInd w:val="0"/>
              <w:snapToGrid w:val="0"/>
              <w:jc w:val="center"/>
              <w:rPr>
                <w:color w:val="auto"/>
                <w:kern w:val="0"/>
                <w:szCs w:val="21"/>
              </w:rPr>
            </w:pPr>
            <w:r>
              <w:rPr>
                <w:rFonts w:hint="eastAsia"/>
                <w:color w:val="auto"/>
                <w:kern w:val="0"/>
                <w:szCs w:val="21"/>
              </w:rPr>
              <w:t>/</w:t>
            </w:r>
          </w:p>
        </w:tc>
        <w:tc>
          <w:tcPr>
            <w:tcW w:w="1650" w:type="dxa"/>
            <w:shd w:val="clear" w:color="auto" w:fill="auto"/>
            <w:vAlign w:val="center"/>
          </w:tcPr>
          <w:p w14:paraId="5BDA3A79">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0.0423</w:t>
            </w:r>
          </w:p>
        </w:tc>
        <w:tc>
          <w:tcPr>
            <w:tcW w:w="1448" w:type="dxa"/>
            <w:shd w:val="clear" w:color="auto" w:fill="auto"/>
            <w:vAlign w:val="center"/>
          </w:tcPr>
          <w:p w14:paraId="4700C6E9">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+0.0423</w:t>
            </w:r>
          </w:p>
        </w:tc>
      </w:tr>
      <w:tr w14:paraId="54F8B5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9" w:type="dxa"/>
            <w:vMerge w:val="continue"/>
            <w:vAlign w:val="center"/>
          </w:tcPr>
          <w:p w14:paraId="5CA4B8C2">
            <w:pPr>
              <w:pStyle w:val="28"/>
              <w:spacing w:beforeLines="0" w:afterLines="0" w:line="240" w:lineRule="auto"/>
              <w:rPr>
                <w:rFonts w:ascii="Times New Roman"/>
                <w:snapToGrid w:val="0"/>
                <w:color w:val="auto"/>
                <w:kern w:val="21"/>
                <w:szCs w:val="21"/>
              </w:rPr>
            </w:pPr>
          </w:p>
        </w:tc>
        <w:tc>
          <w:tcPr>
            <w:tcW w:w="1736" w:type="dxa"/>
            <w:vAlign w:val="center"/>
          </w:tcPr>
          <w:p w14:paraId="4D90A731">
            <w:pPr>
              <w:widowControl/>
              <w:adjustRightInd w:val="0"/>
              <w:snapToGrid w:val="0"/>
              <w:jc w:val="center"/>
              <w:rPr>
                <w:color w:val="auto"/>
                <w:kern w:val="0"/>
                <w:szCs w:val="21"/>
              </w:rPr>
            </w:pPr>
            <w:r>
              <w:rPr>
                <w:color w:val="auto"/>
                <w:kern w:val="0"/>
                <w:szCs w:val="21"/>
              </w:rPr>
              <w:t>SS</w:t>
            </w:r>
          </w:p>
        </w:tc>
        <w:tc>
          <w:tcPr>
            <w:tcW w:w="1596" w:type="dxa"/>
            <w:vAlign w:val="center"/>
          </w:tcPr>
          <w:p w14:paraId="2F04D599">
            <w:pPr>
              <w:widowControl/>
              <w:adjustRightInd w:val="0"/>
              <w:snapToGrid w:val="0"/>
              <w:jc w:val="center"/>
              <w:rPr>
                <w:color w:val="auto"/>
                <w:kern w:val="0"/>
                <w:szCs w:val="21"/>
              </w:rPr>
            </w:pPr>
            <w:r>
              <w:rPr>
                <w:rFonts w:hint="eastAsia"/>
                <w:color w:val="auto"/>
                <w:kern w:val="0"/>
                <w:szCs w:val="21"/>
              </w:rPr>
              <w:t>/</w:t>
            </w:r>
          </w:p>
        </w:tc>
        <w:tc>
          <w:tcPr>
            <w:tcW w:w="1381" w:type="dxa"/>
            <w:shd w:val="clear" w:color="auto" w:fill="auto"/>
            <w:vAlign w:val="center"/>
          </w:tcPr>
          <w:p w14:paraId="58C40F76">
            <w:pPr>
              <w:widowControl/>
              <w:adjustRightInd w:val="0"/>
              <w:snapToGrid w:val="0"/>
              <w:jc w:val="center"/>
              <w:rPr>
                <w:color w:val="auto"/>
                <w:kern w:val="0"/>
                <w:szCs w:val="21"/>
              </w:rPr>
            </w:pPr>
            <w:r>
              <w:rPr>
                <w:rFonts w:hint="eastAsia"/>
                <w:color w:val="auto"/>
                <w:kern w:val="0"/>
                <w:szCs w:val="21"/>
              </w:rPr>
              <w:t>/</w:t>
            </w:r>
          </w:p>
        </w:tc>
        <w:tc>
          <w:tcPr>
            <w:tcW w:w="1701" w:type="dxa"/>
            <w:shd w:val="clear" w:color="auto" w:fill="auto"/>
            <w:vAlign w:val="center"/>
          </w:tcPr>
          <w:p w14:paraId="2CBAA569">
            <w:pPr>
              <w:widowControl/>
              <w:adjustRightInd w:val="0"/>
              <w:snapToGrid w:val="0"/>
              <w:jc w:val="center"/>
              <w:rPr>
                <w:color w:val="auto"/>
                <w:kern w:val="0"/>
                <w:szCs w:val="21"/>
              </w:rPr>
            </w:pPr>
            <w:r>
              <w:rPr>
                <w:rFonts w:hint="eastAsia"/>
                <w:color w:val="auto"/>
                <w:kern w:val="0"/>
                <w:szCs w:val="21"/>
              </w:rPr>
              <w:t>/</w:t>
            </w:r>
          </w:p>
        </w:tc>
        <w:tc>
          <w:tcPr>
            <w:tcW w:w="1559" w:type="dxa"/>
            <w:shd w:val="clear" w:color="auto" w:fill="auto"/>
            <w:vAlign w:val="center"/>
          </w:tcPr>
          <w:p w14:paraId="0A5A323C">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0.0713</w:t>
            </w:r>
          </w:p>
        </w:tc>
        <w:tc>
          <w:tcPr>
            <w:tcW w:w="1761" w:type="dxa"/>
            <w:shd w:val="clear" w:color="auto" w:fill="auto"/>
            <w:vAlign w:val="center"/>
          </w:tcPr>
          <w:p w14:paraId="775237F6">
            <w:pPr>
              <w:widowControl/>
              <w:adjustRightInd w:val="0"/>
              <w:snapToGrid w:val="0"/>
              <w:jc w:val="center"/>
              <w:rPr>
                <w:color w:val="auto"/>
                <w:kern w:val="0"/>
                <w:szCs w:val="21"/>
              </w:rPr>
            </w:pPr>
            <w:r>
              <w:rPr>
                <w:rFonts w:hint="eastAsia"/>
                <w:color w:val="auto"/>
                <w:kern w:val="0"/>
                <w:szCs w:val="21"/>
              </w:rPr>
              <w:t>/</w:t>
            </w:r>
          </w:p>
        </w:tc>
        <w:tc>
          <w:tcPr>
            <w:tcW w:w="1650" w:type="dxa"/>
            <w:shd w:val="clear" w:color="auto" w:fill="auto"/>
            <w:vAlign w:val="center"/>
          </w:tcPr>
          <w:p w14:paraId="60A6C311">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0.0713</w:t>
            </w:r>
          </w:p>
        </w:tc>
        <w:tc>
          <w:tcPr>
            <w:tcW w:w="1448" w:type="dxa"/>
            <w:shd w:val="clear" w:color="auto" w:fill="auto"/>
            <w:vAlign w:val="center"/>
          </w:tcPr>
          <w:p w14:paraId="14C2A720">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+0.0713</w:t>
            </w:r>
          </w:p>
        </w:tc>
      </w:tr>
      <w:tr w14:paraId="579428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9" w:type="dxa"/>
            <w:vMerge w:val="continue"/>
            <w:vAlign w:val="center"/>
          </w:tcPr>
          <w:p w14:paraId="48684115">
            <w:pPr>
              <w:pStyle w:val="28"/>
              <w:spacing w:beforeLines="0" w:afterLines="0" w:line="240" w:lineRule="auto"/>
              <w:rPr>
                <w:rFonts w:ascii="Times New Roman"/>
                <w:snapToGrid w:val="0"/>
                <w:color w:val="auto"/>
                <w:kern w:val="21"/>
                <w:szCs w:val="21"/>
              </w:rPr>
            </w:pPr>
          </w:p>
        </w:tc>
        <w:tc>
          <w:tcPr>
            <w:tcW w:w="1736" w:type="dxa"/>
            <w:vAlign w:val="center"/>
          </w:tcPr>
          <w:p w14:paraId="6D753C74">
            <w:pPr>
              <w:widowControl/>
              <w:adjustRightInd w:val="0"/>
              <w:snapToGrid w:val="0"/>
              <w:jc w:val="center"/>
              <w:rPr>
                <w:color w:val="auto"/>
                <w:kern w:val="0"/>
                <w:szCs w:val="21"/>
              </w:rPr>
            </w:pPr>
            <w:r>
              <w:rPr>
                <w:color w:val="auto"/>
                <w:kern w:val="0"/>
                <w:szCs w:val="21"/>
              </w:rPr>
              <w:t>氨氮</w:t>
            </w:r>
          </w:p>
        </w:tc>
        <w:tc>
          <w:tcPr>
            <w:tcW w:w="1596" w:type="dxa"/>
            <w:vAlign w:val="center"/>
          </w:tcPr>
          <w:p w14:paraId="1B8A9393">
            <w:pPr>
              <w:widowControl/>
              <w:adjustRightInd w:val="0"/>
              <w:snapToGrid w:val="0"/>
              <w:jc w:val="center"/>
              <w:rPr>
                <w:color w:val="auto"/>
                <w:kern w:val="0"/>
                <w:szCs w:val="21"/>
              </w:rPr>
            </w:pPr>
            <w:r>
              <w:rPr>
                <w:rFonts w:hint="eastAsia"/>
                <w:color w:val="auto"/>
                <w:kern w:val="0"/>
                <w:szCs w:val="21"/>
              </w:rPr>
              <w:t>/</w:t>
            </w:r>
          </w:p>
        </w:tc>
        <w:tc>
          <w:tcPr>
            <w:tcW w:w="1381" w:type="dxa"/>
            <w:shd w:val="clear" w:color="auto" w:fill="auto"/>
            <w:vAlign w:val="center"/>
          </w:tcPr>
          <w:p w14:paraId="6BE04E62">
            <w:pPr>
              <w:widowControl/>
              <w:adjustRightInd w:val="0"/>
              <w:snapToGrid w:val="0"/>
              <w:jc w:val="center"/>
              <w:rPr>
                <w:color w:val="auto"/>
                <w:kern w:val="0"/>
                <w:szCs w:val="21"/>
              </w:rPr>
            </w:pPr>
            <w:r>
              <w:rPr>
                <w:rFonts w:hint="eastAsia"/>
                <w:color w:val="auto"/>
                <w:kern w:val="0"/>
                <w:szCs w:val="21"/>
              </w:rPr>
              <w:t>/</w:t>
            </w:r>
          </w:p>
        </w:tc>
        <w:tc>
          <w:tcPr>
            <w:tcW w:w="1701" w:type="dxa"/>
            <w:shd w:val="clear" w:color="auto" w:fill="auto"/>
            <w:vAlign w:val="center"/>
          </w:tcPr>
          <w:p w14:paraId="1252A6C8">
            <w:pPr>
              <w:widowControl/>
              <w:adjustRightInd w:val="0"/>
              <w:snapToGrid w:val="0"/>
              <w:jc w:val="center"/>
              <w:rPr>
                <w:color w:val="auto"/>
                <w:kern w:val="0"/>
                <w:szCs w:val="21"/>
              </w:rPr>
            </w:pPr>
            <w:r>
              <w:rPr>
                <w:rFonts w:hint="eastAsia"/>
                <w:color w:val="auto"/>
                <w:kern w:val="0"/>
                <w:szCs w:val="21"/>
              </w:rPr>
              <w:t>/</w:t>
            </w:r>
          </w:p>
        </w:tc>
        <w:tc>
          <w:tcPr>
            <w:tcW w:w="1559" w:type="dxa"/>
            <w:shd w:val="clear" w:color="auto" w:fill="auto"/>
            <w:vAlign w:val="center"/>
          </w:tcPr>
          <w:p w14:paraId="6CF49517">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0.0176</w:t>
            </w:r>
          </w:p>
        </w:tc>
        <w:tc>
          <w:tcPr>
            <w:tcW w:w="1761" w:type="dxa"/>
            <w:shd w:val="clear" w:color="auto" w:fill="auto"/>
            <w:vAlign w:val="center"/>
          </w:tcPr>
          <w:p w14:paraId="3EC3C1B6">
            <w:pPr>
              <w:widowControl/>
              <w:adjustRightInd w:val="0"/>
              <w:snapToGrid w:val="0"/>
              <w:jc w:val="center"/>
              <w:rPr>
                <w:color w:val="auto"/>
                <w:kern w:val="0"/>
                <w:szCs w:val="21"/>
              </w:rPr>
            </w:pPr>
            <w:r>
              <w:rPr>
                <w:rFonts w:hint="eastAsia"/>
                <w:color w:val="auto"/>
                <w:kern w:val="0"/>
                <w:szCs w:val="21"/>
              </w:rPr>
              <w:t>/</w:t>
            </w:r>
          </w:p>
        </w:tc>
        <w:tc>
          <w:tcPr>
            <w:tcW w:w="1650" w:type="dxa"/>
            <w:shd w:val="clear" w:color="auto" w:fill="auto"/>
            <w:vAlign w:val="center"/>
          </w:tcPr>
          <w:p w14:paraId="178A0ED1">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0.0176</w:t>
            </w:r>
          </w:p>
        </w:tc>
        <w:tc>
          <w:tcPr>
            <w:tcW w:w="1448" w:type="dxa"/>
            <w:shd w:val="clear" w:color="auto" w:fill="auto"/>
            <w:vAlign w:val="center"/>
          </w:tcPr>
          <w:p w14:paraId="2A105FC5">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+0.0176</w:t>
            </w:r>
          </w:p>
        </w:tc>
      </w:tr>
      <w:tr w14:paraId="578646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9" w:type="dxa"/>
            <w:vMerge w:val="continue"/>
            <w:vAlign w:val="center"/>
          </w:tcPr>
          <w:p w14:paraId="000E5D9A">
            <w:pPr>
              <w:pStyle w:val="28"/>
              <w:spacing w:beforeLines="0" w:afterLines="0" w:line="240" w:lineRule="auto"/>
              <w:rPr>
                <w:rFonts w:ascii="Times New Roman"/>
                <w:snapToGrid w:val="0"/>
                <w:color w:val="auto"/>
                <w:kern w:val="21"/>
                <w:szCs w:val="21"/>
              </w:rPr>
            </w:pPr>
          </w:p>
        </w:tc>
        <w:tc>
          <w:tcPr>
            <w:tcW w:w="1736" w:type="dxa"/>
            <w:vAlign w:val="center"/>
          </w:tcPr>
          <w:p w14:paraId="310335BB">
            <w:pPr>
              <w:widowControl/>
              <w:adjustRightInd w:val="0"/>
              <w:snapToGrid w:val="0"/>
              <w:jc w:val="center"/>
              <w:rPr>
                <w:color w:val="auto"/>
                <w:kern w:val="0"/>
                <w:szCs w:val="21"/>
              </w:rPr>
            </w:pPr>
            <w:r>
              <w:rPr>
                <w:rFonts w:hint="eastAsia"/>
                <w:color w:val="auto"/>
                <w:kern w:val="0"/>
                <w:szCs w:val="21"/>
              </w:rPr>
              <w:t>T</w:t>
            </w:r>
            <w:r>
              <w:rPr>
                <w:color w:val="auto"/>
                <w:kern w:val="0"/>
                <w:szCs w:val="21"/>
              </w:rPr>
              <w:t>P</w:t>
            </w:r>
          </w:p>
        </w:tc>
        <w:tc>
          <w:tcPr>
            <w:tcW w:w="1596" w:type="dxa"/>
            <w:vAlign w:val="center"/>
          </w:tcPr>
          <w:p w14:paraId="1BA4A32B">
            <w:pPr>
              <w:widowControl/>
              <w:adjustRightInd w:val="0"/>
              <w:snapToGrid w:val="0"/>
              <w:jc w:val="center"/>
              <w:rPr>
                <w:color w:val="auto"/>
                <w:kern w:val="0"/>
                <w:szCs w:val="21"/>
              </w:rPr>
            </w:pPr>
            <w:r>
              <w:rPr>
                <w:rFonts w:hint="eastAsia"/>
                <w:color w:val="auto"/>
                <w:kern w:val="0"/>
                <w:szCs w:val="21"/>
              </w:rPr>
              <w:t>/</w:t>
            </w:r>
          </w:p>
        </w:tc>
        <w:tc>
          <w:tcPr>
            <w:tcW w:w="1381" w:type="dxa"/>
            <w:shd w:val="clear" w:color="auto" w:fill="auto"/>
            <w:vAlign w:val="center"/>
          </w:tcPr>
          <w:p w14:paraId="3D482296">
            <w:pPr>
              <w:widowControl/>
              <w:adjustRightInd w:val="0"/>
              <w:snapToGrid w:val="0"/>
              <w:jc w:val="center"/>
              <w:rPr>
                <w:color w:val="auto"/>
                <w:kern w:val="0"/>
                <w:szCs w:val="21"/>
              </w:rPr>
            </w:pPr>
            <w:r>
              <w:rPr>
                <w:rFonts w:hint="eastAsia"/>
                <w:color w:val="auto"/>
                <w:kern w:val="0"/>
                <w:szCs w:val="21"/>
              </w:rPr>
              <w:t>/</w:t>
            </w:r>
          </w:p>
        </w:tc>
        <w:tc>
          <w:tcPr>
            <w:tcW w:w="1701" w:type="dxa"/>
            <w:shd w:val="clear" w:color="auto" w:fill="auto"/>
            <w:vAlign w:val="center"/>
          </w:tcPr>
          <w:p w14:paraId="6F28B832">
            <w:pPr>
              <w:widowControl/>
              <w:adjustRightInd w:val="0"/>
              <w:snapToGrid w:val="0"/>
              <w:jc w:val="center"/>
              <w:rPr>
                <w:color w:val="auto"/>
                <w:kern w:val="0"/>
                <w:szCs w:val="21"/>
              </w:rPr>
            </w:pPr>
            <w:r>
              <w:rPr>
                <w:rFonts w:hint="eastAsia"/>
                <w:color w:val="auto"/>
                <w:kern w:val="0"/>
                <w:szCs w:val="21"/>
              </w:rPr>
              <w:t>/</w:t>
            </w:r>
          </w:p>
        </w:tc>
        <w:tc>
          <w:tcPr>
            <w:tcW w:w="1559" w:type="dxa"/>
            <w:shd w:val="clear" w:color="auto" w:fill="auto"/>
            <w:vAlign w:val="center"/>
          </w:tcPr>
          <w:p w14:paraId="14FC11DE">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0.00</w:t>
            </w:r>
            <w:r>
              <w:rPr>
                <w:rFonts w:hint="eastAsia" w:cs="Times New Roman"/>
                <w:color w:val="auto"/>
                <w:sz w:val="21"/>
                <w:szCs w:val="21"/>
                <w:lang w:val="en-US" w:eastAsia="zh-CN"/>
              </w:rPr>
              <w:t>2</w:t>
            </w:r>
          </w:p>
        </w:tc>
        <w:tc>
          <w:tcPr>
            <w:tcW w:w="1761" w:type="dxa"/>
            <w:shd w:val="clear" w:color="auto" w:fill="auto"/>
            <w:vAlign w:val="center"/>
          </w:tcPr>
          <w:p w14:paraId="6C81CEF2">
            <w:pPr>
              <w:widowControl/>
              <w:adjustRightInd w:val="0"/>
              <w:snapToGrid w:val="0"/>
              <w:jc w:val="center"/>
              <w:rPr>
                <w:color w:val="auto"/>
                <w:kern w:val="0"/>
                <w:szCs w:val="21"/>
              </w:rPr>
            </w:pPr>
            <w:r>
              <w:rPr>
                <w:rFonts w:hint="eastAsia"/>
                <w:color w:val="auto"/>
                <w:kern w:val="0"/>
                <w:szCs w:val="21"/>
              </w:rPr>
              <w:t>/</w:t>
            </w:r>
          </w:p>
        </w:tc>
        <w:tc>
          <w:tcPr>
            <w:tcW w:w="1650" w:type="dxa"/>
            <w:shd w:val="clear" w:color="auto" w:fill="auto"/>
            <w:vAlign w:val="center"/>
          </w:tcPr>
          <w:p w14:paraId="3A56FC88">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0.00</w:t>
            </w:r>
            <w:r>
              <w:rPr>
                <w:rFonts w:hint="eastAsia" w:cs="Times New Roman"/>
                <w:color w:val="auto"/>
                <w:sz w:val="21"/>
                <w:szCs w:val="21"/>
                <w:lang w:val="en-US" w:eastAsia="zh-CN"/>
              </w:rPr>
              <w:t>2</w:t>
            </w:r>
          </w:p>
        </w:tc>
        <w:tc>
          <w:tcPr>
            <w:tcW w:w="1448" w:type="dxa"/>
            <w:shd w:val="clear" w:color="auto" w:fill="auto"/>
            <w:vAlign w:val="center"/>
          </w:tcPr>
          <w:p w14:paraId="783D8B40">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0.00</w:t>
            </w:r>
            <w:r>
              <w:rPr>
                <w:rFonts w:hint="eastAsia" w:cs="Times New Roman"/>
                <w:color w:val="auto"/>
                <w:sz w:val="21"/>
                <w:szCs w:val="21"/>
                <w:lang w:val="en-US" w:eastAsia="zh-CN"/>
              </w:rPr>
              <w:t>2</w:t>
            </w:r>
          </w:p>
        </w:tc>
      </w:tr>
      <w:tr w14:paraId="47EF3D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9" w:type="dxa"/>
            <w:vMerge w:val="continue"/>
            <w:vAlign w:val="center"/>
          </w:tcPr>
          <w:p w14:paraId="6FC15592">
            <w:pPr>
              <w:pStyle w:val="28"/>
              <w:spacing w:beforeLines="0" w:afterLines="0" w:line="240" w:lineRule="auto"/>
              <w:rPr>
                <w:rFonts w:ascii="Times New Roman"/>
                <w:snapToGrid w:val="0"/>
                <w:color w:val="auto"/>
                <w:kern w:val="21"/>
                <w:szCs w:val="21"/>
              </w:rPr>
            </w:pPr>
          </w:p>
        </w:tc>
        <w:tc>
          <w:tcPr>
            <w:tcW w:w="1736" w:type="dxa"/>
            <w:vAlign w:val="center"/>
          </w:tcPr>
          <w:p w14:paraId="6537092A">
            <w:pPr>
              <w:widowControl/>
              <w:adjustRightInd w:val="0"/>
              <w:snapToGrid w:val="0"/>
              <w:jc w:val="center"/>
              <w:rPr>
                <w:color w:val="auto"/>
                <w:kern w:val="0"/>
                <w:szCs w:val="21"/>
              </w:rPr>
            </w:pPr>
            <w:r>
              <w:rPr>
                <w:rFonts w:hint="eastAsia"/>
                <w:color w:val="auto"/>
                <w:kern w:val="0"/>
                <w:szCs w:val="21"/>
              </w:rPr>
              <w:t>T</w:t>
            </w:r>
            <w:r>
              <w:rPr>
                <w:color w:val="auto"/>
                <w:kern w:val="0"/>
                <w:szCs w:val="21"/>
              </w:rPr>
              <w:t>N</w:t>
            </w:r>
          </w:p>
        </w:tc>
        <w:tc>
          <w:tcPr>
            <w:tcW w:w="1596" w:type="dxa"/>
            <w:vAlign w:val="center"/>
          </w:tcPr>
          <w:p w14:paraId="5E3EC268">
            <w:pPr>
              <w:widowControl/>
              <w:adjustRightInd w:val="0"/>
              <w:snapToGrid w:val="0"/>
              <w:jc w:val="center"/>
              <w:rPr>
                <w:color w:val="auto"/>
                <w:kern w:val="0"/>
                <w:szCs w:val="21"/>
              </w:rPr>
            </w:pPr>
            <w:r>
              <w:rPr>
                <w:rFonts w:hint="eastAsia"/>
                <w:color w:val="auto"/>
                <w:kern w:val="0"/>
                <w:szCs w:val="21"/>
              </w:rPr>
              <w:t>/</w:t>
            </w:r>
          </w:p>
        </w:tc>
        <w:tc>
          <w:tcPr>
            <w:tcW w:w="1381" w:type="dxa"/>
            <w:shd w:val="clear" w:color="auto" w:fill="auto"/>
            <w:vAlign w:val="center"/>
          </w:tcPr>
          <w:p w14:paraId="13D3AE12">
            <w:pPr>
              <w:widowControl/>
              <w:adjustRightInd w:val="0"/>
              <w:snapToGrid w:val="0"/>
              <w:jc w:val="center"/>
              <w:rPr>
                <w:color w:val="auto"/>
                <w:kern w:val="0"/>
                <w:szCs w:val="21"/>
              </w:rPr>
            </w:pPr>
            <w:r>
              <w:rPr>
                <w:rFonts w:hint="eastAsia"/>
                <w:color w:val="auto"/>
                <w:kern w:val="0"/>
                <w:szCs w:val="21"/>
              </w:rPr>
              <w:t>/</w:t>
            </w:r>
          </w:p>
        </w:tc>
        <w:tc>
          <w:tcPr>
            <w:tcW w:w="1701" w:type="dxa"/>
            <w:shd w:val="clear" w:color="auto" w:fill="auto"/>
            <w:vAlign w:val="center"/>
          </w:tcPr>
          <w:p w14:paraId="6EA56B4B">
            <w:pPr>
              <w:widowControl/>
              <w:adjustRightInd w:val="0"/>
              <w:snapToGrid w:val="0"/>
              <w:jc w:val="center"/>
              <w:rPr>
                <w:color w:val="auto"/>
                <w:kern w:val="0"/>
                <w:szCs w:val="21"/>
              </w:rPr>
            </w:pPr>
            <w:r>
              <w:rPr>
                <w:rFonts w:hint="eastAsia"/>
                <w:color w:val="auto"/>
                <w:kern w:val="0"/>
                <w:szCs w:val="21"/>
              </w:rPr>
              <w:t>/</w:t>
            </w:r>
          </w:p>
        </w:tc>
        <w:tc>
          <w:tcPr>
            <w:tcW w:w="1559" w:type="dxa"/>
            <w:shd w:val="clear" w:color="auto" w:fill="auto"/>
            <w:vAlign w:val="center"/>
          </w:tcPr>
          <w:p w14:paraId="16AF393C">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0.0256</w:t>
            </w:r>
          </w:p>
        </w:tc>
        <w:tc>
          <w:tcPr>
            <w:tcW w:w="1761" w:type="dxa"/>
            <w:shd w:val="clear" w:color="auto" w:fill="auto"/>
            <w:vAlign w:val="center"/>
          </w:tcPr>
          <w:p w14:paraId="5FC4E039">
            <w:pPr>
              <w:widowControl/>
              <w:adjustRightInd w:val="0"/>
              <w:snapToGrid w:val="0"/>
              <w:jc w:val="center"/>
              <w:rPr>
                <w:color w:val="auto"/>
                <w:kern w:val="0"/>
                <w:szCs w:val="21"/>
              </w:rPr>
            </w:pPr>
            <w:r>
              <w:rPr>
                <w:rFonts w:hint="eastAsia"/>
                <w:color w:val="auto"/>
                <w:kern w:val="0"/>
                <w:szCs w:val="21"/>
              </w:rPr>
              <w:t>/</w:t>
            </w:r>
          </w:p>
        </w:tc>
        <w:tc>
          <w:tcPr>
            <w:tcW w:w="1650" w:type="dxa"/>
            <w:shd w:val="clear" w:color="auto" w:fill="auto"/>
            <w:vAlign w:val="center"/>
          </w:tcPr>
          <w:p w14:paraId="6F036763">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0.0256</w:t>
            </w:r>
          </w:p>
        </w:tc>
        <w:tc>
          <w:tcPr>
            <w:tcW w:w="1448" w:type="dxa"/>
            <w:shd w:val="clear" w:color="auto" w:fill="auto"/>
            <w:vAlign w:val="center"/>
          </w:tcPr>
          <w:p w14:paraId="7DFC917A">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+0.0256</w:t>
            </w:r>
          </w:p>
        </w:tc>
      </w:tr>
      <w:tr w14:paraId="5A41D6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269" w:type="dxa"/>
            <w:vMerge w:val="continue"/>
            <w:vAlign w:val="center"/>
          </w:tcPr>
          <w:p w14:paraId="379C473C">
            <w:pPr>
              <w:pStyle w:val="28"/>
              <w:spacing w:beforeLines="0" w:afterLines="0" w:line="240" w:lineRule="auto"/>
              <w:rPr>
                <w:rFonts w:ascii="Times New Roman"/>
                <w:snapToGrid w:val="0"/>
                <w:color w:val="auto"/>
                <w:kern w:val="21"/>
                <w:szCs w:val="21"/>
              </w:rPr>
            </w:pPr>
          </w:p>
        </w:tc>
        <w:tc>
          <w:tcPr>
            <w:tcW w:w="1736" w:type="dxa"/>
            <w:vAlign w:val="center"/>
          </w:tcPr>
          <w:p w14:paraId="30730867">
            <w:pPr>
              <w:widowControl/>
              <w:adjustRightInd w:val="0"/>
              <w:snapToGrid w:val="0"/>
              <w:jc w:val="center"/>
              <w:rPr>
                <w:color w:val="auto"/>
                <w:kern w:val="0"/>
                <w:szCs w:val="21"/>
              </w:rPr>
            </w:pPr>
            <w:r>
              <w:rPr>
                <w:rFonts w:hint="eastAsia"/>
                <w:color w:val="auto"/>
                <w:kern w:val="0"/>
                <w:szCs w:val="21"/>
              </w:rPr>
              <w:t>总余氯</w:t>
            </w:r>
          </w:p>
        </w:tc>
        <w:tc>
          <w:tcPr>
            <w:tcW w:w="1596" w:type="dxa"/>
            <w:vAlign w:val="center"/>
          </w:tcPr>
          <w:p w14:paraId="3C774711">
            <w:pPr>
              <w:widowControl/>
              <w:adjustRightInd w:val="0"/>
              <w:snapToGrid w:val="0"/>
              <w:jc w:val="center"/>
              <w:rPr>
                <w:color w:val="auto"/>
                <w:kern w:val="0"/>
                <w:szCs w:val="21"/>
              </w:rPr>
            </w:pPr>
            <w:r>
              <w:rPr>
                <w:rFonts w:hint="eastAsia"/>
                <w:color w:val="auto"/>
                <w:kern w:val="0"/>
                <w:szCs w:val="21"/>
              </w:rPr>
              <w:t>/</w:t>
            </w:r>
          </w:p>
        </w:tc>
        <w:tc>
          <w:tcPr>
            <w:tcW w:w="1381" w:type="dxa"/>
            <w:shd w:val="clear" w:color="auto" w:fill="auto"/>
            <w:vAlign w:val="center"/>
          </w:tcPr>
          <w:p w14:paraId="26EEF6D4">
            <w:pPr>
              <w:widowControl/>
              <w:adjustRightInd w:val="0"/>
              <w:snapToGrid w:val="0"/>
              <w:jc w:val="center"/>
              <w:rPr>
                <w:color w:val="auto"/>
                <w:kern w:val="0"/>
                <w:szCs w:val="21"/>
              </w:rPr>
            </w:pPr>
            <w:r>
              <w:rPr>
                <w:rFonts w:hint="eastAsia"/>
                <w:color w:val="auto"/>
                <w:kern w:val="0"/>
                <w:szCs w:val="21"/>
              </w:rPr>
              <w:t>/</w:t>
            </w:r>
          </w:p>
        </w:tc>
        <w:tc>
          <w:tcPr>
            <w:tcW w:w="1701" w:type="dxa"/>
            <w:shd w:val="clear" w:color="auto" w:fill="auto"/>
            <w:vAlign w:val="center"/>
          </w:tcPr>
          <w:p w14:paraId="636A83D4">
            <w:pPr>
              <w:widowControl/>
              <w:adjustRightInd w:val="0"/>
              <w:snapToGrid w:val="0"/>
              <w:jc w:val="center"/>
              <w:rPr>
                <w:color w:val="auto"/>
                <w:kern w:val="0"/>
                <w:szCs w:val="21"/>
              </w:rPr>
            </w:pPr>
            <w:r>
              <w:rPr>
                <w:rFonts w:hint="eastAsia"/>
                <w:color w:val="auto"/>
                <w:kern w:val="0"/>
                <w:szCs w:val="21"/>
              </w:rPr>
              <w:t>/</w:t>
            </w:r>
          </w:p>
        </w:tc>
        <w:tc>
          <w:tcPr>
            <w:tcW w:w="1559" w:type="dxa"/>
            <w:vAlign w:val="center"/>
          </w:tcPr>
          <w:p w14:paraId="0EABEF9D">
            <w:pPr>
              <w:widowControl/>
              <w:adjustRightInd w:val="0"/>
              <w:snapToGrid w:val="0"/>
              <w:jc w:val="center"/>
              <w:textAlignment w:val="center"/>
              <w:rPr>
                <w:color w:val="auto"/>
                <w:kern w:val="0"/>
                <w:szCs w:val="21"/>
                <w:lang w:bidi="ar"/>
              </w:rPr>
            </w:pPr>
            <w:r>
              <w:rPr>
                <w:color w:val="auto"/>
                <w:kern w:val="0"/>
                <w:szCs w:val="21"/>
                <w:lang w:bidi="ar"/>
              </w:rPr>
              <w:t>0.026</w:t>
            </w:r>
          </w:p>
        </w:tc>
        <w:tc>
          <w:tcPr>
            <w:tcW w:w="1761" w:type="dxa"/>
            <w:shd w:val="clear" w:color="auto" w:fill="auto"/>
            <w:vAlign w:val="center"/>
          </w:tcPr>
          <w:p w14:paraId="78BB463F">
            <w:pPr>
              <w:widowControl/>
              <w:adjustRightInd w:val="0"/>
              <w:snapToGrid w:val="0"/>
              <w:jc w:val="center"/>
              <w:rPr>
                <w:color w:val="auto"/>
                <w:kern w:val="0"/>
                <w:szCs w:val="21"/>
              </w:rPr>
            </w:pPr>
            <w:r>
              <w:rPr>
                <w:rFonts w:hint="eastAsia"/>
                <w:color w:val="auto"/>
                <w:kern w:val="0"/>
                <w:szCs w:val="21"/>
              </w:rPr>
              <w:t>/</w:t>
            </w:r>
          </w:p>
        </w:tc>
        <w:tc>
          <w:tcPr>
            <w:tcW w:w="1650" w:type="dxa"/>
            <w:shd w:val="clear" w:color="auto" w:fill="auto"/>
            <w:vAlign w:val="center"/>
          </w:tcPr>
          <w:p w14:paraId="2913DC22">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0.026</w:t>
            </w:r>
          </w:p>
        </w:tc>
        <w:tc>
          <w:tcPr>
            <w:tcW w:w="1448" w:type="dxa"/>
            <w:shd w:val="clear" w:color="auto" w:fill="auto"/>
            <w:vAlign w:val="center"/>
          </w:tcPr>
          <w:p w14:paraId="4846FEA1">
            <w:pPr>
              <w:widowControl/>
              <w:adjustRightInd w:val="0"/>
              <w:snapToGrid w:val="0"/>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bidi="ar"/>
              </w:rPr>
              <w:t>+</w:t>
            </w:r>
            <w:r>
              <w:rPr>
                <w:color w:val="auto"/>
                <w:kern w:val="0"/>
                <w:szCs w:val="21"/>
                <w:lang w:bidi="ar"/>
              </w:rPr>
              <w:t>0.026</w:t>
            </w:r>
          </w:p>
        </w:tc>
      </w:tr>
      <w:tr w14:paraId="4A441A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269" w:type="dxa"/>
            <w:vMerge w:val="continue"/>
            <w:vAlign w:val="center"/>
          </w:tcPr>
          <w:p w14:paraId="04F1FDA1">
            <w:pPr>
              <w:pStyle w:val="28"/>
              <w:spacing w:beforeLines="0" w:afterLines="0" w:line="240" w:lineRule="auto"/>
              <w:rPr>
                <w:rFonts w:ascii="Times New Roman"/>
                <w:snapToGrid w:val="0"/>
                <w:color w:val="auto"/>
                <w:kern w:val="21"/>
                <w:szCs w:val="21"/>
              </w:rPr>
            </w:pPr>
          </w:p>
        </w:tc>
        <w:tc>
          <w:tcPr>
            <w:tcW w:w="1736" w:type="dxa"/>
            <w:vAlign w:val="center"/>
          </w:tcPr>
          <w:p w14:paraId="3E902ABC">
            <w:pPr>
              <w:widowControl/>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LAS</w:t>
            </w:r>
          </w:p>
        </w:tc>
        <w:tc>
          <w:tcPr>
            <w:tcW w:w="1596" w:type="dxa"/>
            <w:vAlign w:val="center"/>
          </w:tcPr>
          <w:p w14:paraId="1DCF0340">
            <w:pPr>
              <w:widowControl/>
              <w:adjustRightInd w:val="0"/>
              <w:snapToGrid w:val="0"/>
              <w:jc w:val="center"/>
              <w:rPr>
                <w:rFonts w:hint="eastAsia"/>
                <w:color w:val="auto"/>
                <w:kern w:val="0"/>
                <w:szCs w:val="21"/>
              </w:rPr>
            </w:pPr>
            <w:r>
              <w:rPr>
                <w:rFonts w:hint="eastAsia"/>
                <w:color w:val="auto"/>
                <w:kern w:val="0"/>
                <w:szCs w:val="21"/>
              </w:rPr>
              <w:t>/</w:t>
            </w:r>
          </w:p>
        </w:tc>
        <w:tc>
          <w:tcPr>
            <w:tcW w:w="1381" w:type="dxa"/>
            <w:shd w:val="clear" w:color="auto" w:fill="auto"/>
            <w:vAlign w:val="center"/>
          </w:tcPr>
          <w:p w14:paraId="5128382B">
            <w:pPr>
              <w:widowControl/>
              <w:adjustRightInd w:val="0"/>
              <w:snapToGrid w:val="0"/>
              <w:jc w:val="center"/>
              <w:rPr>
                <w:rFonts w:hint="eastAsia"/>
                <w:color w:val="auto"/>
                <w:kern w:val="0"/>
                <w:szCs w:val="21"/>
              </w:rPr>
            </w:pPr>
            <w:r>
              <w:rPr>
                <w:rFonts w:hint="eastAsia"/>
                <w:color w:val="auto"/>
                <w:kern w:val="0"/>
                <w:szCs w:val="21"/>
              </w:rPr>
              <w:t>/</w:t>
            </w:r>
          </w:p>
        </w:tc>
        <w:tc>
          <w:tcPr>
            <w:tcW w:w="1701" w:type="dxa"/>
            <w:shd w:val="clear" w:color="auto" w:fill="auto"/>
            <w:vAlign w:val="center"/>
          </w:tcPr>
          <w:p w14:paraId="197308D6">
            <w:pPr>
              <w:widowControl/>
              <w:adjustRightInd w:val="0"/>
              <w:snapToGrid w:val="0"/>
              <w:jc w:val="center"/>
              <w:rPr>
                <w:rFonts w:hint="eastAsia"/>
                <w:color w:val="auto"/>
                <w:kern w:val="0"/>
                <w:szCs w:val="21"/>
              </w:rPr>
            </w:pPr>
            <w:r>
              <w:rPr>
                <w:rFonts w:hint="eastAsia"/>
                <w:color w:val="auto"/>
                <w:kern w:val="0"/>
                <w:szCs w:val="21"/>
              </w:rPr>
              <w:t>/</w:t>
            </w:r>
          </w:p>
        </w:tc>
        <w:tc>
          <w:tcPr>
            <w:tcW w:w="1559" w:type="dxa"/>
            <w:vAlign w:val="center"/>
          </w:tcPr>
          <w:p w14:paraId="64499FFC">
            <w:pPr>
              <w:widowControl/>
              <w:adjustRightInd w:val="0"/>
              <w:snapToGrid w:val="0"/>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0.0005</w:t>
            </w:r>
          </w:p>
        </w:tc>
        <w:tc>
          <w:tcPr>
            <w:tcW w:w="1761" w:type="dxa"/>
            <w:shd w:val="clear" w:color="auto" w:fill="auto"/>
            <w:vAlign w:val="center"/>
          </w:tcPr>
          <w:p w14:paraId="309788F2">
            <w:pPr>
              <w:widowControl/>
              <w:adjustRightInd w:val="0"/>
              <w:snapToGrid w:val="0"/>
              <w:jc w:val="center"/>
              <w:rPr>
                <w:rFonts w:hint="eastAsia"/>
                <w:color w:val="auto"/>
                <w:kern w:val="0"/>
                <w:szCs w:val="21"/>
              </w:rPr>
            </w:pPr>
            <w:r>
              <w:rPr>
                <w:rFonts w:hint="eastAsia"/>
                <w:color w:val="auto"/>
                <w:kern w:val="0"/>
                <w:szCs w:val="21"/>
              </w:rPr>
              <w:t>/</w:t>
            </w:r>
          </w:p>
        </w:tc>
        <w:tc>
          <w:tcPr>
            <w:tcW w:w="1650" w:type="dxa"/>
            <w:shd w:val="clear" w:color="auto" w:fill="auto"/>
            <w:vAlign w:val="center"/>
          </w:tcPr>
          <w:p w14:paraId="375824B2">
            <w:pPr>
              <w:widowControl/>
              <w:adjustRightInd w:val="0"/>
              <w:snapToGrid w:val="0"/>
              <w:jc w:val="center"/>
              <w:textAlignment w:val="center"/>
              <w:rPr>
                <w:color w:val="auto"/>
                <w:kern w:val="0"/>
                <w:szCs w:val="21"/>
                <w:lang w:bidi="ar"/>
              </w:rPr>
            </w:pPr>
            <w:r>
              <w:rPr>
                <w:rFonts w:hint="eastAsia"/>
                <w:color w:val="auto"/>
                <w:kern w:val="0"/>
                <w:szCs w:val="21"/>
                <w:lang w:val="en-US" w:eastAsia="zh-CN" w:bidi="ar"/>
              </w:rPr>
              <w:t>0.0005</w:t>
            </w:r>
          </w:p>
        </w:tc>
        <w:tc>
          <w:tcPr>
            <w:tcW w:w="1448" w:type="dxa"/>
            <w:shd w:val="clear" w:color="auto" w:fill="auto"/>
            <w:vAlign w:val="center"/>
          </w:tcPr>
          <w:p w14:paraId="69174819">
            <w:pPr>
              <w:widowControl/>
              <w:adjustRightInd w:val="0"/>
              <w:snapToGrid w:val="0"/>
              <w:jc w:val="center"/>
              <w:textAlignment w:val="center"/>
              <w:rPr>
                <w:rFonts w:hint="eastAsia"/>
                <w:color w:val="auto"/>
                <w:kern w:val="0"/>
                <w:szCs w:val="21"/>
                <w:lang w:bidi="ar"/>
              </w:rPr>
            </w:pPr>
            <w:r>
              <w:rPr>
                <w:rFonts w:hint="eastAsia"/>
                <w:color w:val="auto"/>
                <w:kern w:val="0"/>
                <w:szCs w:val="21"/>
                <w:lang w:val="en-US" w:eastAsia="zh-CN" w:bidi="ar"/>
              </w:rPr>
              <w:t>0.0005</w:t>
            </w:r>
          </w:p>
        </w:tc>
      </w:tr>
      <w:tr w14:paraId="28D036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269" w:type="dxa"/>
            <w:vMerge w:val="restart"/>
            <w:vAlign w:val="center"/>
          </w:tcPr>
          <w:p w14:paraId="259C4C10">
            <w:pPr>
              <w:pStyle w:val="28"/>
              <w:spacing w:beforeLines="0" w:afterLines="0" w:line="240" w:lineRule="auto"/>
              <w:rPr>
                <w:rFonts w:ascii="Times New Roman"/>
                <w:snapToGrid w:val="0"/>
                <w:color w:val="auto"/>
                <w:kern w:val="21"/>
                <w:szCs w:val="21"/>
              </w:rPr>
            </w:pPr>
            <w:r>
              <w:rPr>
                <w:rFonts w:ascii="Times New Roman"/>
                <w:snapToGrid w:val="0"/>
                <w:color w:val="auto"/>
                <w:kern w:val="21"/>
                <w:szCs w:val="21"/>
              </w:rPr>
              <w:t>固体废物</w:t>
            </w:r>
          </w:p>
        </w:tc>
        <w:tc>
          <w:tcPr>
            <w:tcW w:w="1736" w:type="dxa"/>
            <w:shd w:val="clear" w:color="auto" w:fill="auto"/>
            <w:vAlign w:val="center"/>
          </w:tcPr>
          <w:p w14:paraId="34A4E5FB">
            <w:pPr>
              <w:pStyle w:val="28"/>
              <w:spacing w:beforeLines="0" w:afterLines="0" w:line="240" w:lineRule="auto"/>
              <w:rPr>
                <w:rFonts w:ascii="Times New Roman"/>
                <w:snapToGrid w:val="0"/>
                <w:color w:val="auto"/>
                <w:kern w:val="21"/>
                <w:szCs w:val="21"/>
              </w:rPr>
            </w:pPr>
            <w:r>
              <w:rPr>
                <w:rFonts w:hint="eastAsia" w:ascii="Times New Roman"/>
                <w:snapToGrid w:val="0"/>
                <w:color w:val="auto"/>
                <w:kern w:val="21"/>
                <w:szCs w:val="21"/>
                <w:lang w:val="en-US" w:eastAsia="zh-CN"/>
              </w:rPr>
              <w:t>未污染的</w:t>
            </w:r>
            <w:r>
              <w:rPr>
                <w:rFonts w:ascii="Times New Roman"/>
                <w:snapToGrid w:val="0"/>
                <w:color w:val="auto"/>
                <w:kern w:val="21"/>
                <w:szCs w:val="21"/>
              </w:rPr>
              <w:t>输液瓶袋</w:t>
            </w:r>
          </w:p>
        </w:tc>
        <w:tc>
          <w:tcPr>
            <w:tcW w:w="1596" w:type="dxa"/>
            <w:vAlign w:val="center"/>
          </w:tcPr>
          <w:p w14:paraId="44CF694B">
            <w:pPr>
              <w:widowControl/>
              <w:adjustRightInd w:val="0"/>
              <w:snapToGrid w:val="0"/>
              <w:jc w:val="center"/>
              <w:rPr>
                <w:color w:val="auto"/>
                <w:kern w:val="0"/>
                <w:szCs w:val="21"/>
              </w:rPr>
            </w:pPr>
            <w:r>
              <w:rPr>
                <w:rFonts w:hint="eastAsia"/>
                <w:color w:val="auto"/>
                <w:kern w:val="0"/>
                <w:szCs w:val="21"/>
              </w:rPr>
              <w:t>/</w:t>
            </w:r>
          </w:p>
        </w:tc>
        <w:tc>
          <w:tcPr>
            <w:tcW w:w="1381" w:type="dxa"/>
            <w:shd w:val="clear" w:color="auto" w:fill="auto"/>
            <w:vAlign w:val="center"/>
          </w:tcPr>
          <w:p w14:paraId="771BC244">
            <w:pPr>
              <w:widowControl/>
              <w:adjustRightInd w:val="0"/>
              <w:snapToGrid w:val="0"/>
              <w:jc w:val="center"/>
              <w:rPr>
                <w:color w:val="auto"/>
                <w:kern w:val="0"/>
                <w:szCs w:val="21"/>
              </w:rPr>
            </w:pPr>
            <w:r>
              <w:rPr>
                <w:rFonts w:hint="eastAsia"/>
                <w:color w:val="auto"/>
                <w:kern w:val="0"/>
                <w:szCs w:val="21"/>
              </w:rPr>
              <w:t>/</w:t>
            </w:r>
          </w:p>
        </w:tc>
        <w:tc>
          <w:tcPr>
            <w:tcW w:w="1701" w:type="dxa"/>
            <w:shd w:val="clear" w:color="auto" w:fill="auto"/>
            <w:vAlign w:val="center"/>
          </w:tcPr>
          <w:p w14:paraId="285AB830">
            <w:pPr>
              <w:widowControl/>
              <w:adjustRightInd w:val="0"/>
              <w:snapToGrid w:val="0"/>
              <w:jc w:val="center"/>
              <w:rPr>
                <w:color w:val="auto"/>
                <w:kern w:val="0"/>
                <w:szCs w:val="21"/>
              </w:rPr>
            </w:pPr>
            <w:r>
              <w:rPr>
                <w:rFonts w:hint="eastAsia"/>
                <w:color w:val="auto"/>
                <w:kern w:val="0"/>
                <w:szCs w:val="21"/>
              </w:rPr>
              <w:t>/</w:t>
            </w:r>
          </w:p>
        </w:tc>
        <w:tc>
          <w:tcPr>
            <w:tcW w:w="1559" w:type="dxa"/>
            <w:shd w:val="clear" w:color="auto" w:fill="auto"/>
            <w:vAlign w:val="center"/>
          </w:tcPr>
          <w:p w14:paraId="1DC1CF16">
            <w:pPr>
              <w:pStyle w:val="25"/>
              <w:overflowPunct w:val="0"/>
              <w:autoSpaceDE/>
              <w:autoSpaceDN/>
              <w:snapToGrid w:val="0"/>
              <w:jc w:val="center"/>
              <w:rPr>
                <w:rFonts w:ascii="Times New Roman" w:cs="Times New Roman"/>
                <w:color w:val="auto"/>
                <w:kern w:val="21"/>
                <w:sz w:val="21"/>
                <w:szCs w:val="21"/>
              </w:rPr>
            </w:pPr>
            <w:r>
              <w:rPr>
                <w:rFonts w:ascii="Times New Roman" w:cs="Times New Roman"/>
                <w:color w:val="auto"/>
                <w:kern w:val="21"/>
                <w:sz w:val="21"/>
                <w:szCs w:val="21"/>
              </w:rPr>
              <w:t>0.08</w:t>
            </w:r>
          </w:p>
        </w:tc>
        <w:tc>
          <w:tcPr>
            <w:tcW w:w="1761" w:type="dxa"/>
            <w:shd w:val="clear" w:color="auto" w:fill="auto"/>
            <w:vAlign w:val="center"/>
          </w:tcPr>
          <w:p w14:paraId="6321A1F9">
            <w:pPr>
              <w:widowControl/>
              <w:adjustRightInd w:val="0"/>
              <w:snapToGrid w:val="0"/>
              <w:jc w:val="center"/>
              <w:rPr>
                <w:color w:val="auto"/>
                <w:kern w:val="0"/>
                <w:szCs w:val="21"/>
              </w:rPr>
            </w:pPr>
            <w:r>
              <w:rPr>
                <w:rFonts w:hint="eastAsia"/>
                <w:color w:val="auto"/>
                <w:kern w:val="0"/>
                <w:szCs w:val="21"/>
              </w:rPr>
              <w:t>/</w:t>
            </w:r>
          </w:p>
        </w:tc>
        <w:tc>
          <w:tcPr>
            <w:tcW w:w="1650" w:type="dxa"/>
            <w:shd w:val="clear" w:color="auto" w:fill="auto"/>
            <w:vAlign w:val="center"/>
          </w:tcPr>
          <w:p w14:paraId="10B25545">
            <w:pPr>
              <w:pStyle w:val="25"/>
              <w:overflowPunct w:val="0"/>
              <w:autoSpaceDE/>
              <w:autoSpaceDN/>
              <w:snapToGrid w:val="0"/>
              <w:jc w:val="center"/>
              <w:rPr>
                <w:rFonts w:ascii="Times New Roman" w:cs="Times New Roman"/>
                <w:color w:val="auto"/>
                <w:kern w:val="21"/>
                <w:sz w:val="21"/>
                <w:szCs w:val="21"/>
              </w:rPr>
            </w:pPr>
            <w:r>
              <w:rPr>
                <w:rFonts w:ascii="Times New Roman" w:cs="Times New Roman"/>
                <w:color w:val="auto"/>
                <w:kern w:val="21"/>
                <w:sz w:val="21"/>
                <w:szCs w:val="21"/>
              </w:rPr>
              <w:t>0.08</w:t>
            </w:r>
          </w:p>
        </w:tc>
        <w:tc>
          <w:tcPr>
            <w:tcW w:w="1448" w:type="dxa"/>
            <w:shd w:val="clear" w:color="auto" w:fill="auto"/>
            <w:vAlign w:val="center"/>
          </w:tcPr>
          <w:p w14:paraId="59C7E451">
            <w:pPr>
              <w:pStyle w:val="25"/>
              <w:overflowPunct w:val="0"/>
              <w:autoSpaceDE/>
              <w:autoSpaceDN/>
              <w:snapToGrid w:val="0"/>
              <w:jc w:val="center"/>
              <w:rPr>
                <w:rFonts w:ascii="Times New Roman" w:cs="Times New Roman"/>
                <w:color w:val="auto"/>
                <w:kern w:val="21"/>
                <w:sz w:val="21"/>
                <w:szCs w:val="21"/>
              </w:rPr>
            </w:pPr>
            <w:r>
              <w:rPr>
                <w:rFonts w:hint="eastAsia" w:ascii="Times New Roman" w:cs="Times New Roman"/>
                <w:color w:val="auto"/>
                <w:kern w:val="0"/>
                <w:sz w:val="21"/>
                <w:szCs w:val="21"/>
                <w:lang w:bidi="ar"/>
              </w:rPr>
              <w:t>+</w:t>
            </w:r>
            <w:r>
              <w:rPr>
                <w:rFonts w:ascii="Times New Roman" w:cs="Times New Roman"/>
                <w:color w:val="auto"/>
                <w:kern w:val="21"/>
                <w:sz w:val="21"/>
                <w:szCs w:val="21"/>
              </w:rPr>
              <w:t>0.08</w:t>
            </w:r>
          </w:p>
        </w:tc>
      </w:tr>
      <w:tr w14:paraId="6B9C9A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9" w:type="dxa"/>
            <w:vMerge w:val="continue"/>
            <w:vAlign w:val="center"/>
          </w:tcPr>
          <w:p w14:paraId="1649CD6E">
            <w:pPr>
              <w:pStyle w:val="28"/>
              <w:spacing w:beforeLines="0" w:afterLines="0" w:line="240" w:lineRule="auto"/>
              <w:rPr>
                <w:rFonts w:ascii="Times New Roman"/>
                <w:snapToGrid w:val="0"/>
                <w:color w:val="auto"/>
                <w:kern w:val="21"/>
                <w:szCs w:val="21"/>
              </w:rPr>
            </w:pPr>
          </w:p>
        </w:tc>
        <w:tc>
          <w:tcPr>
            <w:tcW w:w="1736" w:type="dxa"/>
            <w:shd w:val="clear" w:color="auto" w:fill="auto"/>
            <w:vAlign w:val="center"/>
          </w:tcPr>
          <w:p w14:paraId="41B8CB61">
            <w:pPr>
              <w:pStyle w:val="2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药品包装盒</w:t>
            </w:r>
          </w:p>
        </w:tc>
        <w:tc>
          <w:tcPr>
            <w:tcW w:w="1596" w:type="dxa"/>
            <w:vAlign w:val="center"/>
          </w:tcPr>
          <w:p w14:paraId="728720C4">
            <w:pPr>
              <w:widowControl/>
              <w:adjustRightInd w:val="0"/>
              <w:snapToGrid w:val="0"/>
              <w:jc w:val="center"/>
              <w:rPr>
                <w:color w:val="auto"/>
                <w:kern w:val="0"/>
                <w:szCs w:val="21"/>
              </w:rPr>
            </w:pPr>
            <w:r>
              <w:rPr>
                <w:rFonts w:hint="eastAsia"/>
                <w:color w:val="auto"/>
                <w:kern w:val="0"/>
                <w:szCs w:val="21"/>
              </w:rPr>
              <w:t>/</w:t>
            </w:r>
          </w:p>
        </w:tc>
        <w:tc>
          <w:tcPr>
            <w:tcW w:w="1381" w:type="dxa"/>
            <w:shd w:val="clear" w:color="auto" w:fill="auto"/>
            <w:vAlign w:val="center"/>
          </w:tcPr>
          <w:p w14:paraId="694A6115">
            <w:pPr>
              <w:widowControl/>
              <w:adjustRightInd w:val="0"/>
              <w:snapToGrid w:val="0"/>
              <w:jc w:val="center"/>
              <w:rPr>
                <w:color w:val="auto"/>
                <w:kern w:val="0"/>
                <w:szCs w:val="21"/>
              </w:rPr>
            </w:pPr>
            <w:r>
              <w:rPr>
                <w:rFonts w:hint="eastAsia"/>
                <w:color w:val="auto"/>
                <w:kern w:val="0"/>
                <w:szCs w:val="21"/>
              </w:rPr>
              <w:t>/</w:t>
            </w:r>
          </w:p>
        </w:tc>
        <w:tc>
          <w:tcPr>
            <w:tcW w:w="1701" w:type="dxa"/>
            <w:shd w:val="clear" w:color="auto" w:fill="auto"/>
            <w:vAlign w:val="center"/>
          </w:tcPr>
          <w:p w14:paraId="0CBC717F">
            <w:pPr>
              <w:widowControl/>
              <w:adjustRightInd w:val="0"/>
              <w:snapToGrid w:val="0"/>
              <w:jc w:val="center"/>
              <w:rPr>
                <w:color w:val="auto"/>
                <w:kern w:val="0"/>
                <w:szCs w:val="21"/>
              </w:rPr>
            </w:pPr>
            <w:r>
              <w:rPr>
                <w:rFonts w:hint="eastAsia"/>
                <w:color w:val="auto"/>
                <w:kern w:val="0"/>
                <w:szCs w:val="21"/>
              </w:rPr>
              <w:t>/</w:t>
            </w:r>
          </w:p>
        </w:tc>
        <w:tc>
          <w:tcPr>
            <w:tcW w:w="1559" w:type="dxa"/>
            <w:shd w:val="clear" w:color="auto" w:fill="auto"/>
            <w:vAlign w:val="center"/>
          </w:tcPr>
          <w:p w14:paraId="33F7BC64">
            <w:pPr>
              <w:pStyle w:val="25"/>
              <w:overflowPunct w:val="0"/>
              <w:autoSpaceDE/>
              <w:autoSpaceDN/>
              <w:snapToGrid w:val="0"/>
              <w:jc w:val="center"/>
              <w:rPr>
                <w:rFonts w:ascii="Times New Roman" w:cs="Times New Roman"/>
                <w:color w:val="auto"/>
                <w:kern w:val="21"/>
                <w:sz w:val="21"/>
                <w:szCs w:val="21"/>
              </w:rPr>
            </w:pPr>
            <w:r>
              <w:rPr>
                <w:rFonts w:ascii="Times New Roman" w:cs="Times New Roman"/>
                <w:color w:val="auto"/>
                <w:kern w:val="21"/>
                <w:sz w:val="21"/>
                <w:szCs w:val="21"/>
              </w:rPr>
              <w:t>0.01</w:t>
            </w:r>
          </w:p>
        </w:tc>
        <w:tc>
          <w:tcPr>
            <w:tcW w:w="1761" w:type="dxa"/>
            <w:shd w:val="clear" w:color="auto" w:fill="auto"/>
            <w:vAlign w:val="center"/>
          </w:tcPr>
          <w:p w14:paraId="1149D9C4">
            <w:pPr>
              <w:widowControl/>
              <w:adjustRightInd w:val="0"/>
              <w:snapToGrid w:val="0"/>
              <w:jc w:val="center"/>
              <w:rPr>
                <w:color w:val="auto"/>
                <w:kern w:val="0"/>
                <w:szCs w:val="21"/>
              </w:rPr>
            </w:pPr>
            <w:r>
              <w:rPr>
                <w:rFonts w:hint="eastAsia"/>
                <w:color w:val="auto"/>
                <w:kern w:val="0"/>
                <w:szCs w:val="21"/>
              </w:rPr>
              <w:t>/</w:t>
            </w:r>
          </w:p>
        </w:tc>
        <w:tc>
          <w:tcPr>
            <w:tcW w:w="1650" w:type="dxa"/>
            <w:shd w:val="clear" w:color="auto" w:fill="auto"/>
            <w:vAlign w:val="center"/>
          </w:tcPr>
          <w:p w14:paraId="6569728E">
            <w:pPr>
              <w:pStyle w:val="25"/>
              <w:overflowPunct w:val="0"/>
              <w:autoSpaceDE/>
              <w:autoSpaceDN/>
              <w:snapToGrid w:val="0"/>
              <w:jc w:val="center"/>
              <w:rPr>
                <w:rFonts w:ascii="Times New Roman" w:cs="Times New Roman"/>
                <w:color w:val="auto"/>
                <w:kern w:val="21"/>
                <w:sz w:val="21"/>
                <w:szCs w:val="21"/>
              </w:rPr>
            </w:pPr>
            <w:r>
              <w:rPr>
                <w:rFonts w:ascii="Times New Roman" w:cs="Times New Roman"/>
                <w:color w:val="auto"/>
                <w:kern w:val="21"/>
                <w:sz w:val="21"/>
                <w:szCs w:val="21"/>
              </w:rPr>
              <w:t>0.01</w:t>
            </w:r>
          </w:p>
        </w:tc>
        <w:tc>
          <w:tcPr>
            <w:tcW w:w="1448" w:type="dxa"/>
            <w:shd w:val="clear" w:color="auto" w:fill="auto"/>
            <w:vAlign w:val="center"/>
          </w:tcPr>
          <w:p w14:paraId="48BDD803">
            <w:pPr>
              <w:pStyle w:val="25"/>
              <w:overflowPunct w:val="0"/>
              <w:autoSpaceDE/>
              <w:autoSpaceDN/>
              <w:snapToGrid w:val="0"/>
              <w:jc w:val="center"/>
              <w:rPr>
                <w:rFonts w:ascii="Times New Roman" w:cs="Times New Roman"/>
                <w:color w:val="auto"/>
                <w:kern w:val="21"/>
                <w:sz w:val="21"/>
                <w:szCs w:val="21"/>
              </w:rPr>
            </w:pPr>
            <w:r>
              <w:rPr>
                <w:rFonts w:hint="eastAsia" w:ascii="Times New Roman" w:cs="Times New Roman"/>
                <w:color w:val="auto"/>
                <w:kern w:val="0"/>
                <w:sz w:val="21"/>
                <w:szCs w:val="21"/>
                <w:lang w:bidi="ar"/>
              </w:rPr>
              <w:t>+</w:t>
            </w:r>
            <w:r>
              <w:rPr>
                <w:rFonts w:ascii="Times New Roman" w:cs="Times New Roman"/>
                <w:color w:val="auto"/>
                <w:kern w:val="21"/>
                <w:sz w:val="21"/>
                <w:szCs w:val="21"/>
              </w:rPr>
              <w:t>0.01</w:t>
            </w:r>
          </w:p>
        </w:tc>
      </w:tr>
      <w:tr w14:paraId="6725CC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9" w:type="dxa"/>
            <w:vMerge w:val="continue"/>
            <w:vAlign w:val="center"/>
          </w:tcPr>
          <w:p w14:paraId="491A52AD">
            <w:pPr>
              <w:pStyle w:val="28"/>
              <w:spacing w:beforeLines="0" w:afterLines="0" w:line="240" w:lineRule="auto"/>
              <w:rPr>
                <w:rFonts w:ascii="Times New Roman"/>
                <w:snapToGrid w:val="0"/>
                <w:color w:val="auto"/>
                <w:kern w:val="21"/>
                <w:szCs w:val="21"/>
              </w:rPr>
            </w:pPr>
          </w:p>
        </w:tc>
        <w:tc>
          <w:tcPr>
            <w:tcW w:w="1736" w:type="dxa"/>
            <w:shd w:val="clear" w:color="auto" w:fill="auto"/>
            <w:vAlign w:val="center"/>
          </w:tcPr>
          <w:p w14:paraId="328A1A29">
            <w:pPr>
              <w:adjustRightInd w:val="0"/>
              <w:snapToGrid w:val="0"/>
              <w:jc w:val="center"/>
              <w:rPr>
                <w:color w:val="auto"/>
                <w:szCs w:val="21"/>
              </w:rPr>
            </w:pPr>
            <w:r>
              <w:rPr>
                <w:rFonts w:hint="eastAsia"/>
                <w:color w:val="auto"/>
                <w:szCs w:val="21"/>
              </w:rPr>
              <w:t>中药渣</w:t>
            </w:r>
          </w:p>
        </w:tc>
        <w:tc>
          <w:tcPr>
            <w:tcW w:w="1596" w:type="dxa"/>
            <w:vAlign w:val="center"/>
          </w:tcPr>
          <w:p w14:paraId="698FB65F">
            <w:pPr>
              <w:widowControl/>
              <w:adjustRightInd w:val="0"/>
              <w:snapToGrid w:val="0"/>
              <w:jc w:val="center"/>
              <w:rPr>
                <w:color w:val="auto"/>
                <w:kern w:val="0"/>
                <w:szCs w:val="21"/>
              </w:rPr>
            </w:pPr>
            <w:r>
              <w:rPr>
                <w:rFonts w:hint="eastAsia"/>
                <w:color w:val="auto"/>
                <w:kern w:val="0"/>
                <w:szCs w:val="21"/>
              </w:rPr>
              <w:t>/</w:t>
            </w:r>
          </w:p>
        </w:tc>
        <w:tc>
          <w:tcPr>
            <w:tcW w:w="1381" w:type="dxa"/>
            <w:shd w:val="clear" w:color="auto" w:fill="auto"/>
            <w:vAlign w:val="center"/>
          </w:tcPr>
          <w:p w14:paraId="11034532">
            <w:pPr>
              <w:widowControl/>
              <w:adjustRightInd w:val="0"/>
              <w:snapToGrid w:val="0"/>
              <w:jc w:val="center"/>
              <w:rPr>
                <w:color w:val="auto"/>
                <w:kern w:val="0"/>
                <w:szCs w:val="21"/>
              </w:rPr>
            </w:pPr>
            <w:r>
              <w:rPr>
                <w:rFonts w:hint="eastAsia"/>
                <w:color w:val="auto"/>
                <w:kern w:val="0"/>
                <w:szCs w:val="21"/>
              </w:rPr>
              <w:t>/</w:t>
            </w:r>
          </w:p>
        </w:tc>
        <w:tc>
          <w:tcPr>
            <w:tcW w:w="1701" w:type="dxa"/>
            <w:shd w:val="clear" w:color="auto" w:fill="auto"/>
            <w:vAlign w:val="center"/>
          </w:tcPr>
          <w:p w14:paraId="76E76D2B">
            <w:pPr>
              <w:widowControl/>
              <w:adjustRightInd w:val="0"/>
              <w:snapToGrid w:val="0"/>
              <w:jc w:val="center"/>
              <w:rPr>
                <w:color w:val="auto"/>
                <w:kern w:val="0"/>
                <w:szCs w:val="21"/>
              </w:rPr>
            </w:pPr>
            <w:r>
              <w:rPr>
                <w:rFonts w:hint="eastAsia"/>
                <w:color w:val="auto"/>
                <w:kern w:val="0"/>
                <w:szCs w:val="21"/>
              </w:rPr>
              <w:t>/</w:t>
            </w:r>
          </w:p>
        </w:tc>
        <w:tc>
          <w:tcPr>
            <w:tcW w:w="1559" w:type="dxa"/>
            <w:shd w:val="clear" w:color="auto" w:fill="auto"/>
            <w:vAlign w:val="center"/>
          </w:tcPr>
          <w:p w14:paraId="3C00C26D">
            <w:pPr>
              <w:pStyle w:val="25"/>
              <w:overflowPunct w:val="0"/>
              <w:autoSpaceDE/>
              <w:autoSpaceDN/>
              <w:snapToGrid w:val="0"/>
              <w:jc w:val="center"/>
              <w:rPr>
                <w:rFonts w:ascii="Times New Roman" w:cs="Times New Roman"/>
                <w:color w:val="auto"/>
                <w:kern w:val="21"/>
                <w:sz w:val="21"/>
                <w:szCs w:val="21"/>
              </w:rPr>
            </w:pPr>
            <w:r>
              <w:rPr>
                <w:rFonts w:ascii="Times New Roman" w:cs="Times New Roman"/>
                <w:color w:val="auto"/>
                <w:kern w:val="21"/>
                <w:sz w:val="21"/>
                <w:szCs w:val="21"/>
              </w:rPr>
              <w:t>0.06</w:t>
            </w:r>
          </w:p>
        </w:tc>
        <w:tc>
          <w:tcPr>
            <w:tcW w:w="1761" w:type="dxa"/>
            <w:shd w:val="clear" w:color="auto" w:fill="auto"/>
            <w:vAlign w:val="center"/>
          </w:tcPr>
          <w:p w14:paraId="75BC9656">
            <w:pPr>
              <w:widowControl/>
              <w:adjustRightInd w:val="0"/>
              <w:snapToGrid w:val="0"/>
              <w:jc w:val="center"/>
              <w:rPr>
                <w:color w:val="auto"/>
                <w:kern w:val="0"/>
                <w:szCs w:val="21"/>
              </w:rPr>
            </w:pPr>
            <w:r>
              <w:rPr>
                <w:rFonts w:hint="eastAsia"/>
                <w:color w:val="auto"/>
                <w:kern w:val="0"/>
                <w:szCs w:val="21"/>
              </w:rPr>
              <w:t>/</w:t>
            </w:r>
          </w:p>
        </w:tc>
        <w:tc>
          <w:tcPr>
            <w:tcW w:w="1650" w:type="dxa"/>
            <w:shd w:val="clear" w:color="auto" w:fill="auto"/>
            <w:vAlign w:val="center"/>
          </w:tcPr>
          <w:p w14:paraId="7D2FD3C0">
            <w:pPr>
              <w:pStyle w:val="25"/>
              <w:overflowPunct w:val="0"/>
              <w:autoSpaceDE/>
              <w:autoSpaceDN/>
              <w:snapToGrid w:val="0"/>
              <w:jc w:val="center"/>
              <w:rPr>
                <w:rFonts w:ascii="Times New Roman" w:cs="Times New Roman"/>
                <w:color w:val="auto"/>
                <w:kern w:val="21"/>
                <w:sz w:val="21"/>
                <w:szCs w:val="21"/>
              </w:rPr>
            </w:pPr>
            <w:r>
              <w:rPr>
                <w:rFonts w:ascii="Times New Roman" w:cs="Times New Roman"/>
                <w:color w:val="auto"/>
                <w:kern w:val="21"/>
                <w:sz w:val="21"/>
                <w:szCs w:val="21"/>
              </w:rPr>
              <w:t>0.06</w:t>
            </w:r>
          </w:p>
        </w:tc>
        <w:tc>
          <w:tcPr>
            <w:tcW w:w="1448" w:type="dxa"/>
            <w:shd w:val="clear" w:color="auto" w:fill="auto"/>
            <w:vAlign w:val="center"/>
          </w:tcPr>
          <w:p w14:paraId="7208F7CF">
            <w:pPr>
              <w:pStyle w:val="25"/>
              <w:overflowPunct w:val="0"/>
              <w:autoSpaceDE/>
              <w:autoSpaceDN/>
              <w:snapToGrid w:val="0"/>
              <w:jc w:val="center"/>
              <w:rPr>
                <w:rFonts w:ascii="Times New Roman" w:cs="Times New Roman"/>
                <w:color w:val="auto"/>
                <w:kern w:val="21"/>
                <w:sz w:val="21"/>
                <w:szCs w:val="21"/>
              </w:rPr>
            </w:pPr>
            <w:r>
              <w:rPr>
                <w:rFonts w:hint="eastAsia" w:ascii="Times New Roman" w:cs="Times New Roman"/>
                <w:color w:val="auto"/>
                <w:kern w:val="0"/>
                <w:sz w:val="21"/>
                <w:szCs w:val="21"/>
                <w:lang w:bidi="ar"/>
              </w:rPr>
              <w:t>+</w:t>
            </w:r>
            <w:r>
              <w:rPr>
                <w:rFonts w:ascii="Times New Roman" w:cs="Times New Roman"/>
                <w:color w:val="auto"/>
                <w:kern w:val="21"/>
                <w:sz w:val="21"/>
                <w:szCs w:val="21"/>
              </w:rPr>
              <w:t>0.06</w:t>
            </w:r>
          </w:p>
        </w:tc>
      </w:tr>
      <w:tr w14:paraId="01844A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269" w:type="dxa"/>
            <w:vMerge w:val="continue"/>
            <w:vAlign w:val="center"/>
          </w:tcPr>
          <w:p w14:paraId="3FDBDBC2">
            <w:pPr>
              <w:pStyle w:val="28"/>
              <w:spacing w:beforeLines="0" w:afterLines="0" w:line="240" w:lineRule="auto"/>
              <w:rPr>
                <w:rFonts w:ascii="Times New Roman"/>
                <w:snapToGrid w:val="0"/>
                <w:color w:val="auto"/>
                <w:kern w:val="21"/>
                <w:szCs w:val="21"/>
              </w:rPr>
            </w:pPr>
          </w:p>
        </w:tc>
        <w:tc>
          <w:tcPr>
            <w:tcW w:w="1736" w:type="dxa"/>
            <w:shd w:val="clear" w:color="auto" w:fill="auto"/>
            <w:vAlign w:val="center"/>
          </w:tcPr>
          <w:p w14:paraId="525F91E6">
            <w:pPr>
              <w:adjustRightInd w:val="0"/>
              <w:snapToGrid w:val="0"/>
              <w:jc w:val="center"/>
              <w:rPr>
                <w:rFonts w:hint="default" w:eastAsia="宋体"/>
                <w:color w:val="auto"/>
                <w:szCs w:val="21"/>
                <w:lang w:val="en-US" w:eastAsia="zh-CN"/>
              </w:rPr>
            </w:pPr>
            <w:r>
              <w:rPr>
                <w:rFonts w:hint="eastAsia"/>
                <w:color w:val="auto"/>
                <w:szCs w:val="21"/>
                <w:lang w:val="en-US" w:eastAsia="zh-CN"/>
              </w:rPr>
              <w:t>废MBR膜</w:t>
            </w:r>
          </w:p>
        </w:tc>
        <w:tc>
          <w:tcPr>
            <w:tcW w:w="1596" w:type="dxa"/>
            <w:vAlign w:val="center"/>
          </w:tcPr>
          <w:p w14:paraId="0EA7DA08">
            <w:pPr>
              <w:widowControl/>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w:t>
            </w:r>
          </w:p>
        </w:tc>
        <w:tc>
          <w:tcPr>
            <w:tcW w:w="1381" w:type="dxa"/>
            <w:shd w:val="clear" w:color="auto" w:fill="auto"/>
            <w:vAlign w:val="center"/>
          </w:tcPr>
          <w:p w14:paraId="6F0AC60F">
            <w:pPr>
              <w:widowControl/>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w:t>
            </w:r>
          </w:p>
        </w:tc>
        <w:tc>
          <w:tcPr>
            <w:tcW w:w="1701" w:type="dxa"/>
            <w:shd w:val="clear" w:color="auto" w:fill="auto"/>
            <w:vAlign w:val="center"/>
          </w:tcPr>
          <w:p w14:paraId="489E9BE0">
            <w:pPr>
              <w:widowControl/>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w:t>
            </w:r>
          </w:p>
        </w:tc>
        <w:tc>
          <w:tcPr>
            <w:tcW w:w="1559" w:type="dxa"/>
            <w:shd w:val="clear" w:color="auto" w:fill="auto"/>
            <w:vAlign w:val="center"/>
          </w:tcPr>
          <w:p w14:paraId="09F7EA69">
            <w:pPr>
              <w:pStyle w:val="25"/>
              <w:overflowPunct w:val="0"/>
              <w:autoSpaceDE/>
              <w:autoSpaceDN/>
              <w:snapToGrid w:val="0"/>
              <w:jc w:val="center"/>
              <w:rPr>
                <w:rFonts w:hint="default" w:ascii="Times New Roman" w:eastAsia="宋体" w:cs="Times New Roman"/>
                <w:color w:val="auto"/>
                <w:kern w:val="21"/>
                <w:sz w:val="21"/>
                <w:szCs w:val="21"/>
                <w:lang w:val="en-US" w:eastAsia="zh-CN"/>
              </w:rPr>
            </w:pPr>
            <w:r>
              <w:rPr>
                <w:rFonts w:hint="eastAsia" w:ascii="Times New Roman" w:cs="Times New Roman"/>
                <w:color w:val="auto"/>
                <w:kern w:val="21"/>
                <w:sz w:val="21"/>
                <w:szCs w:val="21"/>
                <w:lang w:val="en-US" w:eastAsia="zh-CN"/>
              </w:rPr>
              <w:t>0.01</w:t>
            </w:r>
          </w:p>
        </w:tc>
        <w:tc>
          <w:tcPr>
            <w:tcW w:w="1761" w:type="dxa"/>
            <w:shd w:val="clear" w:color="auto" w:fill="auto"/>
            <w:vAlign w:val="center"/>
          </w:tcPr>
          <w:p w14:paraId="3E269015">
            <w:pPr>
              <w:widowControl/>
              <w:adjustRightInd w:val="0"/>
              <w:snapToGrid w:val="0"/>
              <w:jc w:val="center"/>
              <w:rPr>
                <w:rFonts w:hint="eastAsia"/>
                <w:color w:val="auto"/>
                <w:kern w:val="0"/>
                <w:szCs w:val="21"/>
              </w:rPr>
            </w:pPr>
          </w:p>
        </w:tc>
        <w:tc>
          <w:tcPr>
            <w:tcW w:w="1650" w:type="dxa"/>
            <w:shd w:val="clear" w:color="auto" w:fill="auto"/>
            <w:vAlign w:val="center"/>
          </w:tcPr>
          <w:p w14:paraId="152BAC75">
            <w:pPr>
              <w:pStyle w:val="25"/>
              <w:overflowPunct w:val="0"/>
              <w:autoSpaceDE/>
              <w:autoSpaceDN/>
              <w:snapToGrid w:val="0"/>
              <w:jc w:val="center"/>
              <w:rPr>
                <w:rFonts w:ascii="Times New Roman" w:cs="Times New Roman"/>
                <w:color w:val="auto"/>
                <w:kern w:val="21"/>
                <w:sz w:val="21"/>
                <w:szCs w:val="21"/>
              </w:rPr>
            </w:pPr>
            <w:r>
              <w:rPr>
                <w:rFonts w:ascii="Times New Roman" w:cs="Times New Roman"/>
                <w:color w:val="auto"/>
                <w:kern w:val="21"/>
                <w:sz w:val="21"/>
                <w:szCs w:val="21"/>
              </w:rPr>
              <w:t>0.01</w:t>
            </w:r>
          </w:p>
        </w:tc>
        <w:tc>
          <w:tcPr>
            <w:tcW w:w="1448" w:type="dxa"/>
            <w:shd w:val="clear" w:color="auto" w:fill="auto"/>
            <w:vAlign w:val="center"/>
          </w:tcPr>
          <w:p w14:paraId="62FD42B8">
            <w:pPr>
              <w:pStyle w:val="25"/>
              <w:overflowPunct w:val="0"/>
              <w:autoSpaceDE/>
              <w:autoSpaceDN/>
              <w:snapToGrid w:val="0"/>
              <w:jc w:val="center"/>
              <w:rPr>
                <w:rFonts w:hint="eastAsia" w:ascii="Times New Roman" w:cs="Times New Roman"/>
                <w:color w:val="auto"/>
                <w:kern w:val="0"/>
                <w:sz w:val="21"/>
                <w:szCs w:val="21"/>
                <w:lang w:bidi="ar"/>
              </w:rPr>
            </w:pPr>
            <w:r>
              <w:rPr>
                <w:rFonts w:hint="eastAsia" w:ascii="Times New Roman" w:cs="Times New Roman"/>
                <w:color w:val="auto"/>
                <w:kern w:val="0"/>
                <w:sz w:val="21"/>
                <w:szCs w:val="21"/>
                <w:lang w:bidi="ar"/>
              </w:rPr>
              <w:t>+</w:t>
            </w:r>
            <w:r>
              <w:rPr>
                <w:rFonts w:ascii="Times New Roman" w:cs="Times New Roman"/>
                <w:color w:val="auto"/>
                <w:kern w:val="21"/>
                <w:sz w:val="21"/>
                <w:szCs w:val="21"/>
              </w:rPr>
              <w:t>0.01</w:t>
            </w:r>
          </w:p>
        </w:tc>
      </w:tr>
      <w:tr w14:paraId="6D92DB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9" w:type="dxa"/>
            <w:vMerge w:val="continue"/>
            <w:vAlign w:val="center"/>
          </w:tcPr>
          <w:p w14:paraId="726C4938">
            <w:pPr>
              <w:pStyle w:val="28"/>
              <w:spacing w:beforeLines="0" w:afterLines="0" w:line="240" w:lineRule="auto"/>
              <w:rPr>
                <w:rFonts w:ascii="Times New Roman"/>
                <w:snapToGrid w:val="0"/>
                <w:color w:val="auto"/>
                <w:kern w:val="21"/>
                <w:szCs w:val="21"/>
              </w:rPr>
            </w:pPr>
          </w:p>
        </w:tc>
        <w:tc>
          <w:tcPr>
            <w:tcW w:w="1736" w:type="dxa"/>
            <w:shd w:val="clear" w:color="auto" w:fill="auto"/>
            <w:vAlign w:val="center"/>
          </w:tcPr>
          <w:p w14:paraId="33DF533D">
            <w:pPr>
              <w:adjustRightInd w:val="0"/>
              <w:snapToGrid w:val="0"/>
              <w:jc w:val="center"/>
              <w:rPr>
                <w:color w:val="auto"/>
                <w:szCs w:val="21"/>
              </w:rPr>
            </w:pPr>
            <w:r>
              <w:rPr>
                <w:rFonts w:hint="eastAsia"/>
                <w:color w:val="auto"/>
                <w:szCs w:val="21"/>
                <w:lang w:val="en-US" w:eastAsia="zh-CN"/>
              </w:rPr>
              <w:t>医疗</w:t>
            </w:r>
            <w:r>
              <w:rPr>
                <w:color w:val="auto"/>
                <w:szCs w:val="21"/>
              </w:rPr>
              <w:t>废物</w:t>
            </w:r>
          </w:p>
        </w:tc>
        <w:tc>
          <w:tcPr>
            <w:tcW w:w="1596" w:type="dxa"/>
            <w:vAlign w:val="center"/>
          </w:tcPr>
          <w:p w14:paraId="34C390F4">
            <w:pPr>
              <w:widowControl/>
              <w:adjustRightInd w:val="0"/>
              <w:snapToGrid w:val="0"/>
              <w:jc w:val="center"/>
              <w:rPr>
                <w:color w:val="auto"/>
                <w:kern w:val="0"/>
                <w:szCs w:val="21"/>
              </w:rPr>
            </w:pPr>
            <w:r>
              <w:rPr>
                <w:rFonts w:hint="eastAsia"/>
                <w:color w:val="auto"/>
                <w:kern w:val="0"/>
                <w:szCs w:val="21"/>
              </w:rPr>
              <w:t>/</w:t>
            </w:r>
          </w:p>
        </w:tc>
        <w:tc>
          <w:tcPr>
            <w:tcW w:w="1381" w:type="dxa"/>
            <w:shd w:val="clear" w:color="auto" w:fill="auto"/>
            <w:vAlign w:val="center"/>
          </w:tcPr>
          <w:p w14:paraId="19E67AB9">
            <w:pPr>
              <w:widowControl/>
              <w:adjustRightInd w:val="0"/>
              <w:snapToGrid w:val="0"/>
              <w:jc w:val="center"/>
              <w:rPr>
                <w:color w:val="auto"/>
                <w:kern w:val="0"/>
                <w:szCs w:val="21"/>
              </w:rPr>
            </w:pPr>
            <w:r>
              <w:rPr>
                <w:rFonts w:hint="eastAsia"/>
                <w:color w:val="auto"/>
                <w:kern w:val="0"/>
                <w:szCs w:val="21"/>
              </w:rPr>
              <w:t>/</w:t>
            </w:r>
          </w:p>
        </w:tc>
        <w:tc>
          <w:tcPr>
            <w:tcW w:w="1701" w:type="dxa"/>
            <w:shd w:val="clear" w:color="auto" w:fill="auto"/>
            <w:vAlign w:val="center"/>
          </w:tcPr>
          <w:p w14:paraId="1F7C53D7">
            <w:pPr>
              <w:widowControl/>
              <w:adjustRightInd w:val="0"/>
              <w:snapToGrid w:val="0"/>
              <w:jc w:val="center"/>
              <w:rPr>
                <w:color w:val="auto"/>
                <w:kern w:val="0"/>
                <w:szCs w:val="21"/>
              </w:rPr>
            </w:pPr>
            <w:r>
              <w:rPr>
                <w:rFonts w:hint="eastAsia"/>
                <w:color w:val="auto"/>
                <w:kern w:val="0"/>
                <w:szCs w:val="21"/>
              </w:rPr>
              <w:t>/</w:t>
            </w:r>
          </w:p>
        </w:tc>
        <w:tc>
          <w:tcPr>
            <w:tcW w:w="1559" w:type="dxa"/>
            <w:vAlign w:val="center"/>
          </w:tcPr>
          <w:p w14:paraId="2FBF2759">
            <w:pPr>
              <w:widowControl/>
              <w:adjustRightInd w:val="0"/>
              <w:snapToGrid w:val="0"/>
              <w:jc w:val="center"/>
              <w:rPr>
                <w:rFonts w:hint="default" w:eastAsia="宋体"/>
                <w:bCs/>
                <w:color w:val="auto"/>
                <w:szCs w:val="21"/>
                <w:lang w:val="en-US" w:eastAsia="zh-CN"/>
              </w:rPr>
            </w:pPr>
            <w:r>
              <w:rPr>
                <w:rFonts w:hint="eastAsia"/>
                <w:color w:val="auto"/>
                <w:kern w:val="21"/>
                <w:szCs w:val="21"/>
                <w:lang w:val="en-US" w:eastAsia="zh-CN"/>
              </w:rPr>
              <w:t>4.8045</w:t>
            </w:r>
          </w:p>
        </w:tc>
        <w:tc>
          <w:tcPr>
            <w:tcW w:w="1761" w:type="dxa"/>
            <w:shd w:val="clear" w:color="auto" w:fill="auto"/>
            <w:vAlign w:val="center"/>
          </w:tcPr>
          <w:p w14:paraId="6702BE19">
            <w:pPr>
              <w:widowControl/>
              <w:adjustRightInd w:val="0"/>
              <w:snapToGrid w:val="0"/>
              <w:jc w:val="center"/>
              <w:rPr>
                <w:color w:val="auto"/>
                <w:kern w:val="0"/>
                <w:szCs w:val="21"/>
              </w:rPr>
            </w:pPr>
            <w:r>
              <w:rPr>
                <w:rFonts w:hint="eastAsia"/>
                <w:color w:val="auto"/>
                <w:kern w:val="0"/>
                <w:szCs w:val="21"/>
              </w:rPr>
              <w:t>/</w:t>
            </w:r>
          </w:p>
        </w:tc>
        <w:tc>
          <w:tcPr>
            <w:tcW w:w="1650" w:type="dxa"/>
            <w:shd w:val="clear" w:color="auto" w:fill="auto"/>
            <w:vAlign w:val="center"/>
          </w:tcPr>
          <w:p w14:paraId="1AF6EE0B">
            <w:pPr>
              <w:widowControl/>
              <w:adjustRightInd w:val="0"/>
              <w:snapToGrid w:val="0"/>
              <w:jc w:val="center"/>
              <w:rPr>
                <w:rFonts w:hint="default" w:eastAsia="宋体"/>
                <w:bCs/>
                <w:color w:val="auto"/>
                <w:szCs w:val="21"/>
                <w:lang w:val="en-US" w:eastAsia="zh-CN"/>
              </w:rPr>
            </w:pPr>
            <w:r>
              <w:rPr>
                <w:rFonts w:hint="eastAsia"/>
                <w:color w:val="auto"/>
                <w:kern w:val="21"/>
                <w:szCs w:val="21"/>
                <w:lang w:val="en-US" w:eastAsia="zh-CN"/>
              </w:rPr>
              <w:t>4.8045</w:t>
            </w:r>
          </w:p>
        </w:tc>
        <w:tc>
          <w:tcPr>
            <w:tcW w:w="1448" w:type="dxa"/>
            <w:shd w:val="clear" w:color="auto" w:fill="auto"/>
            <w:vAlign w:val="center"/>
          </w:tcPr>
          <w:p w14:paraId="7714196B">
            <w:pPr>
              <w:widowControl/>
              <w:adjustRightInd w:val="0"/>
              <w:snapToGrid w:val="0"/>
              <w:jc w:val="center"/>
              <w:rPr>
                <w:rFonts w:hint="default" w:eastAsia="宋体"/>
                <w:bCs/>
                <w:color w:val="auto"/>
                <w:szCs w:val="21"/>
                <w:lang w:val="en-US" w:eastAsia="zh-CN"/>
              </w:rPr>
            </w:pPr>
            <w:r>
              <w:rPr>
                <w:rFonts w:hint="eastAsia"/>
                <w:color w:val="auto"/>
                <w:kern w:val="0"/>
                <w:szCs w:val="21"/>
                <w:lang w:bidi="ar"/>
              </w:rPr>
              <w:t>+</w:t>
            </w:r>
            <w:r>
              <w:rPr>
                <w:rFonts w:hint="eastAsia"/>
                <w:color w:val="auto"/>
                <w:kern w:val="21"/>
                <w:szCs w:val="21"/>
                <w:lang w:val="en-US" w:eastAsia="zh-CN"/>
              </w:rPr>
              <w:t>4.8045</w:t>
            </w:r>
          </w:p>
        </w:tc>
      </w:tr>
      <w:tr w14:paraId="2F84E2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9" w:type="dxa"/>
            <w:vMerge w:val="continue"/>
            <w:vAlign w:val="center"/>
          </w:tcPr>
          <w:p w14:paraId="3E6EA88E">
            <w:pPr>
              <w:pStyle w:val="28"/>
              <w:spacing w:beforeLines="0" w:afterLines="0" w:line="240" w:lineRule="auto"/>
              <w:rPr>
                <w:rFonts w:ascii="Times New Roman"/>
                <w:snapToGrid w:val="0"/>
                <w:color w:val="auto"/>
                <w:kern w:val="21"/>
                <w:szCs w:val="21"/>
              </w:rPr>
            </w:pPr>
          </w:p>
        </w:tc>
        <w:tc>
          <w:tcPr>
            <w:tcW w:w="1736" w:type="dxa"/>
            <w:shd w:val="clear" w:color="auto" w:fill="auto"/>
            <w:vAlign w:val="center"/>
          </w:tcPr>
          <w:p w14:paraId="7B04C61B">
            <w:pPr>
              <w:adjustRightInd w:val="0"/>
              <w:snapToGrid w:val="0"/>
              <w:jc w:val="center"/>
              <w:rPr>
                <w:color w:val="auto"/>
                <w:szCs w:val="21"/>
              </w:rPr>
            </w:pPr>
            <w:r>
              <w:rPr>
                <w:rFonts w:hint="eastAsia"/>
                <w:color w:val="auto"/>
                <w:szCs w:val="21"/>
              </w:rPr>
              <w:t>紫外线灯管</w:t>
            </w:r>
          </w:p>
        </w:tc>
        <w:tc>
          <w:tcPr>
            <w:tcW w:w="1596" w:type="dxa"/>
            <w:vAlign w:val="center"/>
          </w:tcPr>
          <w:p w14:paraId="6858AA3B">
            <w:pPr>
              <w:adjustRightInd w:val="0"/>
              <w:snapToGrid w:val="0"/>
              <w:jc w:val="center"/>
              <w:rPr>
                <w:color w:val="auto"/>
                <w:szCs w:val="21"/>
              </w:rPr>
            </w:pPr>
            <w:r>
              <w:rPr>
                <w:rFonts w:hint="eastAsia"/>
                <w:color w:val="auto"/>
                <w:szCs w:val="21"/>
              </w:rPr>
              <w:t>/</w:t>
            </w:r>
          </w:p>
        </w:tc>
        <w:tc>
          <w:tcPr>
            <w:tcW w:w="1381" w:type="dxa"/>
            <w:shd w:val="clear" w:color="auto" w:fill="auto"/>
            <w:vAlign w:val="center"/>
          </w:tcPr>
          <w:p w14:paraId="1DAC9B30">
            <w:pPr>
              <w:adjustRightInd w:val="0"/>
              <w:snapToGrid w:val="0"/>
              <w:jc w:val="center"/>
              <w:rPr>
                <w:color w:val="auto"/>
                <w:szCs w:val="21"/>
              </w:rPr>
            </w:pPr>
            <w:r>
              <w:rPr>
                <w:rFonts w:hint="eastAsia"/>
                <w:color w:val="auto"/>
                <w:szCs w:val="21"/>
              </w:rPr>
              <w:t>/</w:t>
            </w:r>
          </w:p>
        </w:tc>
        <w:tc>
          <w:tcPr>
            <w:tcW w:w="1701" w:type="dxa"/>
            <w:shd w:val="clear" w:color="auto" w:fill="auto"/>
            <w:vAlign w:val="center"/>
          </w:tcPr>
          <w:p w14:paraId="6741A60A">
            <w:pPr>
              <w:adjustRightInd w:val="0"/>
              <w:snapToGrid w:val="0"/>
              <w:jc w:val="center"/>
              <w:rPr>
                <w:color w:val="auto"/>
                <w:szCs w:val="21"/>
              </w:rPr>
            </w:pPr>
            <w:r>
              <w:rPr>
                <w:rFonts w:hint="eastAsia"/>
                <w:color w:val="auto"/>
                <w:szCs w:val="21"/>
              </w:rPr>
              <w:t>/</w:t>
            </w:r>
          </w:p>
        </w:tc>
        <w:tc>
          <w:tcPr>
            <w:tcW w:w="1559" w:type="dxa"/>
            <w:shd w:val="clear" w:color="auto" w:fill="auto"/>
            <w:vAlign w:val="center"/>
          </w:tcPr>
          <w:p w14:paraId="41C420A4">
            <w:pPr>
              <w:pStyle w:val="25"/>
              <w:overflowPunct w:val="0"/>
              <w:autoSpaceDE/>
              <w:autoSpaceDN/>
              <w:snapToGrid w:val="0"/>
              <w:jc w:val="center"/>
              <w:rPr>
                <w:rFonts w:ascii="Times New Roman" w:cs="Times New Roman"/>
                <w:b/>
                <w:bCs/>
                <w:color w:val="auto"/>
                <w:kern w:val="21"/>
                <w:sz w:val="21"/>
                <w:szCs w:val="21"/>
              </w:rPr>
            </w:pPr>
            <w:r>
              <w:rPr>
                <w:rFonts w:ascii="Times New Roman" w:cs="Times New Roman"/>
                <w:color w:val="auto"/>
                <w:kern w:val="21"/>
                <w:sz w:val="21"/>
                <w:szCs w:val="21"/>
              </w:rPr>
              <w:t>0.006</w:t>
            </w:r>
          </w:p>
        </w:tc>
        <w:tc>
          <w:tcPr>
            <w:tcW w:w="1761" w:type="dxa"/>
            <w:shd w:val="clear" w:color="auto" w:fill="auto"/>
            <w:vAlign w:val="center"/>
          </w:tcPr>
          <w:p w14:paraId="0BEF1C01">
            <w:pPr>
              <w:adjustRightInd w:val="0"/>
              <w:snapToGrid w:val="0"/>
              <w:jc w:val="center"/>
              <w:rPr>
                <w:color w:val="auto"/>
                <w:szCs w:val="21"/>
              </w:rPr>
            </w:pPr>
            <w:r>
              <w:rPr>
                <w:rFonts w:hint="eastAsia"/>
                <w:color w:val="auto"/>
                <w:szCs w:val="21"/>
              </w:rPr>
              <w:t>/</w:t>
            </w:r>
          </w:p>
        </w:tc>
        <w:tc>
          <w:tcPr>
            <w:tcW w:w="1650" w:type="dxa"/>
            <w:shd w:val="clear" w:color="auto" w:fill="auto"/>
            <w:vAlign w:val="center"/>
          </w:tcPr>
          <w:p w14:paraId="01A4B52A">
            <w:pPr>
              <w:pStyle w:val="25"/>
              <w:overflowPunct w:val="0"/>
              <w:autoSpaceDE/>
              <w:autoSpaceDN/>
              <w:snapToGrid w:val="0"/>
              <w:jc w:val="center"/>
              <w:rPr>
                <w:rFonts w:ascii="Times New Roman" w:cs="Times New Roman"/>
                <w:b/>
                <w:bCs/>
                <w:color w:val="auto"/>
                <w:kern w:val="21"/>
                <w:sz w:val="21"/>
                <w:szCs w:val="21"/>
              </w:rPr>
            </w:pPr>
            <w:r>
              <w:rPr>
                <w:rFonts w:ascii="Times New Roman" w:cs="Times New Roman"/>
                <w:color w:val="auto"/>
                <w:kern w:val="21"/>
                <w:sz w:val="21"/>
                <w:szCs w:val="21"/>
              </w:rPr>
              <w:t>0.006</w:t>
            </w:r>
          </w:p>
        </w:tc>
        <w:tc>
          <w:tcPr>
            <w:tcW w:w="1448" w:type="dxa"/>
            <w:shd w:val="clear" w:color="auto" w:fill="auto"/>
            <w:vAlign w:val="center"/>
          </w:tcPr>
          <w:p w14:paraId="3D4BCD91">
            <w:pPr>
              <w:pStyle w:val="25"/>
              <w:overflowPunct w:val="0"/>
              <w:autoSpaceDE/>
              <w:autoSpaceDN/>
              <w:snapToGrid w:val="0"/>
              <w:jc w:val="center"/>
              <w:rPr>
                <w:rFonts w:ascii="Times New Roman" w:cs="Times New Roman"/>
                <w:b/>
                <w:bCs/>
                <w:color w:val="auto"/>
                <w:kern w:val="21"/>
                <w:sz w:val="21"/>
                <w:szCs w:val="21"/>
              </w:rPr>
            </w:pPr>
            <w:r>
              <w:rPr>
                <w:rFonts w:hint="eastAsia" w:ascii="Times New Roman" w:cs="Times New Roman"/>
                <w:color w:val="auto"/>
                <w:kern w:val="0"/>
                <w:sz w:val="21"/>
                <w:szCs w:val="21"/>
                <w:lang w:bidi="ar"/>
              </w:rPr>
              <w:t>+</w:t>
            </w:r>
            <w:r>
              <w:rPr>
                <w:rFonts w:ascii="Times New Roman" w:cs="Times New Roman"/>
                <w:color w:val="auto"/>
                <w:kern w:val="21"/>
                <w:sz w:val="21"/>
                <w:szCs w:val="21"/>
              </w:rPr>
              <w:t>0.006</w:t>
            </w:r>
          </w:p>
        </w:tc>
      </w:tr>
      <w:tr w14:paraId="0F58FC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9" w:type="dxa"/>
            <w:vMerge w:val="continue"/>
            <w:vAlign w:val="center"/>
          </w:tcPr>
          <w:p w14:paraId="1927A005">
            <w:pPr>
              <w:pStyle w:val="28"/>
              <w:spacing w:beforeLines="0" w:afterLines="0" w:line="240" w:lineRule="auto"/>
              <w:rPr>
                <w:rFonts w:ascii="Times New Roman"/>
                <w:snapToGrid w:val="0"/>
                <w:color w:val="auto"/>
                <w:kern w:val="21"/>
                <w:szCs w:val="21"/>
              </w:rPr>
            </w:pPr>
          </w:p>
        </w:tc>
        <w:tc>
          <w:tcPr>
            <w:tcW w:w="1736" w:type="dxa"/>
            <w:vAlign w:val="center"/>
          </w:tcPr>
          <w:p w14:paraId="30E80A63">
            <w:pPr>
              <w:adjustRightInd w:val="0"/>
              <w:snapToGrid w:val="0"/>
              <w:jc w:val="center"/>
              <w:rPr>
                <w:color w:val="auto"/>
                <w:szCs w:val="21"/>
              </w:rPr>
            </w:pPr>
            <w:r>
              <w:rPr>
                <w:color w:val="auto"/>
                <w:szCs w:val="21"/>
              </w:rPr>
              <w:t>污水处理污泥</w:t>
            </w:r>
          </w:p>
        </w:tc>
        <w:tc>
          <w:tcPr>
            <w:tcW w:w="1596" w:type="dxa"/>
            <w:vAlign w:val="center"/>
          </w:tcPr>
          <w:p w14:paraId="7B128133">
            <w:pPr>
              <w:adjustRightInd w:val="0"/>
              <w:snapToGrid w:val="0"/>
              <w:jc w:val="center"/>
              <w:rPr>
                <w:color w:val="auto"/>
                <w:szCs w:val="21"/>
              </w:rPr>
            </w:pPr>
            <w:r>
              <w:rPr>
                <w:rFonts w:hint="eastAsia"/>
                <w:color w:val="auto"/>
                <w:szCs w:val="21"/>
              </w:rPr>
              <w:t>/</w:t>
            </w:r>
          </w:p>
        </w:tc>
        <w:tc>
          <w:tcPr>
            <w:tcW w:w="1381" w:type="dxa"/>
            <w:shd w:val="clear" w:color="auto" w:fill="auto"/>
            <w:vAlign w:val="center"/>
          </w:tcPr>
          <w:p w14:paraId="0AD8EE3E">
            <w:pPr>
              <w:adjustRightInd w:val="0"/>
              <w:snapToGrid w:val="0"/>
              <w:jc w:val="center"/>
              <w:rPr>
                <w:color w:val="auto"/>
                <w:szCs w:val="21"/>
              </w:rPr>
            </w:pPr>
            <w:r>
              <w:rPr>
                <w:rFonts w:hint="eastAsia"/>
                <w:color w:val="auto"/>
                <w:szCs w:val="21"/>
              </w:rPr>
              <w:t>/</w:t>
            </w:r>
          </w:p>
        </w:tc>
        <w:tc>
          <w:tcPr>
            <w:tcW w:w="1701" w:type="dxa"/>
            <w:shd w:val="clear" w:color="auto" w:fill="auto"/>
            <w:vAlign w:val="center"/>
          </w:tcPr>
          <w:p w14:paraId="36DDE378">
            <w:pPr>
              <w:adjustRightInd w:val="0"/>
              <w:snapToGrid w:val="0"/>
              <w:jc w:val="center"/>
              <w:rPr>
                <w:color w:val="auto"/>
                <w:szCs w:val="21"/>
              </w:rPr>
            </w:pPr>
            <w:r>
              <w:rPr>
                <w:rFonts w:hint="eastAsia"/>
                <w:color w:val="auto"/>
                <w:szCs w:val="21"/>
              </w:rPr>
              <w:t>/</w:t>
            </w:r>
          </w:p>
        </w:tc>
        <w:tc>
          <w:tcPr>
            <w:tcW w:w="1559" w:type="dxa"/>
            <w:shd w:val="clear" w:color="auto" w:fill="auto"/>
            <w:vAlign w:val="center"/>
          </w:tcPr>
          <w:p w14:paraId="536B73FD">
            <w:pPr>
              <w:pStyle w:val="25"/>
              <w:overflowPunct w:val="0"/>
              <w:autoSpaceDE/>
              <w:autoSpaceDN/>
              <w:snapToGrid w:val="0"/>
              <w:jc w:val="center"/>
              <w:rPr>
                <w:rFonts w:hint="default" w:ascii="Times New Roman" w:eastAsia="宋体" w:cs="Times New Roman"/>
                <w:b/>
                <w:bCs/>
                <w:color w:val="auto"/>
                <w:kern w:val="21"/>
                <w:sz w:val="21"/>
                <w:szCs w:val="21"/>
                <w:lang w:val="en-US" w:eastAsia="zh-CN"/>
              </w:rPr>
            </w:pPr>
            <w:r>
              <w:rPr>
                <w:rFonts w:hint="eastAsia" w:ascii="Times New Roman" w:cs="Times New Roman"/>
                <w:color w:val="auto"/>
                <w:kern w:val="21"/>
                <w:sz w:val="21"/>
                <w:szCs w:val="21"/>
                <w:lang w:val="en-US" w:eastAsia="zh-CN"/>
              </w:rPr>
              <w:t>7.1321</w:t>
            </w:r>
          </w:p>
        </w:tc>
        <w:tc>
          <w:tcPr>
            <w:tcW w:w="1761" w:type="dxa"/>
            <w:shd w:val="clear" w:color="auto" w:fill="auto"/>
            <w:vAlign w:val="center"/>
          </w:tcPr>
          <w:p w14:paraId="28C2199F">
            <w:pPr>
              <w:adjustRightInd w:val="0"/>
              <w:snapToGrid w:val="0"/>
              <w:jc w:val="center"/>
              <w:rPr>
                <w:color w:val="auto"/>
                <w:szCs w:val="21"/>
              </w:rPr>
            </w:pPr>
            <w:r>
              <w:rPr>
                <w:rFonts w:hint="eastAsia"/>
                <w:color w:val="auto"/>
                <w:szCs w:val="21"/>
              </w:rPr>
              <w:t>/</w:t>
            </w:r>
          </w:p>
        </w:tc>
        <w:tc>
          <w:tcPr>
            <w:tcW w:w="1650" w:type="dxa"/>
            <w:shd w:val="clear" w:color="auto" w:fill="auto"/>
            <w:vAlign w:val="center"/>
          </w:tcPr>
          <w:p w14:paraId="4970362C">
            <w:pPr>
              <w:pStyle w:val="25"/>
              <w:overflowPunct w:val="0"/>
              <w:autoSpaceDE/>
              <w:autoSpaceDN/>
              <w:snapToGrid w:val="0"/>
              <w:jc w:val="center"/>
              <w:rPr>
                <w:rFonts w:hint="default" w:ascii="Times New Roman" w:eastAsia="宋体" w:cs="Times New Roman"/>
                <w:b/>
                <w:bCs/>
                <w:color w:val="auto"/>
                <w:kern w:val="21"/>
                <w:sz w:val="21"/>
                <w:szCs w:val="21"/>
                <w:lang w:val="en-US" w:eastAsia="zh-CN"/>
              </w:rPr>
            </w:pPr>
            <w:r>
              <w:rPr>
                <w:rFonts w:hint="eastAsia" w:ascii="Times New Roman" w:cs="Times New Roman"/>
                <w:color w:val="auto"/>
                <w:kern w:val="21"/>
                <w:sz w:val="21"/>
                <w:szCs w:val="21"/>
                <w:lang w:val="en-US" w:eastAsia="zh-CN"/>
              </w:rPr>
              <w:t>7.1321</w:t>
            </w:r>
          </w:p>
        </w:tc>
        <w:tc>
          <w:tcPr>
            <w:tcW w:w="1448" w:type="dxa"/>
            <w:shd w:val="clear" w:color="auto" w:fill="auto"/>
            <w:vAlign w:val="center"/>
          </w:tcPr>
          <w:p w14:paraId="3DB66FA4">
            <w:pPr>
              <w:pStyle w:val="25"/>
              <w:overflowPunct w:val="0"/>
              <w:autoSpaceDE/>
              <w:autoSpaceDN/>
              <w:snapToGrid w:val="0"/>
              <w:jc w:val="center"/>
              <w:rPr>
                <w:rFonts w:hint="default" w:ascii="Times New Roman" w:eastAsia="宋体" w:cs="Times New Roman"/>
                <w:b/>
                <w:bCs/>
                <w:color w:val="auto"/>
                <w:kern w:val="21"/>
                <w:sz w:val="21"/>
                <w:szCs w:val="21"/>
                <w:lang w:val="en-US" w:eastAsia="zh-CN"/>
              </w:rPr>
            </w:pPr>
            <w:r>
              <w:rPr>
                <w:rFonts w:hint="eastAsia" w:ascii="Times New Roman" w:cs="Times New Roman"/>
                <w:color w:val="auto"/>
                <w:kern w:val="0"/>
                <w:sz w:val="21"/>
                <w:szCs w:val="21"/>
                <w:lang w:bidi="ar"/>
              </w:rPr>
              <w:t>+</w:t>
            </w:r>
            <w:r>
              <w:rPr>
                <w:rFonts w:hint="eastAsia" w:ascii="Times New Roman" w:cs="Times New Roman"/>
                <w:color w:val="auto"/>
                <w:kern w:val="21"/>
                <w:sz w:val="21"/>
                <w:szCs w:val="21"/>
                <w:lang w:val="en-US" w:eastAsia="zh-CN"/>
              </w:rPr>
              <w:t>7.1321</w:t>
            </w:r>
          </w:p>
        </w:tc>
      </w:tr>
    </w:tbl>
    <w:p w14:paraId="79C84CB3">
      <w:pPr>
        <w:pStyle w:val="28"/>
        <w:spacing w:before="192" w:beforeLines="80" w:after="24"/>
        <w:jc w:val="left"/>
        <w:rPr>
          <w:rFonts w:ascii="Times New Roman"/>
          <w:color w:val="auto"/>
        </w:rPr>
      </w:pPr>
      <w:r>
        <w:rPr>
          <w:rFonts w:ascii="Times New Roman"/>
          <w:snapToGrid w:val="0"/>
          <w:color w:val="auto"/>
          <w:kern w:val="21"/>
          <w:szCs w:val="21"/>
        </w:rPr>
        <w:t>注：</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ascii="Times New Roman" w:cs="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ascii="Times New Roman" w:cs="宋体"/>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hint="eastAsia" w:ascii="Times New Roman" w:cs="宋体"/>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hint="eastAsia" w:ascii="Times New Roman" w:cs="宋体"/>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hint="eastAsia" w:ascii="Times New Roman" w:cs="宋体"/>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hint="eastAsia" w:ascii="Times New Roman" w:cs="宋体"/>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ascii="Times New Roman" w:cs="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ascii="Times New Roman" w:cs="宋体"/>
          <w:color w:val="auto"/>
          <w:szCs w:val="21"/>
        </w:rPr>
        <w:t>①</w:t>
      </w:r>
      <w:r>
        <w:rPr>
          <w:rFonts w:ascii="Times New Roman"/>
          <w:snapToGrid w:val="0"/>
          <w:color w:val="auto"/>
          <w:spacing w:val="-6"/>
          <w:kern w:val="21"/>
          <w:szCs w:val="21"/>
        </w:rPr>
        <w:fldChar w:fldCharType="end"/>
      </w:r>
    </w:p>
    <w:p w14:paraId="74FC0298">
      <w:pPr>
        <w:rPr>
          <w:color w:val="auto"/>
        </w:rPr>
      </w:pPr>
    </w:p>
    <w:sectPr>
      <w:footerReference r:id="rId6"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A393085-5A0D-405B-91BC-26E23D01DCE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embedRegular r:id="rId2" w:fontKey="{6DF491E5-3861-4C2F-867D-113501EE47ED}"/>
  </w:font>
  <w:font w:name="新宋体">
    <w:panose1 w:val="02010609030101010101"/>
    <w:charset w:val="86"/>
    <w:family w:val="modern"/>
    <w:pitch w:val="default"/>
    <w:sig w:usb0="00000283" w:usb1="288F0000" w:usb2="00000006" w:usb3="00000000" w:csb0="00040001" w:csb1="00000000"/>
  </w:font>
  <w:font w:name="华文楷体">
    <w:altName w:val="楷体_GB2312"/>
    <w:panose1 w:val="02010600040101010101"/>
    <w:charset w:val="86"/>
    <w:family w:val="auto"/>
    <w:pitch w:val="default"/>
    <w:sig w:usb0="00000000" w:usb1="00000000" w:usb2="00000000" w:usb3="00000000" w:csb0="0004009F" w:csb1="DFD70000"/>
    <w:embedRegular r:id="rId3" w:fontKey="{684669BD-F87E-40F7-A654-A93D9515F2EF}"/>
  </w:font>
  <w:font w:name="楷体_GB2312">
    <w:panose1 w:val="02010609030101010101"/>
    <w:charset w:val="86"/>
    <w:family w:val="auto"/>
    <w:pitch w:val="default"/>
    <w:sig w:usb0="00000001" w:usb1="080E0000" w:usb2="00000000" w:usb3="00000000" w:csb0="00040000" w:csb1="00000000"/>
  </w:font>
  <w:font w:name="方正仿宋_GB2312">
    <w:altName w:val="仿宋"/>
    <w:panose1 w:val="02000000000000000000"/>
    <w:charset w:val="86"/>
    <w:family w:val="auto"/>
    <w:pitch w:val="default"/>
    <w:sig w:usb0="00000000" w:usb1="00000000" w:usb2="00000012" w:usb3="00000000" w:csb0="00040001" w:csb1="00000000"/>
    <w:embedRegular r:id="rId4" w:fontKey="{67727A9C-FB2B-4970-B1E4-F2821433D970}"/>
  </w:font>
  <w:font w:name="仿宋">
    <w:panose1 w:val="02010609060101010101"/>
    <w:charset w:val="86"/>
    <w:family w:val="auto"/>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embedRegular r:id="rId5" w:fontKey="{08DC01DF-E85B-4192-8243-6EE2BFB79390}"/>
  </w:font>
  <w:font w:name="Wingdings 2">
    <w:altName w:val="Wingdings"/>
    <w:panose1 w:val="05020102010507070707"/>
    <w:charset w:val="02"/>
    <w:family w:val="roman"/>
    <w:pitch w:val="default"/>
    <w:sig w:usb0="00000000" w:usb1="00000000" w:usb2="00000000" w:usb3="00000000" w:csb0="80000000" w:csb1="00000000"/>
    <w:embedRegular r:id="rId6" w:fontKey="{8A920A55-5A08-4234-B258-F992411F9643}"/>
  </w:font>
  <w:font w:name="微软雅黑">
    <w:panose1 w:val="020B0503020204020204"/>
    <w:charset w:val="86"/>
    <w:family w:val="auto"/>
    <w:pitch w:val="default"/>
    <w:sig w:usb0="80000287" w:usb1="2ACF3C50" w:usb2="00000016" w:usb3="00000000" w:csb0="0004001F" w:csb1="00000000"/>
    <w:embedRegular r:id="rId7" w:fontKey="{2DE5C8F5-16F0-4432-BF22-278A4F7FFF4C}"/>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1A749">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37FCF">
    <w:pPr>
      <w:pStyle w:val="13"/>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62DD7">
    <w:pPr>
      <w:pStyle w:val="13"/>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EE55AB7">
                          <w:pPr>
                            <w:pStyle w:val="13"/>
                            <w:rPr>
                              <w:rStyle w:val="21"/>
                              <w:rFonts w:hint="eastAsia" w:ascii="宋体" w:hAnsi="宋体"/>
                              <w:sz w:val="28"/>
                              <w:szCs w:val="28"/>
                            </w:rPr>
                          </w:pPr>
                          <w:r>
                            <w:rPr>
                              <w:rStyle w:val="21"/>
                              <w:rFonts w:hint="eastAsia" w:ascii="宋体" w:hAnsi="宋体"/>
                              <w:sz w:val="28"/>
                              <w:szCs w:val="28"/>
                            </w:rPr>
                            <w:t>—</w:t>
                          </w:r>
                          <w:r>
                            <w:rPr>
                              <w:rStyle w:val="21"/>
                              <w:rFonts w:hint="eastAsia" w:ascii="宋体" w:hAnsi="宋体"/>
                              <w:sz w:val="20"/>
                            </w:rPr>
                            <w:t xml:space="preserve">  </w:t>
                          </w:r>
                          <w:r>
                            <w:rPr>
                              <w:rStyle w:val="21"/>
                              <w:rFonts w:ascii="宋体" w:hAnsi="宋体"/>
                              <w:sz w:val="26"/>
                              <w:szCs w:val="26"/>
                            </w:rPr>
                            <w:fldChar w:fldCharType="begin"/>
                          </w:r>
                          <w:r>
                            <w:rPr>
                              <w:rStyle w:val="21"/>
                              <w:rFonts w:ascii="宋体" w:hAnsi="宋体"/>
                              <w:sz w:val="26"/>
                              <w:szCs w:val="26"/>
                            </w:rPr>
                            <w:instrText xml:space="preserve">PAGE  </w:instrText>
                          </w:r>
                          <w:r>
                            <w:rPr>
                              <w:rStyle w:val="21"/>
                              <w:rFonts w:ascii="宋体" w:hAnsi="宋体"/>
                              <w:sz w:val="26"/>
                              <w:szCs w:val="26"/>
                            </w:rPr>
                            <w:fldChar w:fldCharType="separate"/>
                          </w:r>
                          <w:r>
                            <w:rPr>
                              <w:rStyle w:val="21"/>
                              <w:rFonts w:ascii="宋体" w:hAnsi="宋体"/>
                              <w:sz w:val="26"/>
                              <w:szCs w:val="26"/>
                            </w:rPr>
                            <w:t>1</w:t>
                          </w:r>
                          <w:r>
                            <w:rPr>
                              <w:rStyle w:val="21"/>
                              <w:rFonts w:ascii="宋体" w:hAnsi="宋体"/>
                              <w:sz w:val="26"/>
                              <w:szCs w:val="26"/>
                            </w:rPr>
                            <w:fldChar w:fldCharType="end"/>
                          </w:r>
                          <w:r>
                            <w:rPr>
                              <w:rStyle w:val="21"/>
                              <w:rFonts w:hint="eastAsia" w:ascii="宋体" w:hAnsi="宋体"/>
                              <w:sz w:val="20"/>
                            </w:rPr>
                            <w:t xml:space="preserve">  </w:t>
                          </w:r>
                          <w:r>
                            <w:rPr>
                              <w:rStyle w:val="21"/>
                              <w:rFonts w:hint="eastAsia" w:ascii="宋体" w:hAnsi="宋体"/>
                              <w:sz w:val="28"/>
                              <w:szCs w:val="28"/>
                            </w:rPr>
                            <w:t>—</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JFlysIBAACN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iRZcrCAQAAjQMAAA4AAAAAAAAAAQAgAAAAHgEAAGRycy9lMm9Eb2MueG1sUEsF&#10;BgAAAAAGAAYAWQEAAFIFAAAAAA==&#10;">
              <v:fill on="f" focussize="0,0"/>
              <v:stroke on="f"/>
              <v:imagedata o:title=""/>
              <o:lock v:ext="edit" aspectratio="f"/>
              <v:textbox inset="0mm,0mm,0mm,0mm" style="mso-fit-shape-to-text:t;">
                <w:txbxContent>
                  <w:p w14:paraId="3EE55AB7">
                    <w:pPr>
                      <w:pStyle w:val="13"/>
                      <w:rPr>
                        <w:rStyle w:val="21"/>
                        <w:rFonts w:hint="eastAsia" w:ascii="宋体" w:hAnsi="宋体"/>
                        <w:sz w:val="28"/>
                        <w:szCs w:val="28"/>
                      </w:rPr>
                    </w:pPr>
                    <w:r>
                      <w:rPr>
                        <w:rStyle w:val="21"/>
                        <w:rFonts w:hint="eastAsia" w:ascii="宋体" w:hAnsi="宋体"/>
                        <w:sz w:val="28"/>
                        <w:szCs w:val="28"/>
                      </w:rPr>
                      <w:t>—</w:t>
                    </w:r>
                    <w:r>
                      <w:rPr>
                        <w:rStyle w:val="21"/>
                        <w:rFonts w:hint="eastAsia" w:ascii="宋体" w:hAnsi="宋体"/>
                        <w:sz w:val="20"/>
                      </w:rPr>
                      <w:t xml:space="preserve">  </w:t>
                    </w:r>
                    <w:r>
                      <w:rPr>
                        <w:rStyle w:val="21"/>
                        <w:rFonts w:ascii="宋体" w:hAnsi="宋体"/>
                        <w:sz w:val="26"/>
                        <w:szCs w:val="26"/>
                      </w:rPr>
                      <w:fldChar w:fldCharType="begin"/>
                    </w:r>
                    <w:r>
                      <w:rPr>
                        <w:rStyle w:val="21"/>
                        <w:rFonts w:ascii="宋体" w:hAnsi="宋体"/>
                        <w:sz w:val="26"/>
                        <w:szCs w:val="26"/>
                      </w:rPr>
                      <w:instrText xml:space="preserve">PAGE  </w:instrText>
                    </w:r>
                    <w:r>
                      <w:rPr>
                        <w:rStyle w:val="21"/>
                        <w:rFonts w:ascii="宋体" w:hAnsi="宋体"/>
                        <w:sz w:val="26"/>
                        <w:szCs w:val="26"/>
                      </w:rPr>
                      <w:fldChar w:fldCharType="separate"/>
                    </w:r>
                    <w:r>
                      <w:rPr>
                        <w:rStyle w:val="21"/>
                        <w:rFonts w:ascii="宋体" w:hAnsi="宋体"/>
                        <w:sz w:val="26"/>
                        <w:szCs w:val="26"/>
                      </w:rPr>
                      <w:t>1</w:t>
                    </w:r>
                    <w:r>
                      <w:rPr>
                        <w:rStyle w:val="21"/>
                        <w:rFonts w:ascii="宋体" w:hAnsi="宋体"/>
                        <w:sz w:val="26"/>
                        <w:szCs w:val="26"/>
                      </w:rPr>
                      <w:fldChar w:fldCharType="end"/>
                    </w:r>
                    <w:r>
                      <w:rPr>
                        <w:rStyle w:val="21"/>
                        <w:rFonts w:hint="eastAsia" w:ascii="宋体" w:hAnsi="宋体"/>
                        <w:sz w:val="20"/>
                      </w:rPr>
                      <w:t xml:space="preserve">  </w:t>
                    </w:r>
                    <w:r>
                      <w:rPr>
                        <w:rStyle w:val="21"/>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49972">
    <w:pPr>
      <w:pStyle w:val="13"/>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5625DD">
                          <w:pPr>
                            <w:pStyle w:val="13"/>
                            <w:rPr>
                              <w:rStyle w:val="21"/>
                              <w:rFonts w:hint="eastAsia" w:ascii="宋体" w:hAnsi="宋体"/>
                              <w:sz w:val="28"/>
                              <w:szCs w:val="28"/>
                            </w:rPr>
                          </w:pPr>
                          <w:r>
                            <w:rPr>
                              <w:rStyle w:val="21"/>
                              <w:rFonts w:hint="eastAsia" w:ascii="宋体" w:hAnsi="宋体"/>
                              <w:sz w:val="28"/>
                              <w:szCs w:val="28"/>
                            </w:rPr>
                            <w:t>—</w:t>
                          </w:r>
                          <w:r>
                            <w:rPr>
                              <w:rStyle w:val="21"/>
                              <w:rFonts w:hint="eastAsia" w:ascii="宋体" w:hAnsi="宋体"/>
                              <w:sz w:val="20"/>
                            </w:rPr>
                            <w:t xml:space="preserve">  </w:t>
                          </w:r>
                          <w:r>
                            <w:rPr>
                              <w:rStyle w:val="21"/>
                              <w:rFonts w:ascii="宋体" w:hAnsi="宋体"/>
                              <w:sz w:val="26"/>
                              <w:szCs w:val="26"/>
                            </w:rPr>
                            <w:fldChar w:fldCharType="begin"/>
                          </w:r>
                          <w:r>
                            <w:rPr>
                              <w:rStyle w:val="21"/>
                              <w:rFonts w:ascii="宋体" w:hAnsi="宋体"/>
                              <w:sz w:val="26"/>
                              <w:szCs w:val="26"/>
                            </w:rPr>
                            <w:instrText xml:space="preserve">PAGE  </w:instrText>
                          </w:r>
                          <w:r>
                            <w:rPr>
                              <w:rStyle w:val="21"/>
                              <w:rFonts w:ascii="宋体" w:hAnsi="宋体"/>
                              <w:sz w:val="26"/>
                              <w:szCs w:val="26"/>
                            </w:rPr>
                            <w:fldChar w:fldCharType="separate"/>
                          </w:r>
                          <w:r>
                            <w:rPr>
                              <w:rStyle w:val="21"/>
                              <w:rFonts w:ascii="宋体" w:hAnsi="宋体"/>
                              <w:sz w:val="26"/>
                              <w:szCs w:val="26"/>
                            </w:rPr>
                            <w:t>70</w:t>
                          </w:r>
                          <w:r>
                            <w:rPr>
                              <w:rStyle w:val="21"/>
                              <w:rFonts w:ascii="宋体" w:hAnsi="宋体"/>
                              <w:sz w:val="26"/>
                              <w:szCs w:val="26"/>
                            </w:rPr>
                            <w:fldChar w:fldCharType="end"/>
                          </w:r>
                          <w:r>
                            <w:rPr>
                              <w:rStyle w:val="21"/>
                              <w:rFonts w:hint="eastAsia" w:ascii="宋体" w:hAnsi="宋体"/>
                              <w:sz w:val="20"/>
                            </w:rPr>
                            <w:t xml:space="preserve">  </w:t>
                          </w:r>
                          <w:r>
                            <w:rPr>
                              <w:rStyle w:val="21"/>
                              <w:rFonts w:hint="eastAsia" w:ascii="宋体" w:hAnsi="宋体"/>
                              <w:sz w:val="28"/>
                              <w:szCs w:val="28"/>
                            </w:rPr>
                            <w:t>—</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sY/oMIBAACP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OslJY5bnPjl+7fLj1+Xn18J&#10;+lCgPkCNeQ8BM9Nw5wdcm9kP6My8BxVt/iIjgnGU93yVVw6JiPxovVqvKwwJjM0XxGePz0OE9FZ6&#10;S7LR0IjzK7Ly03tIY+qckqs5f6+NKTM07i8HYmYPy72PPWYrDfthIrT37Rn59Dj6hjrcdErMO4fK&#10;5i2ZjTgb+8nINSDcHhMWLv1k1BFqKoZzKoymncqL8Oe9ZD3+R9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F7GP6DCAQAAjwMAAA4AAAAAAAAAAQAgAAAAHgEAAGRycy9lMm9Eb2MueG1sUEsF&#10;BgAAAAAGAAYAWQEAAFIFAAAAAA==&#10;">
              <v:fill on="f" focussize="0,0"/>
              <v:stroke on="f"/>
              <v:imagedata o:title=""/>
              <o:lock v:ext="edit" aspectratio="f"/>
              <v:textbox inset="0mm,0mm,0mm,0mm" style="mso-fit-shape-to-text:t;">
                <w:txbxContent>
                  <w:p w14:paraId="265625DD">
                    <w:pPr>
                      <w:pStyle w:val="13"/>
                      <w:rPr>
                        <w:rStyle w:val="21"/>
                        <w:rFonts w:hint="eastAsia" w:ascii="宋体" w:hAnsi="宋体"/>
                        <w:sz w:val="28"/>
                        <w:szCs w:val="28"/>
                      </w:rPr>
                    </w:pPr>
                    <w:r>
                      <w:rPr>
                        <w:rStyle w:val="21"/>
                        <w:rFonts w:hint="eastAsia" w:ascii="宋体" w:hAnsi="宋体"/>
                        <w:sz w:val="28"/>
                        <w:szCs w:val="28"/>
                      </w:rPr>
                      <w:t>—</w:t>
                    </w:r>
                    <w:r>
                      <w:rPr>
                        <w:rStyle w:val="21"/>
                        <w:rFonts w:hint="eastAsia" w:ascii="宋体" w:hAnsi="宋体"/>
                        <w:sz w:val="20"/>
                      </w:rPr>
                      <w:t xml:space="preserve">  </w:t>
                    </w:r>
                    <w:r>
                      <w:rPr>
                        <w:rStyle w:val="21"/>
                        <w:rFonts w:ascii="宋体" w:hAnsi="宋体"/>
                        <w:sz w:val="26"/>
                        <w:szCs w:val="26"/>
                      </w:rPr>
                      <w:fldChar w:fldCharType="begin"/>
                    </w:r>
                    <w:r>
                      <w:rPr>
                        <w:rStyle w:val="21"/>
                        <w:rFonts w:ascii="宋体" w:hAnsi="宋体"/>
                        <w:sz w:val="26"/>
                        <w:szCs w:val="26"/>
                      </w:rPr>
                      <w:instrText xml:space="preserve">PAGE  </w:instrText>
                    </w:r>
                    <w:r>
                      <w:rPr>
                        <w:rStyle w:val="21"/>
                        <w:rFonts w:ascii="宋体" w:hAnsi="宋体"/>
                        <w:sz w:val="26"/>
                        <w:szCs w:val="26"/>
                      </w:rPr>
                      <w:fldChar w:fldCharType="separate"/>
                    </w:r>
                    <w:r>
                      <w:rPr>
                        <w:rStyle w:val="21"/>
                        <w:rFonts w:ascii="宋体" w:hAnsi="宋体"/>
                        <w:sz w:val="26"/>
                        <w:szCs w:val="26"/>
                      </w:rPr>
                      <w:t>70</w:t>
                    </w:r>
                    <w:r>
                      <w:rPr>
                        <w:rStyle w:val="21"/>
                        <w:rFonts w:ascii="宋体" w:hAnsi="宋体"/>
                        <w:sz w:val="26"/>
                        <w:szCs w:val="26"/>
                      </w:rPr>
                      <w:fldChar w:fldCharType="end"/>
                    </w:r>
                    <w:r>
                      <w:rPr>
                        <w:rStyle w:val="21"/>
                        <w:rFonts w:hint="eastAsia" w:ascii="宋体" w:hAnsi="宋体"/>
                        <w:sz w:val="20"/>
                      </w:rPr>
                      <w:t xml:space="preserve">  </w:t>
                    </w:r>
                    <w:r>
                      <w:rPr>
                        <w:rStyle w:val="21"/>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30BBAD"/>
    <w:multiLevelType w:val="singleLevel"/>
    <w:tmpl w:val="CA30BBAD"/>
    <w:lvl w:ilvl="0" w:tentative="0">
      <w:start w:val="2"/>
      <w:numFmt w:val="chineseCounting"/>
      <w:suff w:val="nothing"/>
      <w:lvlText w:val="%1、"/>
      <w:lvlJc w:val="left"/>
      <w:rPr>
        <w:rFonts w:hint="eastAsia"/>
      </w:rPr>
    </w:lvl>
  </w:abstractNum>
  <w:abstractNum w:abstractNumId="1">
    <w:nsid w:val="25449DAE"/>
    <w:multiLevelType w:val="singleLevel"/>
    <w:tmpl w:val="25449DAE"/>
    <w:lvl w:ilvl="0" w:tentative="0">
      <w:start w:val="1"/>
      <w:numFmt w:val="decimal"/>
      <w:suff w:val="nothing"/>
      <w:lvlText w:val="%1、"/>
      <w:lvlJc w:val="left"/>
    </w:lvl>
  </w:abstractNum>
  <w:abstractNum w:abstractNumId="2">
    <w:nsid w:val="2BF8629E"/>
    <w:multiLevelType w:val="singleLevel"/>
    <w:tmpl w:val="2BF8629E"/>
    <w:lvl w:ilvl="0" w:tentative="0">
      <w:start w:val="1"/>
      <w:numFmt w:val="decimal"/>
      <w:suff w:val="nothing"/>
      <w:lvlText w:val="%1、"/>
      <w:lvlJc w:val="left"/>
    </w:lvl>
  </w:abstractNum>
  <w:abstractNum w:abstractNumId="3">
    <w:nsid w:val="2E1861C4"/>
    <w:multiLevelType w:val="multilevel"/>
    <w:tmpl w:val="2E1861C4"/>
    <w:lvl w:ilvl="0" w:tentative="0">
      <w:start w:val="1"/>
      <w:numFmt w:val="chineseCounting"/>
      <w:suff w:val="nothing"/>
      <w:lvlText w:val="%1、"/>
      <w:lvlJc w:val="left"/>
      <w:pPr>
        <w:tabs>
          <w:tab w:val="left" w:pos="0"/>
        </w:tabs>
        <w:ind w:left="0" w:firstLine="0"/>
      </w:pPr>
      <w:rPr>
        <w:rFonts w:hint="eastAsia"/>
      </w:rPr>
    </w:lvl>
    <w:lvl w:ilvl="1" w:tentative="0">
      <w:start w:val="1"/>
      <w:numFmt w:val="chineseCounting"/>
      <w:pStyle w:val="5"/>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4">
    <w:nsid w:val="37CD0B7E"/>
    <w:multiLevelType w:val="singleLevel"/>
    <w:tmpl w:val="37CD0B7E"/>
    <w:lvl w:ilvl="0" w:tentative="0">
      <w:start w:val="2"/>
      <w:numFmt w:val="decimal"/>
      <w:suff w:val="nothing"/>
      <w:lvlText w:val="（%1）"/>
      <w:lvlJc w:val="left"/>
    </w:lvl>
  </w:abstractNum>
  <w:abstractNum w:abstractNumId="5">
    <w:nsid w:val="4535EF29"/>
    <w:multiLevelType w:val="singleLevel"/>
    <w:tmpl w:val="4535EF29"/>
    <w:lvl w:ilvl="0" w:tentative="0">
      <w:start w:val="1"/>
      <w:numFmt w:val="chineseCounting"/>
      <w:pStyle w:val="66"/>
      <w:suff w:val="nothing"/>
      <w:lvlText w:val="%1、"/>
      <w:lvlJc w:val="left"/>
      <w:pPr>
        <w:tabs>
          <w:tab w:val="left" w:pos="0"/>
        </w:tabs>
      </w:pPr>
      <w:rPr>
        <w:rFonts w:hint="eastAsia"/>
      </w:rPr>
    </w:lvl>
  </w:abstractNum>
  <w:abstractNum w:abstractNumId="6">
    <w:nsid w:val="6A55EFDA"/>
    <w:multiLevelType w:val="singleLevel"/>
    <w:tmpl w:val="6A55EFDA"/>
    <w:lvl w:ilvl="0" w:tentative="0">
      <w:start w:val="1"/>
      <w:numFmt w:val="decimal"/>
      <w:suff w:val="nothing"/>
      <w:lvlText w:val="%1、"/>
      <w:lvlJc w:val="left"/>
    </w:lvl>
  </w:abstractNum>
  <w:abstractNum w:abstractNumId="7">
    <w:nsid w:val="7A331769"/>
    <w:multiLevelType w:val="singleLevel"/>
    <w:tmpl w:val="7A331769"/>
    <w:lvl w:ilvl="0" w:tentative="0">
      <w:start w:val="2"/>
      <w:numFmt w:val="decimal"/>
      <w:suff w:val="nothing"/>
      <w:lvlText w:val="（%1）"/>
      <w:lvlJc w:val="left"/>
    </w:lvl>
  </w:abstractNum>
  <w:num w:numId="1">
    <w:abstractNumId w:val="3"/>
  </w:num>
  <w:num w:numId="2">
    <w:abstractNumId w:val="5"/>
  </w:num>
  <w:num w:numId="3">
    <w:abstractNumId w:val="6"/>
  </w:num>
  <w:num w:numId="4">
    <w:abstractNumId w:val="7"/>
  </w:num>
  <w:num w:numId="5">
    <w:abstractNumId w:val="0"/>
  </w:num>
  <w:num w:numId="6">
    <w:abstractNumId w:val="2"/>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Q0ZDAwNzkyNThiNmUxNzUyYThhZWIzYmVlZGVlODEifQ=="/>
  </w:docVars>
  <w:rsids>
    <w:rsidRoot w:val="00A818E0"/>
    <w:rsid w:val="00050157"/>
    <w:rsid w:val="0015426F"/>
    <w:rsid w:val="00281365"/>
    <w:rsid w:val="00336A3A"/>
    <w:rsid w:val="00617CD2"/>
    <w:rsid w:val="00867FFD"/>
    <w:rsid w:val="008B2998"/>
    <w:rsid w:val="00945E02"/>
    <w:rsid w:val="009A0DE2"/>
    <w:rsid w:val="009C14A0"/>
    <w:rsid w:val="00A818E0"/>
    <w:rsid w:val="00B03186"/>
    <w:rsid w:val="00B370B7"/>
    <w:rsid w:val="00EA058C"/>
    <w:rsid w:val="00EB26E6"/>
    <w:rsid w:val="00F41697"/>
    <w:rsid w:val="0196601E"/>
    <w:rsid w:val="02970254"/>
    <w:rsid w:val="032572CA"/>
    <w:rsid w:val="032C6748"/>
    <w:rsid w:val="035B0276"/>
    <w:rsid w:val="038811A8"/>
    <w:rsid w:val="03A72764"/>
    <w:rsid w:val="03C2759E"/>
    <w:rsid w:val="04763EE5"/>
    <w:rsid w:val="04A50DF3"/>
    <w:rsid w:val="04DE21B6"/>
    <w:rsid w:val="056D353A"/>
    <w:rsid w:val="05A01219"/>
    <w:rsid w:val="05B922DB"/>
    <w:rsid w:val="05C974F9"/>
    <w:rsid w:val="05E76E48"/>
    <w:rsid w:val="066E1317"/>
    <w:rsid w:val="0673692E"/>
    <w:rsid w:val="06A967F3"/>
    <w:rsid w:val="06AD62E4"/>
    <w:rsid w:val="06F07F7E"/>
    <w:rsid w:val="07140111"/>
    <w:rsid w:val="07320597"/>
    <w:rsid w:val="07A801F5"/>
    <w:rsid w:val="08493DEA"/>
    <w:rsid w:val="08EB6C4F"/>
    <w:rsid w:val="099F7A3A"/>
    <w:rsid w:val="09DF42DA"/>
    <w:rsid w:val="09EA6F07"/>
    <w:rsid w:val="0A9C3941"/>
    <w:rsid w:val="0AAF0151"/>
    <w:rsid w:val="0AC27E84"/>
    <w:rsid w:val="0AC93B86"/>
    <w:rsid w:val="0ADD2F10"/>
    <w:rsid w:val="0B3F7AF5"/>
    <w:rsid w:val="0B9D61FB"/>
    <w:rsid w:val="0BB65346"/>
    <w:rsid w:val="0BCB720C"/>
    <w:rsid w:val="0CAF10DB"/>
    <w:rsid w:val="0D103128"/>
    <w:rsid w:val="0D295F98"/>
    <w:rsid w:val="0E4F5ED2"/>
    <w:rsid w:val="0E7B0A75"/>
    <w:rsid w:val="0E7B2823"/>
    <w:rsid w:val="0E807E3A"/>
    <w:rsid w:val="0EC3241C"/>
    <w:rsid w:val="0F0059EA"/>
    <w:rsid w:val="0F3550C8"/>
    <w:rsid w:val="0FF567B5"/>
    <w:rsid w:val="100F3B6B"/>
    <w:rsid w:val="102019CA"/>
    <w:rsid w:val="10CC380A"/>
    <w:rsid w:val="115A66EE"/>
    <w:rsid w:val="115F467E"/>
    <w:rsid w:val="117874EE"/>
    <w:rsid w:val="12246B81"/>
    <w:rsid w:val="12A85BB1"/>
    <w:rsid w:val="12D9220E"/>
    <w:rsid w:val="12DA1AE3"/>
    <w:rsid w:val="13190DC0"/>
    <w:rsid w:val="13DD1A47"/>
    <w:rsid w:val="14132F2E"/>
    <w:rsid w:val="145A112D"/>
    <w:rsid w:val="145D0DF7"/>
    <w:rsid w:val="14983A03"/>
    <w:rsid w:val="14BE346A"/>
    <w:rsid w:val="15311E8E"/>
    <w:rsid w:val="15981F0D"/>
    <w:rsid w:val="15D32F45"/>
    <w:rsid w:val="16133C89"/>
    <w:rsid w:val="16881F81"/>
    <w:rsid w:val="171769D3"/>
    <w:rsid w:val="17514A69"/>
    <w:rsid w:val="17822E75"/>
    <w:rsid w:val="17F25FE3"/>
    <w:rsid w:val="18006AB5"/>
    <w:rsid w:val="190653E0"/>
    <w:rsid w:val="193B0E68"/>
    <w:rsid w:val="196D545F"/>
    <w:rsid w:val="19A54BF8"/>
    <w:rsid w:val="19DC751A"/>
    <w:rsid w:val="19E41BC5"/>
    <w:rsid w:val="1A141D7E"/>
    <w:rsid w:val="1A296685"/>
    <w:rsid w:val="1A60729F"/>
    <w:rsid w:val="1AAF0857"/>
    <w:rsid w:val="1B8C1633"/>
    <w:rsid w:val="1B9B4663"/>
    <w:rsid w:val="1C200F87"/>
    <w:rsid w:val="1C33473D"/>
    <w:rsid w:val="1D167BBB"/>
    <w:rsid w:val="1D3764AF"/>
    <w:rsid w:val="1DA11B7B"/>
    <w:rsid w:val="1DBA7F70"/>
    <w:rsid w:val="1DCE21DB"/>
    <w:rsid w:val="1EE7180F"/>
    <w:rsid w:val="1EE75CB3"/>
    <w:rsid w:val="1F040613"/>
    <w:rsid w:val="1F0B3750"/>
    <w:rsid w:val="1F1D536F"/>
    <w:rsid w:val="1F882FF2"/>
    <w:rsid w:val="1FD9384E"/>
    <w:rsid w:val="1FE25649"/>
    <w:rsid w:val="201E5705"/>
    <w:rsid w:val="202A5E57"/>
    <w:rsid w:val="20384A18"/>
    <w:rsid w:val="20FA7F20"/>
    <w:rsid w:val="21262AC3"/>
    <w:rsid w:val="22493F70"/>
    <w:rsid w:val="22A85759"/>
    <w:rsid w:val="22CC58EC"/>
    <w:rsid w:val="22E91FFA"/>
    <w:rsid w:val="233D205C"/>
    <w:rsid w:val="23641680"/>
    <w:rsid w:val="23E40A13"/>
    <w:rsid w:val="23E7405F"/>
    <w:rsid w:val="24415E66"/>
    <w:rsid w:val="245231DD"/>
    <w:rsid w:val="24ED56A6"/>
    <w:rsid w:val="25453641"/>
    <w:rsid w:val="257858B7"/>
    <w:rsid w:val="25E62821"/>
    <w:rsid w:val="26355556"/>
    <w:rsid w:val="265F25D3"/>
    <w:rsid w:val="26FD3091"/>
    <w:rsid w:val="27D33279"/>
    <w:rsid w:val="28AF15F0"/>
    <w:rsid w:val="28D1276D"/>
    <w:rsid w:val="28F2772E"/>
    <w:rsid w:val="29233D8C"/>
    <w:rsid w:val="29821D19"/>
    <w:rsid w:val="2A3A313B"/>
    <w:rsid w:val="2A50295E"/>
    <w:rsid w:val="2B0B4AD7"/>
    <w:rsid w:val="2BA32F62"/>
    <w:rsid w:val="2BB138D1"/>
    <w:rsid w:val="2C093E29"/>
    <w:rsid w:val="2C293467"/>
    <w:rsid w:val="2C3167C0"/>
    <w:rsid w:val="2C506C46"/>
    <w:rsid w:val="2C7D37B3"/>
    <w:rsid w:val="2CA42F93"/>
    <w:rsid w:val="2CBA5C99"/>
    <w:rsid w:val="2CD77259"/>
    <w:rsid w:val="2D113C66"/>
    <w:rsid w:val="2D5B4FFC"/>
    <w:rsid w:val="2DAD00C8"/>
    <w:rsid w:val="2DE51610"/>
    <w:rsid w:val="2DE76DB3"/>
    <w:rsid w:val="2E7D5CEC"/>
    <w:rsid w:val="2ED0406E"/>
    <w:rsid w:val="2FAA0D63"/>
    <w:rsid w:val="2FF87D20"/>
    <w:rsid w:val="30B6082E"/>
    <w:rsid w:val="311E37B6"/>
    <w:rsid w:val="31B779DB"/>
    <w:rsid w:val="31BC6B2B"/>
    <w:rsid w:val="31D83D29"/>
    <w:rsid w:val="322070BA"/>
    <w:rsid w:val="32425237"/>
    <w:rsid w:val="32974EF3"/>
    <w:rsid w:val="330E67EF"/>
    <w:rsid w:val="332B4862"/>
    <w:rsid w:val="33B421B0"/>
    <w:rsid w:val="33EF143A"/>
    <w:rsid w:val="344A48C2"/>
    <w:rsid w:val="34713BFD"/>
    <w:rsid w:val="3478761C"/>
    <w:rsid w:val="3489363D"/>
    <w:rsid w:val="348D3D41"/>
    <w:rsid w:val="34B41D3C"/>
    <w:rsid w:val="3528102E"/>
    <w:rsid w:val="353335A8"/>
    <w:rsid w:val="3598340C"/>
    <w:rsid w:val="35BB6BE5"/>
    <w:rsid w:val="36015455"/>
    <w:rsid w:val="36E12A0B"/>
    <w:rsid w:val="371B330B"/>
    <w:rsid w:val="37421881"/>
    <w:rsid w:val="382A0C93"/>
    <w:rsid w:val="39335925"/>
    <w:rsid w:val="394B4979"/>
    <w:rsid w:val="3AA52853"/>
    <w:rsid w:val="3AE72E6B"/>
    <w:rsid w:val="3B6E0E96"/>
    <w:rsid w:val="3BD50FD8"/>
    <w:rsid w:val="3BDC04F6"/>
    <w:rsid w:val="3C3E2F5F"/>
    <w:rsid w:val="3C6E4EC6"/>
    <w:rsid w:val="3C97266F"/>
    <w:rsid w:val="3CBB32D5"/>
    <w:rsid w:val="3D3E0D3C"/>
    <w:rsid w:val="3D8726E3"/>
    <w:rsid w:val="3D8A5D30"/>
    <w:rsid w:val="3DDC71EA"/>
    <w:rsid w:val="3DE25B6C"/>
    <w:rsid w:val="3E5121EE"/>
    <w:rsid w:val="3E6B3DB3"/>
    <w:rsid w:val="3E724F15"/>
    <w:rsid w:val="3EAB550B"/>
    <w:rsid w:val="3F19736B"/>
    <w:rsid w:val="3F7F7B16"/>
    <w:rsid w:val="3FDD65EB"/>
    <w:rsid w:val="40844CB8"/>
    <w:rsid w:val="40BC08F6"/>
    <w:rsid w:val="410F6C78"/>
    <w:rsid w:val="41650F8E"/>
    <w:rsid w:val="41D37CA5"/>
    <w:rsid w:val="41F8770C"/>
    <w:rsid w:val="423050F8"/>
    <w:rsid w:val="42864D18"/>
    <w:rsid w:val="430A11BE"/>
    <w:rsid w:val="430D368B"/>
    <w:rsid w:val="432C2148"/>
    <w:rsid w:val="433E3844"/>
    <w:rsid w:val="433E55F2"/>
    <w:rsid w:val="436112E1"/>
    <w:rsid w:val="43C81C79"/>
    <w:rsid w:val="443D3939"/>
    <w:rsid w:val="44894F93"/>
    <w:rsid w:val="448E6105"/>
    <w:rsid w:val="44C75AED"/>
    <w:rsid w:val="4545710C"/>
    <w:rsid w:val="45961716"/>
    <w:rsid w:val="45B002FD"/>
    <w:rsid w:val="460F771A"/>
    <w:rsid w:val="46696E2A"/>
    <w:rsid w:val="46BF2EEE"/>
    <w:rsid w:val="47324D01"/>
    <w:rsid w:val="47AB607B"/>
    <w:rsid w:val="47B0775E"/>
    <w:rsid w:val="47FA1658"/>
    <w:rsid w:val="48621D83"/>
    <w:rsid w:val="49675177"/>
    <w:rsid w:val="49B27967"/>
    <w:rsid w:val="4AFB201B"/>
    <w:rsid w:val="4BA44460"/>
    <w:rsid w:val="4BA6642B"/>
    <w:rsid w:val="4BEB6533"/>
    <w:rsid w:val="4C2A0E0A"/>
    <w:rsid w:val="4C6B4F7E"/>
    <w:rsid w:val="4CCA0DCB"/>
    <w:rsid w:val="4CF02A60"/>
    <w:rsid w:val="4D3C621B"/>
    <w:rsid w:val="4D4952BF"/>
    <w:rsid w:val="4D5D6FBD"/>
    <w:rsid w:val="4D73058E"/>
    <w:rsid w:val="4D8409ED"/>
    <w:rsid w:val="4DE1199C"/>
    <w:rsid w:val="4DE60D60"/>
    <w:rsid w:val="4E0D2791"/>
    <w:rsid w:val="4E915170"/>
    <w:rsid w:val="501C4F0D"/>
    <w:rsid w:val="50483F54"/>
    <w:rsid w:val="5066262C"/>
    <w:rsid w:val="506A1816"/>
    <w:rsid w:val="5086682B"/>
    <w:rsid w:val="50AD025B"/>
    <w:rsid w:val="5133250E"/>
    <w:rsid w:val="51356BF3"/>
    <w:rsid w:val="51713037"/>
    <w:rsid w:val="51ED723F"/>
    <w:rsid w:val="525A1D1D"/>
    <w:rsid w:val="52D9779A"/>
    <w:rsid w:val="53A40EB9"/>
    <w:rsid w:val="53BA0CC5"/>
    <w:rsid w:val="53DF697E"/>
    <w:rsid w:val="53E421E6"/>
    <w:rsid w:val="54020E8E"/>
    <w:rsid w:val="547A44AE"/>
    <w:rsid w:val="54E56D3A"/>
    <w:rsid w:val="54F4706F"/>
    <w:rsid w:val="54F97A05"/>
    <w:rsid w:val="5530076D"/>
    <w:rsid w:val="55C51BA3"/>
    <w:rsid w:val="55DB4F23"/>
    <w:rsid w:val="56352885"/>
    <w:rsid w:val="56632302"/>
    <w:rsid w:val="56DB78D0"/>
    <w:rsid w:val="57C57C38"/>
    <w:rsid w:val="57E521BA"/>
    <w:rsid w:val="583F7BBD"/>
    <w:rsid w:val="58507E4A"/>
    <w:rsid w:val="590934FF"/>
    <w:rsid w:val="59165891"/>
    <w:rsid w:val="59652C74"/>
    <w:rsid w:val="599B49B8"/>
    <w:rsid w:val="59A54FEC"/>
    <w:rsid w:val="5A4F7C8D"/>
    <w:rsid w:val="5AE917C6"/>
    <w:rsid w:val="5B467BF9"/>
    <w:rsid w:val="5B67361C"/>
    <w:rsid w:val="5B9242D5"/>
    <w:rsid w:val="5C1271C4"/>
    <w:rsid w:val="5C163158"/>
    <w:rsid w:val="5C1B42CB"/>
    <w:rsid w:val="5CC1745B"/>
    <w:rsid w:val="5CD01B18"/>
    <w:rsid w:val="5CE45005"/>
    <w:rsid w:val="5D991B94"/>
    <w:rsid w:val="5DA16A52"/>
    <w:rsid w:val="5DBB2DE9"/>
    <w:rsid w:val="5F531FCE"/>
    <w:rsid w:val="5F5F6BC4"/>
    <w:rsid w:val="5F6F3FC2"/>
    <w:rsid w:val="5F7D1D36"/>
    <w:rsid w:val="5FBE38EB"/>
    <w:rsid w:val="5FD41360"/>
    <w:rsid w:val="602045A6"/>
    <w:rsid w:val="61471ACE"/>
    <w:rsid w:val="61DD6FB9"/>
    <w:rsid w:val="624865AE"/>
    <w:rsid w:val="628F77D4"/>
    <w:rsid w:val="62AC7743"/>
    <w:rsid w:val="62D653F0"/>
    <w:rsid w:val="62E713AB"/>
    <w:rsid w:val="63251ED3"/>
    <w:rsid w:val="63437D02"/>
    <w:rsid w:val="63A86D8C"/>
    <w:rsid w:val="63B82D47"/>
    <w:rsid w:val="63CD15D5"/>
    <w:rsid w:val="63CD67F3"/>
    <w:rsid w:val="63FC2C34"/>
    <w:rsid w:val="63FE6412"/>
    <w:rsid w:val="64754794"/>
    <w:rsid w:val="64CC6AAA"/>
    <w:rsid w:val="6509385A"/>
    <w:rsid w:val="65A43583"/>
    <w:rsid w:val="65B66740"/>
    <w:rsid w:val="65BC7FC9"/>
    <w:rsid w:val="65F30EAE"/>
    <w:rsid w:val="66263F98"/>
    <w:rsid w:val="663E5786"/>
    <w:rsid w:val="665F7750"/>
    <w:rsid w:val="66C20165"/>
    <w:rsid w:val="66F6096B"/>
    <w:rsid w:val="670D6B28"/>
    <w:rsid w:val="6732696D"/>
    <w:rsid w:val="6751773B"/>
    <w:rsid w:val="677E1BB2"/>
    <w:rsid w:val="67C021CA"/>
    <w:rsid w:val="67C717AB"/>
    <w:rsid w:val="67DF6AF4"/>
    <w:rsid w:val="68364B21"/>
    <w:rsid w:val="68727968"/>
    <w:rsid w:val="6931512E"/>
    <w:rsid w:val="6954706E"/>
    <w:rsid w:val="69AC6EAA"/>
    <w:rsid w:val="69CB5697"/>
    <w:rsid w:val="6A55309E"/>
    <w:rsid w:val="6AC23FEA"/>
    <w:rsid w:val="6AD30E33"/>
    <w:rsid w:val="6B286A04"/>
    <w:rsid w:val="6B560E7C"/>
    <w:rsid w:val="6B735ED1"/>
    <w:rsid w:val="6B7D0AFE"/>
    <w:rsid w:val="6C022DB1"/>
    <w:rsid w:val="6C303DC2"/>
    <w:rsid w:val="6D411D30"/>
    <w:rsid w:val="6D4573FA"/>
    <w:rsid w:val="6D4F0278"/>
    <w:rsid w:val="6DA71BD8"/>
    <w:rsid w:val="6DAF6F69"/>
    <w:rsid w:val="6DC72505"/>
    <w:rsid w:val="6DFF2AAA"/>
    <w:rsid w:val="6EB8799F"/>
    <w:rsid w:val="6EBA0956"/>
    <w:rsid w:val="6EC2361C"/>
    <w:rsid w:val="6F265009"/>
    <w:rsid w:val="6F834209"/>
    <w:rsid w:val="70291255"/>
    <w:rsid w:val="70381498"/>
    <w:rsid w:val="703D0630"/>
    <w:rsid w:val="70731855"/>
    <w:rsid w:val="7078057D"/>
    <w:rsid w:val="70B04586"/>
    <w:rsid w:val="70D37F8E"/>
    <w:rsid w:val="71063344"/>
    <w:rsid w:val="715E0981"/>
    <w:rsid w:val="71C56D5B"/>
    <w:rsid w:val="71ED62B2"/>
    <w:rsid w:val="724C122A"/>
    <w:rsid w:val="72E43211"/>
    <w:rsid w:val="730613D9"/>
    <w:rsid w:val="739369E5"/>
    <w:rsid w:val="73CC55B2"/>
    <w:rsid w:val="7419338E"/>
    <w:rsid w:val="74566390"/>
    <w:rsid w:val="749630AF"/>
    <w:rsid w:val="74C57072"/>
    <w:rsid w:val="750270F1"/>
    <w:rsid w:val="75265D63"/>
    <w:rsid w:val="75956A44"/>
    <w:rsid w:val="75A672C4"/>
    <w:rsid w:val="75C37A55"/>
    <w:rsid w:val="762D3121"/>
    <w:rsid w:val="76571F4C"/>
    <w:rsid w:val="777D3C34"/>
    <w:rsid w:val="77894387"/>
    <w:rsid w:val="77EB5AD0"/>
    <w:rsid w:val="780B56E4"/>
    <w:rsid w:val="78544995"/>
    <w:rsid w:val="792A1B99"/>
    <w:rsid w:val="79A97C49"/>
    <w:rsid w:val="7AF91823"/>
    <w:rsid w:val="7B0501C8"/>
    <w:rsid w:val="7B571AE7"/>
    <w:rsid w:val="7C390F45"/>
    <w:rsid w:val="7C4B4301"/>
    <w:rsid w:val="7C635614"/>
    <w:rsid w:val="7D012C11"/>
    <w:rsid w:val="7D0F532E"/>
    <w:rsid w:val="7D76142E"/>
    <w:rsid w:val="7DC4436B"/>
    <w:rsid w:val="7DDD71DA"/>
    <w:rsid w:val="7E3314F0"/>
    <w:rsid w:val="7E6B2A38"/>
    <w:rsid w:val="7E8813E9"/>
    <w:rsid w:val="7F2F551B"/>
    <w:rsid w:val="7F427C3D"/>
    <w:rsid w:val="7F6A0F42"/>
    <w:rsid w:val="7FBB35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1"/>
    <w:pPr>
      <w:numPr>
        <w:ilvl w:val="1"/>
        <w:numId w:val="1"/>
      </w:numPr>
      <w:ind w:left="0"/>
      <w:outlineLvl w:val="1"/>
    </w:pPr>
    <w:rPr>
      <w:rFonts w:ascii="宋体" w:hAnsi="宋体" w:eastAsia="宋体" w:cs="宋体"/>
      <w:b/>
      <w:bCs/>
      <w:sz w:val="24"/>
      <w:szCs w:val="24"/>
      <w:lang w:val="zh-CN" w:eastAsia="zh-CN" w:bidi="zh-CN"/>
    </w:rPr>
  </w:style>
  <w:style w:type="paragraph" w:styleId="6">
    <w:name w:val="heading 3"/>
    <w:basedOn w:val="1"/>
    <w:next w:val="1"/>
    <w:qFormat/>
    <w:uiPriority w:val="0"/>
    <w:pPr>
      <w:keepNext/>
      <w:keepLines/>
      <w:adjustRightInd w:val="0"/>
      <w:spacing w:line="360" w:lineRule="auto"/>
      <w:ind w:left="397"/>
      <w:textAlignment w:val="baseline"/>
      <w:outlineLvl w:val="2"/>
    </w:pPr>
    <w:rPr>
      <w:rFonts w:ascii="宋体" w:hAnsi="Arial"/>
      <w:b/>
      <w:szCs w:val="20"/>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header"/>
    <w:basedOn w:val="1"/>
    <w:next w:val="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3">
    <w:name w:val="样式5"/>
    <w:basedOn w:val="4"/>
    <w:qFormat/>
    <w:uiPriority w:val="0"/>
    <w:pPr>
      <w:spacing w:line="440" w:lineRule="exact"/>
      <w:ind w:firstLine="200"/>
    </w:pPr>
    <w:rPr>
      <w:rFonts w:ascii="Arial" w:hAnsi="Arial"/>
    </w:rPr>
  </w:style>
  <w:style w:type="paragraph" w:styleId="4">
    <w:name w:val="Body Text"/>
    <w:basedOn w:val="1"/>
    <w:next w:val="1"/>
    <w:qFormat/>
    <w:uiPriority w:val="0"/>
    <w:pPr>
      <w:widowControl/>
      <w:snapToGrid w:val="0"/>
      <w:spacing w:before="60" w:after="160" w:line="259" w:lineRule="auto"/>
      <w:ind w:right="113"/>
    </w:pPr>
    <w:rPr>
      <w:kern w:val="0"/>
      <w:sz w:val="18"/>
      <w:szCs w:val="20"/>
    </w:rPr>
  </w:style>
  <w:style w:type="paragraph" w:styleId="7">
    <w:name w:val="Normal Indent"/>
    <w:basedOn w:val="1"/>
    <w:next w:val="8"/>
    <w:qFormat/>
    <w:uiPriority w:val="0"/>
    <w:pPr>
      <w:ind w:firstLine="420"/>
    </w:pPr>
    <w:rPr>
      <w:rFonts w:ascii="等线" w:hAnsi="等线" w:eastAsia="等线"/>
      <w:szCs w:val="22"/>
    </w:rPr>
  </w:style>
  <w:style w:type="paragraph" w:styleId="8">
    <w:name w:val="Body Text First Indent 2"/>
    <w:basedOn w:val="9"/>
    <w:next w:val="10"/>
    <w:qFormat/>
    <w:uiPriority w:val="99"/>
    <w:pPr>
      <w:ind w:firstLine="420" w:firstLineChars="200"/>
    </w:pPr>
    <w:rPr>
      <w:rFonts w:ascii="等线" w:hAnsi="等线" w:eastAsia="等线"/>
    </w:rPr>
  </w:style>
  <w:style w:type="paragraph" w:styleId="9">
    <w:name w:val="Body Text Indent"/>
    <w:basedOn w:val="1"/>
    <w:next w:val="1"/>
    <w:qFormat/>
    <w:uiPriority w:val="0"/>
    <w:pPr>
      <w:spacing w:after="120"/>
      <w:ind w:left="420" w:leftChars="200"/>
    </w:pPr>
    <w:rPr>
      <w:kern w:val="0"/>
      <w:sz w:val="24"/>
      <w:szCs w:val="20"/>
    </w:rPr>
  </w:style>
  <w:style w:type="paragraph" w:styleId="10">
    <w:name w:val="Body Text First Indent"/>
    <w:basedOn w:val="4"/>
    <w:next w:val="1"/>
    <w:qFormat/>
    <w:uiPriority w:val="0"/>
    <w:pPr>
      <w:widowControl w:val="0"/>
      <w:snapToGrid/>
      <w:spacing w:before="0" w:after="120" w:line="240" w:lineRule="auto"/>
      <w:ind w:right="0" w:firstLine="420" w:firstLineChars="100"/>
    </w:pPr>
    <w:rPr>
      <w:rFonts w:ascii="等线" w:hAnsi="等线" w:eastAsia="等线"/>
      <w:kern w:val="2"/>
      <w:sz w:val="21"/>
      <w:szCs w:val="22"/>
    </w:rPr>
  </w:style>
  <w:style w:type="paragraph" w:styleId="11">
    <w:name w:val="annotation text"/>
    <w:basedOn w:val="1"/>
    <w:qFormat/>
    <w:uiPriority w:val="0"/>
    <w:pPr>
      <w:jc w:val="left"/>
    </w:pPr>
  </w:style>
  <w:style w:type="paragraph" w:styleId="12">
    <w:name w:val="Body Text Indent 2"/>
    <w:basedOn w:val="1"/>
    <w:next w:val="8"/>
    <w:qFormat/>
    <w:uiPriority w:val="0"/>
    <w:pPr>
      <w:spacing w:line="500" w:lineRule="exact"/>
      <w:ind w:firstLine="556"/>
    </w:pPr>
    <w:rPr>
      <w:bCs/>
      <w:sz w:val="28"/>
      <w:szCs w:val="20"/>
    </w:rPr>
  </w:style>
  <w:style w:type="paragraph" w:styleId="13">
    <w:name w:val="footer"/>
    <w:basedOn w:val="1"/>
    <w:qFormat/>
    <w:uiPriority w:val="99"/>
    <w:pPr>
      <w:tabs>
        <w:tab w:val="center" w:pos="4153"/>
        <w:tab w:val="right" w:pos="8306"/>
      </w:tabs>
      <w:snapToGrid w:val="0"/>
      <w:jc w:val="left"/>
    </w:pPr>
    <w:rPr>
      <w:kern w:val="0"/>
      <w:sz w:val="18"/>
      <w:szCs w:val="20"/>
    </w:rPr>
  </w:style>
  <w:style w:type="paragraph" w:styleId="14">
    <w:name w:val="List"/>
    <w:basedOn w:val="1"/>
    <w:qFormat/>
    <w:uiPriority w:val="0"/>
    <w:pPr>
      <w:widowControl/>
      <w:overflowPunct w:val="0"/>
      <w:autoSpaceDE w:val="0"/>
      <w:autoSpaceDN w:val="0"/>
      <w:adjustRightInd w:val="0"/>
      <w:spacing w:line="360" w:lineRule="auto"/>
      <w:jc w:val="center"/>
      <w:textAlignment w:val="baseline"/>
    </w:pPr>
    <w:rPr>
      <w:kern w:val="0"/>
      <w:lang w:val="en-GB"/>
    </w:rPr>
  </w:style>
  <w:style w:type="paragraph" w:styleId="15">
    <w:name w:val="Body Text 2"/>
    <w:basedOn w:val="1"/>
    <w:qFormat/>
    <w:uiPriority w:val="0"/>
    <w:pPr>
      <w:spacing w:after="120" w:line="480" w:lineRule="auto"/>
    </w:pPr>
    <w:rPr>
      <w:rFonts w:ascii="等线" w:hAnsi="等线" w:eastAsia="等线"/>
      <w:szCs w:val="22"/>
    </w:rPr>
  </w:style>
  <w:style w:type="paragraph" w:styleId="16">
    <w:name w:val="Normal (Web)"/>
    <w:basedOn w:val="1"/>
    <w:qFormat/>
    <w:uiPriority w:val="0"/>
    <w:pPr>
      <w:widowControl/>
      <w:spacing w:before="100" w:beforeAutospacing="1" w:after="100" w:afterAutospacing="1"/>
      <w:jc w:val="left"/>
    </w:pPr>
    <w:rPr>
      <w:rFonts w:ascii="宋体" w:hAnsi="宋体"/>
      <w:kern w:val="0"/>
      <w:sz w:val="24"/>
      <w:szCs w:val="20"/>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page number"/>
    <w:qFormat/>
    <w:uiPriority w:val="0"/>
  </w:style>
  <w:style w:type="character" w:styleId="22">
    <w:name w:val="annotation reference"/>
    <w:basedOn w:val="19"/>
    <w:qFormat/>
    <w:uiPriority w:val="0"/>
    <w:rPr>
      <w:sz w:val="21"/>
      <w:szCs w:val="21"/>
    </w:rPr>
  </w:style>
  <w:style w:type="paragraph" w:customStyle="1" w:styleId="23">
    <w:name w:val="样式 正文文本缩进 + 行距: 1.5 倍行距"/>
    <w:basedOn w:val="9"/>
    <w:qFormat/>
    <w:uiPriority w:val="99"/>
    <w:pPr>
      <w:ind w:left="90" w:leftChars="32" w:firstLine="560"/>
    </w:pPr>
    <w:rPr>
      <w:rFonts w:cs="宋体"/>
    </w:rPr>
  </w:style>
  <w:style w:type="paragraph" w:customStyle="1" w:styleId="24">
    <w:name w:val="toc 84"/>
    <w:next w:val="1"/>
    <w:qFormat/>
    <w:uiPriority w:val="99"/>
    <w:pPr>
      <w:wordWrap w:val="0"/>
      <w:ind w:left="2975"/>
      <w:jc w:val="both"/>
    </w:pPr>
    <w:rPr>
      <w:rFonts w:ascii="Times New Roman" w:hAnsi="Times New Roman" w:eastAsia="宋体" w:cs="Times New Roman"/>
      <w:sz w:val="21"/>
      <w:szCs w:val="22"/>
      <w:lang w:val="en-US" w:eastAsia="zh-CN" w:bidi="ar-SA"/>
    </w:rPr>
  </w:style>
  <w:style w:type="paragraph" w:customStyle="1" w:styleId="25">
    <w:name w:val="Default"/>
    <w:basedOn w:val="26"/>
    <w:qFormat/>
    <w:uiPriority w:val="0"/>
    <w:pPr>
      <w:autoSpaceDE w:val="0"/>
      <w:autoSpaceDN w:val="0"/>
      <w:adjustRightInd w:val="0"/>
    </w:pPr>
    <w:rPr>
      <w:rFonts w:ascii="宋体" w:cs="宋体"/>
      <w:sz w:val="24"/>
    </w:rPr>
  </w:style>
  <w:style w:type="paragraph" w:customStyle="1" w:styleId="26">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7">
    <w:name w:val="aa正文"/>
    <w:basedOn w:val="1"/>
    <w:qFormat/>
    <w:uiPriority w:val="0"/>
    <w:pPr>
      <w:spacing w:line="360" w:lineRule="auto"/>
      <w:ind w:firstLine="200" w:firstLineChars="200"/>
    </w:pPr>
    <w:rPr>
      <w:kern w:val="0"/>
      <w:sz w:val="24"/>
    </w:rPr>
  </w:style>
  <w:style w:type="paragraph" w:customStyle="1" w:styleId="28">
    <w:name w:val="表格"/>
    <w:basedOn w:val="1"/>
    <w:next w:val="7"/>
    <w:qFormat/>
    <w:uiPriority w:val="0"/>
    <w:pPr>
      <w:adjustRightInd w:val="0"/>
      <w:snapToGrid w:val="0"/>
      <w:spacing w:beforeLines="10" w:afterLines="10" w:line="259" w:lineRule="auto"/>
      <w:jc w:val="center"/>
    </w:pPr>
    <w:rPr>
      <w:rFonts w:ascii="宋体"/>
      <w:kern w:val="0"/>
      <w:szCs w:val="20"/>
    </w:rPr>
  </w:style>
  <w:style w:type="paragraph" w:customStyle="1" w:styleId="29">
    <w:name w:val="段落 Char"/>
    <w:basedOn w:val="1"/>
    <w:qFormat/>
    <w:uiPriority w:val="0"/>
    <w:pPr>
      <w:topLinePunct/>
      <w:snapToGrid w:val="0"/>
      <w:spacing w:line="360" w:lineRule="auto"/>
      <w:ind w:firstLine="200" w:firstLineChars="200"/>
    </w:pPr>
    <w:rPr>
      <w:kern w:val="0"/>
      <w:sz w:val="24"/>
      <w:szCs w:val="20"/>
    </w:rPr>
  </w:style>
  <w:style w:type="paragraph" w:customStyle="1" w:styleId="30">
    <w:name w:val="Table Paragraph"/>
    <w:basedOn w:val="1"/>
    <w:qFormat/>
    <w:uiPriority w:val="1"/>
  </w:style>
  <w:style w:type="paragraph" w:customStyle="1" w:styleId="31">
    <w:name w:val="样式 首行缩进:  2 字符1"/>
    <w:basedOn w:val="1"/>
    <w:semiHidden/>
    <w:qFormat/>
    <w:uiPriority w:val="0"/>
    <w:pPr>
      <w:adjustRightInd w:val="0"/>
      <w:snapToGrid w:val="0"/>
      <w:spacing w:line="360" w:lineRule="auto"/>
      <w:ind w:firstLine="480" w:firstLineChars="200"/>
    </w:pPr>
    <w:rPr>
      <w:rFonts w:cs="宋体"/>
      <w:sz w:val="24"/>
      <w:szCs w:val="20"/>
    </w:rPr>
  </w:style>
  <w:style w:type="paragraph" w:customStyle="1" w:styleId="32">
    <w:name w:val="正文（无网格）"/>
    <w:basedOn w:val="1"/>
    <w:qFormat/>
    <w:uiPriority w:val="0"/>
    <w:pPr>
      <w:adjustRightInd w:val="0"/>
      <w:snapToGrid w:val="0"/>
      <w:spacing w:line="360" w:lineRule="auto"/>
      <w:ind w:firstLine="480" w:firstLineChars="200"/>
    </w:pPr>
    <w:rPr>
      <w:rFonts w:cs="宋体"/>
      <w:sz w:val="24"/>
    </w:rPr>
  </w:style>
  <w:style w:type="paragraph" w:customStyle="1" w:styleId="33">
    <w:name w:val="表的标题"/>
    <w:basedOn w:val="1"/>
    <w:next w:val="1"/>
    <w:qFormat/>
    <w:uiPriority w:val="0"/>
    <w:pPr>
      <w:adjustRightInd w:val="0"/>
      <w:snapToGrid w:val="0"/>
      <w:spacing w:before="50" w:beforeLines="50"/>
      <w:jc w:val="center"/>
    </w:pPr>
    <w:rPr>
      <w:rFonts w:eastAsia="黑体" w:cs="宋体"/>
      <w:sz w:val="24"/>
      <w:szCs w:val="20"/>
    </w:rPr>
  </w:style>
  <w:style w:type="paragraph" w:customStyle="1" w:styleId="34">
    <w:name w:val="啊啊表格内容"/>
    <w:basedOn w:val="6"/>
    <w:qFormat/>
    <w:uiPriority w:val="0"/>
    <w:pPr>
      <w:keepNext w:val="0"/>
      <w:keepLines w:val="0"/>
      <w:spacing w:line="340" w:lineRule="exact"/>
      <w:jc w:val="center"/>
      <w:outlineLvl w:val="9"/>
    </w:pPr>
    <w:rPr>
      <w:rFonts w:ascii="Calibri" w:hAnsi="Calibri" w:cs="宋体"/>
      <w:b w:val="0"/>
      <w:szCs w:val="21"/>
    </w:rPr>
  </w:style>
  <w:style w:type="character" w:customStyle="1" w:styleId="35">
    <w:name w:val="15"/>
    <w:qFormat/>
    <w:uiPriority w:val="0"/>
    <w:rPr>
      <w:rFonts w:hint="default" w:ascii="ˎ̥" w:hAnsi="ˎ̥"/>
      <w:color w:val="000000"/>
      <w:sz w:val="19"/>
      <w:szCs w:val="19"/>
    </w:rPr>
  </w:style>
  <w:style w:type="paragraph" w:customStyle="1" w:styleId="36">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37">
    <w:name w:val="文章正文样式"/>
    <w:basedOn w:val="1"/>
    <w:qFormat/>
    <w:uiPriority w:val="0"/>
    <w:pPr>
      <w:spacing w:line="520" w:lineRule="exact"/>
      <w:ind w:firstLine="480" w:firstLineChars="200"/>
      <w:jc w:val="left"/>
    </w:pPr>
    <w:rPr>
      <w:rFonts w:ascii="宋体" w:hAnsi="宋体" w:cs="宋体"/>
      <w:sz w:val="24"/>
      <w:szCs w:val="20"/>
    </w:rPr>
  </w:style>
  <w:style w:type="paragraph" w:customStyle="1" w:styleId="38">
    <w:name w:val="正文3"/>
    <w:basedOn w:val="15"/>
    <w:qFormat/>
    <w:uiPriority w:val="0"/>
    <w:pPr>
      <w:adjustRightInd w:val="0"/>
      <w:snapToGrid w:val="0"/>
      <w:spacing w:after="0" w:line="360" w:lineRule="auto"/>
      <w:ind w:firstLine="200" w:firstLineChars="200"/>
    </w:pPr>
    <w:rPr>
      <w:sz w:val="24"/>
    </w:rPr>
  </w:style>
  <w:style w:type="paragraph" w:customStyle="1" w:styleId="39">
    <w:name w:val="05F凡式正文"/>
    <w:basedOn w:val="1"/>
    <w:qFormat/>
    <w:uiPriority w:val="0"/>
    <w:pPr>
      <w:spacing w:line="360" w:lineRule="auto"/>
      <w:ind w:firstLine="720" w:firstLineChars="200"/>
    </w:pPr>
    <w:rPr>
      <w:kern w:val="0"/>
      <w:sz w:val="24"/>
      <w:szCs w:val="20"/>
    </w:rPr>
  </w:style>
  <w:style w:type="paragraph" w:customStyle="1" w:styleId="40">
    <w:name w:val="Default1"/>
    <w:basedOn w:val="41"/>
    <w:next w:val="41"/>
    <w:qFormat/>
    <w:uiPriority w:val="0"/>
    <w:pPr>
      <w:autoSpaceDE w:val="0"/>
      <w:autoSpaceDN w:val="0"/>
      <w:adjustRightInd w:val="0"/>
    </w:pPr>
    <w:rPr>
      <w:rFonts w:cs="宋体"/>
      <w:color w:val="000000"/>
    </w:rPr>
  </w:style>
  <w:style w:type="paragraph" w:customStyle="1" w:styleId="41">
    <w:name w:val="常用正文样式"/>
    <w:qFormat/>
    <w:uiPriority w:val="0"/>
    <w:pPr>
      <w:widowControl w:val="0"/>
      <w:spacing w:line="360" w:lineRule="auto"/>
      <w:ind w:firstLine="454"/>
      <w:jc w:val="both"/>
    </w:pPr>
    <w:rPr>
      <w:rFonts w:ascii="宋体" w:hAnsi="新宋体" w:eastAsia="仿宋_GB2312" w:cs="Times New Roman"/>
      <w:kern w:val="2"/>
      <w:sz w:val="24"/>
      <w:szCs w:val="24"/>
      <w:lang w:val="en-US" w:eastAsia="zh-CN" w:bidi="ar-SA"/>
    </w:rPr>
  </w:style>
  <w:style w:type="paragraph" w:customStyle="1" w:styleId="42">
    <w:name w:val="YH正文"/>
    <w:basedOn w:val="1"/>
    <w:qFormat/>
    <w:uiPriority w:val="0"/>
    <w:pPr>
      <w:autoSpaceDE w:val="0"/>
      <w:autoSpaceDN w:val="0"/>
      <w:adjustRightInd w:val="0"/>
      <w:ind w:left="50" w:leftChars="50" w:right="50" w:rightChars="50" w:firstLine="200"/>
      <w:jc w:val="left"/>
    </w:pPr>
    <w:rPr>
      <w:szCs w:val="21"/>
    </w:rPr>
  </w:style>
  <w:style w:type="paragraph" w:customStyle="1" w:styleId="43">
    <w:name w:val="lgg正文123"/>
    <w:basedOn w:val="1"/>
    <w:qFormat/>
    <w:uiPriority w:val="0"/>
    <w:pPr>
      <w:adjustRightInd w:val="0"/>
      <w:snapToGrid w:val="0"/>
      <w:spacing w:line="360" w:lineRule="auto"/>
      <w:ind w:firstLine="200" w:firstLineChars="200"/>
    </w:pPr>
    <w:rPr>
      <w:kern w:val="18"/>
      <w:sz w:val="24"/>
    </w:rPr>
  </w:style>
  <w:style w:type="paragraph" w:customStyle="1" w:styleId="44">
    <w:name w:val="新表格"/>
    <w:basedOn w:val="1"/>
    <w:qFormat/>
    <w:uiPriority w:val="0"/>
    <w:pPr>
      <w:spacing w:line="288" w:lineRule="auto"/>
      <w:jc w:val="center"/>
    </w:pPr>
    <w:rPr>
      <w:kern w:val="0"/>
      <w:lang w:eastAsia="en-US"/>
    </w:rPr>
  </w:style>
  <w:style w:type="character" w:customStyle="1" w:styleId="45">
    <w:name w:val="font71"/>
    <w:qFormat/>
    <w:uiPriority w:val="0"/>
    <w:rPr>
      <w:rFonts w:hint="default" w:ascii="Times New Roman" w:hAnsi="Times New Roman" w:cs="Times New Roman"/>
      <w:color w:val="000000"/>
      <w:sz w:val="18"/>
      <w:szCs w:val="18"/>
      <w:u w:val="none"/>
      <w:vertAlign w:val="superscript"/>
    </w:rPr>
  </w:style>
  <w:style w:type="character" w:customStyle="1" w:styleId="46">
    <w:name w:val="font01"/>
    <w:basedOn w:val="19"/>
    <w:qFormat/>
    <w:uiPriority w:val="0"/>
    <w:rPr>
      <w:rFonts w:hint="eastAsia" w:ascii="宋体" w:hAnsi="宋体" w:eastAsia="宋体" w:cs="宋体"/>
      <w:color w:val="000000"/>
      <w:sz w:val="21"/>
      <w:szCs w:val="21"/>
      <w:u w:val="none"/>
    </w:rPr>
  </w:style>
  <w:style w:type="paragraph" w:customStyle="1" w:styleId="47">
    <w:name w:val="正文样式"/>
    <w:basedOn w:val="1"/>
    <w:qFormat/>
    <w:uiPriority w:val="0"/>
    <w:pPr>
      <w:spacing w:line="360" w:lineRule="auto"/>
      <w:ind w:right="170" w:firstLine="480" w:firstLineChars="200"/>
    </w:pPr>
    <w:rPr>
      <w:rFonts w:hAnsi="宋体"/>
      <w:sz w:val="24"/>
    </w:rPr>
  </w:style>
  <w:style w:type="paragraph" w:customStyle="1" w:styleId="48">
    <w:name w:val="lh-正文-报告表"/>
    <w:basedOn w:val="1"/>
    <w:qFormat/>
    <w:uiPriority w:val="0"/>
    <w:pPr>
      <w:spacing w:line="360" w:lineRule="auto"/>
      <w:ind w:firstLine="480" w:firstLineChars="200"/>
    </w:pPr>
    <w:rPr>
      <w:kern w:val="0"/>
      <w:sz w:val="24"/>
      <w:szCs w:val="21"/>
    </w:rPr>
  </w:style>
  <w:style w:type="paragraph" w:customStyle="1" w:styleId="49">
    <w:name w:val="【正文】"/>
    <w:basedOn w:val="1"/>
    <w:qFormat/>
    <w:uiPriority w:val="0"/>
    <w:pPr>
      <w:adjustRightInd w:val="0"/>
      <w:snapToGrid w:val="0"/>
      <w:spacing w:line="360" w:lineRule="auto"/>
      <w:ind w:firstLine="200" w:firstLineChars="200"/>
      <w:jc w:val="left"/>
    </w:pPr>
    <w:rPr>
      <w:kern w:val="0"/>
      <w:sz w:val="24"/>
      <w:szCs w:val="20"/>
    </w:rPr>
  </w:style>
  <w:style w:type="paragraph" w:customStyle="1" w:styleId="50">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51">
    <w:name w:val="常用表格样式"/>
    <w:basedOn w:val="41"/>
    <w:next w:val="41"/>
    <w:qFormat/>
    <w:uiPriority w:val="0"/>
    <w:pPr>
      <w:spacing w:line="240" w:lineRule="auto"/>
      <w:ind w:firstLine="0"/>
      <w:jc w:val="center"/>
    </w:pPr>
    <w:rPr>
      <w:spacing w:val="2"/>
      <w:sz w:val="18"/>
    </w:rPr>
  </w:style>
  <w:style w:type="paragraph" w:customStyle="1" w:styleId="52">
    <w:name w:val="正本文字"/>
    <w:basedOn w:val="1"/>
    <w:qFormat/>
    <w:uiPriority w:val="0"/>
    <w:pPr>
      <w:adjustRightInd w:val="0"/>
      <w:snapToGrid w:val="0"/>
      <w:spacing w:line="360" w:lineRule="auto"/>
      <w:ind w:firstLine="480" w:firstLineChars="200"/>
      <w:jc w:val="left"/>
    </w:pPr>
    <w:rPr>
      <w:kern w:val="18"/>
      <w:sz w:val="24"/>
      <w:szCs w:val="20"/>
    </w:rPr>
  </w:style>
  <w:style w:type="paragraph" w:customStyle="1" w:styleId="53">
    <w:name w:val="F图表头"/>
    <w:basedOn w:val="1"/>
    <w:qFormat/>
    <w:uiPriority w:val="0"/>
    <w:pPr>
      <w:jc w:val="center"/>
    </w:pPr>
    <w:rPr>
      <w:b/>
    </w:rPr>
  </w:style>
  <w:style w:type="paragraph" w:customStyle="1" w:styleId="54">
    <w:name w:val="表格内正文"/>
    <w:basedOn w:val="1"/>
    <w:next w:val="55"/>
    <w:qFormat/>
    <w:uiPriority w:val="0"/>
    <w:pPr>
      <w:spacing w:line="360" w:lineRule="auto"/>
      <w:ind w:firstLine="499"/>
    </w:pPr>
    <w:rPr>
      <w:rFonts w:ascii="宋体" w:hAnsi="宋体"/>
      <w:spacing w:val="4"/>
      <w:kern w:val="18"/>
      <w:sz w:val="24"/>
    </w:rPr>
  </w:style>
  <w:style w:type="paragraph" w:customStyle="1" w:styleId="55">
    <w:name w:val="A 正文"/>
    <w:basedOn w:val="1"/>
    <w:qFormat/>
    <w:uiPriority w:val="0"/>
    <w:pPr>
      <w:spacing w:line="360" w:lineRule="auto"/>
      <w:ind w:firstLine="200" w:firstLineChars="200"/>
    </w:pPr>
    <w:rPr>
      <w:sz w:val="24"/>
    </w:rPr>
  </w:style>
  <w:style w:type="paragraph" w:customStyle="1" w:styleId="56">
    <w:name w:val="+正文"/>
    <w:basedOn w:val="1"/>
    <w:qFormat/>
    <w:uiPriority w:val="0"/>
    <w:pPr>
      <w:spacing w:line="360" w:lineRule="auto"/>
      <w:ind w:firstLine="200" w:firstLineChars="200"/>
    </w:pPr>
    <w:rPr>
      <w:sz w:val="24"/>
      <w:szCs w:val="28"/>
    </w:rPr>
  </w:style>
  <w:style w:type="paragraph" w:customStyle="1" w:styleId="57">
    <w:name w:val="ZH正文"/>
    <w:basedOn w:val="1"/>
    <w:qFormat/>
    <w:uiPriority w:val="0"/>
    <w:pPr>
      <w:spacing w:line="360" w:lineRule="auto"/>
      <w:ind w:firstLine="200" w:firstLineChars="200"/>
    </w:pPr>
    <w:rPr>
      <w:sz w:val="24"/>
    </w:rPr>
  </w:style>
  <w:style w:type="paragraph" w:customStyle="1" w:styleId="58">
    <w:name w:val="环评报告表新版-正文"/>
    <w:basedOn w:val="1"/>
    <w:qFormat/>
    <w:uiPriority w:val="0"/>
    <w:pPr>
      <w:autoSpaceDE w:val="0"/>
      <w:autoSpaceDN w:val="0"/>
      <w:adjustRightInd w:val="0"/>
      <w:snapToGrid w:val="0"/>
      <w:spacing w:line="360" w:lineRule="exact"/>
      <w:ind w:firstLine="200" w:firstLineChars="200"/>
    </w:pPr>
    <w:rPr>
      <w:rFonts w:cs="宋体"/>
      <w:kern w:val="0"/>
      <w:sz w:val="24"/>
      <w:szCs w:val="21"/>
    </w:rPr>
  </w:style>
  <w:style w:type="paragraph" w:customStyle="1" w:styleId="59">
    <w:name w:val="表格样式"/>
    <w:basedOn w:val="1"/>
    <w:qFormat/>
    <w:uiPriority w:val="0"/>
    <w:pPr>
      <w:jc w:val="center"/>
    </w:pPr>
  </w:style>
  <w:style w:type="paragraph" w:customStyle="1" w:styleId="60">
    <w:name w:val="样式 标题 2"/>
    <w:basedOn w:val="5"/>
    <w:qFormat/>
    <w:uiPriority w:val="0"/>
    <w:pPr>
      <w:spacing w:before="50" w:after="50"/>
    </w:pPr>
  </w:style>
  <w:style w:type="paragraph" w:customStyle="1" w:styleId="61">
    <w:name w:val="表头"/>
    <w:basedOn w:val="14"/>
    <w:next w:val="1"/>
    <w:qFormat/>
    <w:uiPriority w:val="0"/>
    <w:pPr>
      <w:spacing w:line="240" w:lineRule="auto"/>
      <w:ind w:firstLine="0" w:firstLineChars="0"/>
      <w:jc w:val="center"/>
    </w:pPr>
    <w:rPr>
      <w:rFonts w:ascii="Times New Roman" w:hAnsi="Times New Roman" w:eastAsia="宋体" w:cs="Times New Roman"/>
      <w:b/>
      <w:sz w:val="21"/>
    </w:rPr>
  </w:style>
  <w:style w:type="paragraph" w:customStyle="1" w:styleId="62">
    <w:name w:val="F 正文"/>
    <w:basedOn w:val="1"/>
    <w:qFormat/>
    <w:uiPriority w:val="0"/>
    <w:pPr>
      <w:spacing w:line="360" w:lineRule="auto"/>
      <w:ind w:firstLine="720" w:firstLineChars="200"/>
    </w:pPr>
    <w:rPr>
      <w:rFonts w:ascii="Times New Roman" w:hAnsi="Times New Roman" w:eastAsia="宋体" w:cs="Times New Roman"/>
      <w:sz w:val="24"/>
    </w:rPr>
  </w:style>
  <w:style w:type="paragraph" w:customStyle="1" w:styleId="63">
    <w:name w:val="表"/>
    <w:basedOn w:val="1"/>
    <w:qFormat/>
    <w:uiPriority w:val="0"/>
    <w:pPr>
      <w:snapToGrid w:val="0"/>
      <w:spacing w:line="240" w:lineRule="exact"/>
      <w:ind w:firstLine="0" w:firstLineChars="0"/>
      <w:jc w:val="center"/>
    </w:pPr>
    <w:rPr>
      <w:rFonts w:ascii="Times New Roman" w:hAnsi="Times New Roman" w:eastAsia="宋体" w:cs="Times New Roman"/>
      <w:spacing w:val="2"/>
      <w:sz w:val="21"/>
      <w:szCs w:val="21"/>
    </w:rPr>
  </w:style>
  <w:style w:type="paragraph" w:customStyle="1" w:styleId="64">
    <w:name w:val="UserStyle_0"/>
    <w:qFormat/>
    <w:uiPriority w:val="0"/>
    <w:pPr>
      <w:textAlignment w:val="baseline"/>
    </w:pPr>
    <w:rPr>
      <w:rFonts w:ascii="宋体" w:hAnsi="Times New Roman" w:eastAsia="宋体" w:cs="Times New Roman"/>
      <w:color w:val="000000"/>
      <w:sz w:val="24"/>
      <w:szCs w:val="24"/>
      <w:lang w:val="en-US" w:eastAsia="zh-CN" w:bidi="ar-SA"/>
    </w:rPr>
  </w:style>
  <w:style w:type="paragraph" w:customStyle="1" w:styleId="65">
    <w:name w:val="D图表"/>
    <w:basedOn w:val="1"/>
    <w:qFormat/>
    <w:uiPriority w:val="0"/>
    <w:pPr>
      <w:spacing w:before="50" w:beforeLines="50" w:line="240" w:lineRule="auto"/>
      <w:ind w:firstLine="0" w:firstLineChars="0"/>
      <w:jc w:val="center"/>
    </w:pPr>
    <w:rPr>
      <w:rFonts w:ascii="Times New Roman" w:hAnsi="Times New Roman" w:eastAsia="宋体"/>
      <w:b/>
      <w:kern w:val="0"/>
      <w:sz w:val="21"/>
      <w:szCs w:val="21"/>
    </w:rPr>
  </w:style>
  <w:style w:type="paragraph" w:customStyle="1" w:styleId="66">
    <w:name w:val="一级标题"/>
    <w:qFormat/>
    <w:uiPriority w:val="0"/>
    <w:pPr>
      <w:numPr>
        <w:ilvl w:val="0"/>
        <w:numId w:val="2"/>
      </w:numPr>
      <w:jc w:val="center"/>
    </w:pPr>
    <w:rPr>
      <w:rFonts w:hint="default" w:ascii="Times New Roman" w:hAnsi="Times New Roman" w:eastAsia="宋体" w:cs="Times New Roman"/>
      <w:b/>
      <w:bCs/>
      <w:sz w:val="30"/>
      <w:szCs w:val="30"/>
    </w:rPr>
  </w:style>
  <w:style w:type="paragraph" w:customStyle="1" w:styleId="67">
    <w:name w:val="宋体小四"/>
    <w:qFormat/>
    <w:uiPriority w:val="0"/>
    <w:pPr>
      <w:spacing w:line="360" w:lineRule="auto"/>
      <w:ind w:firstLine="600" w:firstLineChars="200"/>
      <w:jc w:val="both"/>
    </w:pPr>
    <w:rPr>
      <w:rFonts w:ascii="Times New Roman" w:hAnsi="Times New Roman" w:eastAsia="宋体" w:cs="Times New Roman"/>
      <w:sz w:val="24"/>
    </w:rPr>
  </w:style>
  <w:style w:type="paragraph" w:customStyle="1" w:styleId="68">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1.png"/><Relationship Id="rId33" Type="http://schemas.openxmlformats.org/officeDocument/2006/relationships/image" Target="media/image20.jpe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wmf"/><Relationship Id="rId23" Type="http://schemas.openxmlformats.org/officeDocument/2006/relationships/oleObject" Target="embeddings/oleObject6.bin"/><Relationship Id="rId22" Type="http://schemas.openxmlformats.org/officeDocument/2006/relationships/image" Target="media/image10.wmf"/><Relationship Id="rId21" Type="http://schemas.openxmlformats.org/officeDocument/2006/relationships/oleObject" Target="embeddings/oleObject5.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8.wmf"/><Relationship Id="rId17" Type="http://schemas.openxmlformats.org/officeDocument/2006/relationships/oleObject" Target="embeddings/oleObject3.bin"/><Relationship Id="rId16" Type="http://schemas.openxmlformats.org/officeDocument/2006/relationships/image" Target="media/image7.wmf"/><Relationship Id="rId15" Type="http://schemas.openxmlformats.org/officeDocument/2006/relationships/oleObject" Target="embeddings/oleObject2.bin"/><Relationship Id="rId14" Type="http://schemas.openxmlformats.org/officeDocument/2006/relationships/image" Target="media/image6.wmf"/><Relationship Id="rId13" Type="http://schemas.openxmlformats.org/officeDocument/2006/relationships/oleObject" Target="embeddings/oleObject1.bin"/><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97</Pages>
  <Words>1022</Words>
  <Characters>1159</Characters>
  <Lines>463</Lines>
  <Paragraphs>130</Paragraphs>
  <TotalTime>2</TotalTime>
  <ScaleCrop>false</ScaleCrop>
  <LinksUpToDate>false</LinksUpToDate>
  <CharactersWithSpaces>1202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2024-09-25T22:41:00Z</dcterms:created>
  <dc:creator>Administrator</dc:creator>
  <cp:lastModifiedBy>Josephine</cp:lastModifiedBy>
  <dcterms:modified xsi:type="dcterms:W3CDTF">2025-04-30T01:41:03Z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F91A596F68B146D79E03A58CA101B8CB_13</vt:lpwstr>
  </property>
  <property fmtid="{D5CDD505-2E9C-101B-9397-08002B2CF9AE}" pid="4" name="KSOTemplateDocerSaveRecord">
    <vt:lpwstr>eyJoZGlkIjoiNTM1MDZkZGU0NDQyOGQxYjdlMWJhMzhjZjA5ODljNjIiLCJ1c2VySWQiOiI1NTc0ODkxMjQifQ==</vt:lpwstr>
  </property>
</Properties>
</file>