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hint="eastAsia" w:ascii="宋体" w:hAnsi="宋体" w:cs="华文楷体"/>
          <w:color w:val="000000" w:themeColor="text1"/>
          <w:sz w:val="72"/>
          <w:szCs w:val="72"/>
          <w14:textFill>
            <w14:solidFill>
              <w14:schemeClr w14:val="tx1"/>
            </w14:solidFill>
          </w14:textFill>
        </w:rPr>
      </w:pPr>
      <w:bookmarkStart w:id="0" w:name="_Toc18390"/>
    </w:p>
    <w:p>
      <w:pPr>
        <w:adjustRightInd w:val="0"/>
        <w:snapToGrid w:val="0"/>
        <w:spacing w:line="360" w:lineRule="auto"/>
        <w:jc w:val="center"/>
        <w:rPr>
          <w:rFonts w:hint="eastAsia" w:ascii="宋体" w:hAnsi="宋体" w:cs="华文楷体"/>
          <w:color w:val="auto"/>
          <w:sz w:val="72"/>
          <w:szCs w:val="72"/>
        </w:rPr>
      </w:pPr>
      <w:bookmarkStart w:id="1" w:name="_Toc189"/>
      <w:r>
        <w:rPr>
          <w:rFonts w:hint="eastAsia" w:ascii="宋体" w:hAnsi="宋体" w:cs="华文楷体"/>
          <w:color w:val="auto"/>
          <w:sz w:val="72"/>
          <w:szCs w:val="72"/>
        </w:rPr>
        <w:t>建设项目环境影响报告</w:t>
      </w:r>
      <w:bookmarkEnd w:id="0"/>
      <w:bookmarkEnd w:id="1"/>
      <w:r>
        <w:rPr>
          <w:rFonts w:hint="eastAsia" w:ascii="宋体" w:hAnsi="宋体" w:cs="华文楷体"/>
          <w:color w:val="auto"/>
          <w:sz w:val="72"/>
          <w:szCs w:val="72"/>
        </w:rPr>
        <w:t>表</w:t>
      </w:r>
    </w:p>
    <w:p>
      <w:pPr>
        <w:adjustRightInd w:val="0"/>
        <w:snapToGrid w:val="0"/>
        <w:spacing w:line="360" w:lineRule="auto"/>
        <w:jc w:val="center"/>
        <w:rPr>
          <w:rFonts w:hint="eastAsia" w:ascii="宋体" w:hAnsi="宋体"/>
          <w:bCs/>
          <w:color w:val="auto"/>
          <w:sz w:val="48"/>
          <w:szCs w:val="48"/>
        </w:rPr>
      </w:pPr>
      <w:r>
        <w:rPr>
          <w:rFonts w:ascii="宋体" w:hAnsi="宋体"/>
          <w:bCs/>
          <w:color w:val="auto"/>
          <w:sz w:val="48"/>
          <w:szCs w:val="48"/>
        </w:rPr>
        <w:t>（污染影响类）</w:t>
      </w:r>
    </w:p>
    <w:p>
      <w:pPr>
        <w:jc w:val="center"/>
        <w:rPr>
          <w:color w:val="auto"/>
          <w:sz w:val="52"/>
          <w:szCs w:val="52"/>
        </w:rPr>
      </w:pPr>
    </w:p>
    <w:p>
      <w:pPr>
        <w:jc w:val="center"/>
        <w:rPr>
          <w:color w:val="auto"/>
          <w:sz w:val="52"/>
          <w:szCs w:val="52"/>
        </w:rPr>
      </w:pPr>
    </w:p>
    <w:p>
      <w:pPr>
        <w:spacing w:line="360" w:lineRule="auto"/>
        <w:jc w:val="center"/>
        <w:rPr>
          <w:color w:val="auto"/>
          <w:sz w:val="52"/>
          <w:szCs w:val="52"/>
        </w:rPr>
      </w:pP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firstLine="0" w:firstLineChars="0"/>
        <w:jc w:val="center"/>
        <w:textAlignment w:val="auto"/>
        <w:rPr>
          <w:b/>
          <w:bCs/>
          <w:snapToGrid w:val="0"/>
          <w:color w:val="auto"/>
          <w:spacing w:val="40"/>
          <w:sz w:val="32"/>
          <w:szCs w:val="32"/>
          <w:u w:val="single"/>
        </w:rPr>
      </w:pPr>
      <w:r>
        <w:rPr>
          <w:rFonts w:hint="eastAsia"/>
          <w:b/>
          <w:bCs/>
          <w:color w:val="auto"/>
          <w:sz w:val="32"/>
          <w:szCs w:val="32"/>
        </w:rPr>
        <w:t>项目名称：</w:t>
      </w:r>
      <w:r>
        <w:rPr>
          <w:rFonts w:hint="eastAsia"/>
          <w:b/>
          <w:bCs/>
          <w:color w:val="auto"/>
          <w:spacing w:val="40"/>
          <w:kern w:val="0"/>
          <w:sz w:val="32"/>
          <w:szCs w:val="32"/>
          <w:u w:val="single"/>
        </w:rPr>
        <w:t>庐山市乡镇卫生院整体改造提升项目（</w:t>
      </w:r>
      <w:r>
        <w:rPr>
          <w:rFonts w:hint="eastAsia"/>
          <w:b/>
          <w:bCs/>
          <w:color w:val="auto"/>
          <w:spacing w:val="40"/>
          <w:kern w:val="0"/>
          <w:sz w:val="32"/>
          <w:szCs w:val="32"/>
          <w:u w:val="single"/>
          <w:lang w:val="en-US" w:eastAsia="zh-CN"/>
        </w:rPr>
        <w:t>庐山市</w:t>
      </w:r>
      <w:r>
        <w:rPr>
          <w:rFonts w:hint="eastAsia"/>
          <w:b/>
          <w:bCs/>
          <w:color w:val="auto"/>
          <w:spacing w:val="40"/>
          <w:kern w:val="0"/>
          <w:sz w:val="32"/>
          <w:szCs w:val="32"/>
          <w:u w:val="single"/>
        </w:rPr>
        <w:t>温泉镇中心卫生院）</w:t>
      </w:r>
    </w:p>
    <w:p>
      <w:pPr>
        <w:adjustRightInd w:val="0"/>
        <w:snapToGrid w:val="0"/>
        <w:spacing w:line="360" w:lineRule="auto"/>
        <w:ind w:left="2767" w:leftChars="400" w:hanging="1927" w:hangingChars="600"/>
        <w:jc w:val="left"/>
        <w:rPr>
          <w:b/>
          <w:bCs/>
          <w:color w:val="auto"/>
          <w:sz w:val="32"/>
          <w:szCs w:val="32"/>
          <w:u w:val="single"/>
        </w:rPr>
      </w:pPr>
      <w:bookmarkStart w:id="2" w:name="_Toc19545"/>
      <w:r>
        <w:rPr>
          <w:rFonts w:hint="eastAsia"/>
          <w:b/>
          <w:bCs/>
          <w:color w:val="auto"/>
          <w:sz w:val="32"/>
          <w:szCs w:val="32"/>
        </w:rPr>
        <w:t>建设单位：</w:t>
      </w:r>
      <w:r>
        <w:rPr>
          <w:rFonts w:hint="eastAsia"/>
          <w:b/>
          <w:bCs/>
          <w:color w:val="auto"/>
          <w:sz w:val="32"/>
          <w:szCs w:val="32"/>
          <w:u w:val="single"/>
        </w:rPr>
        <w:t xml:space="preserve">     </w:t>
      </w:r>
      <w:r>
        <w:rPr>
          <w:rFonts w:hint="eastAsia"/>
          <w:b/>
          <w:bCs/>
          <w:color w:val="auto"/>
          <w:spacing w:val="40"/>
          <w:sz w:val="32"/>
          <w:szCs w:val="32"/>
          <w:u w:val="single"/>
        </w:rPr>
        <w:t>庐山市温泉镇中心卫生院</w:t>
      </w:r>
      <w:bookmarkEnd w:id="2"/>
      <w:r>
        <w:rPr>
          <w:rFonts w:hint="eastAsia"/>
          <w:b/>
          <w:bCs/>
          <w:color w:val="auto"/>
          <w:spacing w:val="40"/>
          <w:sz w:val="32"/>
          <w:szCs w:val="32"/>
          <w:u w:val="single"/>
        </w:rPr>
        <w:t xml:space="preserve">    </w:t>
      </w:r>
    </w:p>
    <w:p>
      <w:pPr>
        <w:adjustRightInd w:val="0"/>
        <w:snapToGrid w:val="0"/>
        <w:spacing w:line="360" w:lineRule="auto"/>
        <w:ind w:left="2767" w:leftChars="400" w:hanging="1927" w:hangingChars="600"/>
        <w:jc w:val="left"/>
        <w:rPr>
          <w:b/>
          <w:bCs/>
          <w:color w:val="auto"/>
          <w:sz w:val="32"/>
          <w:szCs w:val="32"/>
          <w:u w:val="single"/>
        </w:rPr>
      </w:pPr>
      <w:r>
        <w:rPr>
          <w:rFonts w:hint="eastAsia"/>
          <w:b/>
          <w:bCs/>
          <w:color w:val="auto"/>
          <w:sz w:val="32"/>
          <w:szCs w:val="32"/>
        </w:rPr>
        <w:t>编制日期：</w:t>
      </w:r>
      <w:r>
        <w:rPr>
          <w:rFonts w:hint="eastAsia"/>
          <w:b/>
          <w:bCs/>
          <w:color w:val="auto"/>
          <w:sz w:val="32"/>
          <w:szCs w:val="32"/>
          <w:u w:val="single"/>
        </w:rPr>
        <w:t xml:space="preserve">             </w:t>
      </w:r>
      <w:r>
        <w:rPr>
          <w:b/>
          <w:bCs/>
          <w:color w:val="auto"/>
          <w:sz w:val="32"/>
          <w:szCs w:val="32"/>
          <w:u w:val="single"/>
        </w:rPr>
        <w:t>202</w:t>
      </w:r>
      <w:r>
        <w:rPr>
          <w:rFonts w:hint="eastAsia"/>
          <w:b/>
          <w:bCs/>
          <w:color w:val="auto"/>
          <w:sz w:val="32"/>
          <w:szCs w:val="32"/>
          <w:u w:val="single"/>
          <w:lang w:val="en-US" w:eastAsia="zh-CN"/>
        </w:rPr>
        <w:t>5</w:t>
      </w:r>
      <w:r>
        <w:rPr>
          <w:rFonts w:hint="eastAsia"/>
          <w:b/>
          <w:bCs/>
          <w:color w:val="auto"/>
          <w:sz w:val="32"/>
          <w:szCs w:val="32"/>
          <w:u w:val="single"/>
        </w:rPr>
        <w:t>年</w:t>
      </w:r>
      <w:r>
        <w:rPr>
          <w:rFonts w:hint="eastAsia"/>
          <w:b/>
          <w:bCs/>
          <w:color w:val="auto"/>
          <w:sz w:val="32"/>
          <w:szCs w:val="32"/>
          <w:u w:val="single"/>
          <w:lang w:val="en-US" w:eastAsia="zh-CN"/>
        </w:rPr>
        <w:t>4</w:t>
      </w:r>
      <w:r>
        <w:rPr>
          <w:rFonts w:hint="eastAsia"/>
          <w:b/>
          <w:bCs/>
          <w:color w:val="auto"/>
          <w:sz w:val="32"/>
          <w:szCs w:val="32"/>
          <w:u w:val="single"/>
        </w:rPr>
        <w:t xml:space="preserve">月               </w:t>
      </w:r>
    </w:p>
    <w:p>
      <w:pPr>
        <w:spacing w:line="360" w:lineRule="auto"/>
        <w:jc w:val="center"/>
        <w:rPr>
          <w:b/>
          <w:bCs/>
          <w:color w:val="auto"/>
          <w:sz w:val="32"/>
          <w:szCs w:val="32"/>
        </w:rPr>
      </w:pPr>
    </w:p>
    <w:p>
      <w:pPr>
        <w:spacing w:line="360" w:lineRule="auto"/>
        <w:jc w:val="center"/>
        <w:rPr>
          <w:b/>
          <w:bCs/>
          <w:color w:val="auto"/>
          <w:sz w:val="32"/>
          <w:szCs w:val="32"/>
        </w:rPr>
      </w:pPr>
    </w:p>
    <w:p>
      <w:pPr>
        <w:spacing w:line="360" w:lineRule="auto"/>
        <w:jc w:val="center"/>
        <w:rPr>
          <w:b/>
          <w:bCs/>
          <w:color w:val="auto"/>
          <w:sz w:val="32"/>
          <w:szCs w:val="32"/>
        </w:rPr>
      </w:pPr>
    </w:p>
    <w:p>
      <w:pPr>
        <w:spacing w:line="360" w:lineRule="auto"/>
        <w:jc w:val="center"/>
        <w:rPr>
          <w:b/>
          <w:bCs/>
          <w:color w:val="auto"/>
          <w:sz w:val="32"/>
          <w:szCs w:val="32"/>
        </w:rPr>
      </w:pPr>
    </w:p>
    <w:p>
      <w:pPr>
        <w:spacing w:line="360" w:lineRule="auto"/>
        <w:jc w:val="center"/>
        <w:rPr>
          <w:b/>
          <w:bCs/>
          <w:color w:val="auto"/>
          <w:sz w:val="32"/>
          <w:szCs w:val="32"/>
        </w:rPr>
      </w:pPr>
    </w:p>
    <w:p>
      <w:pPr>
        <w:spacing w:line="360" w:lineRule="auto"/>
        <w:jc w:val="center"/>
        <w:rPr>
          <w:b/>
          <w:bCs/>
          <w:color w:val="auto"/>
          <w:sz w:val="32"/>
          <w:szCs w:val="32"/>
        </w:rPr>
      </w:pPr>
    </w:p>
    <w:p>
      <w:pPr>
        <w:adjustRightInd w:val="0"/>
        <w:snapToGrid w:val="0"/>
        <w:spacing w:line="288" w:lineRule="auto"/>
        <w:jc w:val="center"/>
        <w:rPr>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sz w:val="36"/>
          <w:szCs w:val="36"/>
        </w:rPr>
        <w:t>中华人民共和国生态环境部</w:t>
      </w:r>
    </w:p>
    <w:p>
      <w:pPr>
        <w:jc w:val="center"/>
        <w:rPr>
          <w:rFonts w:hint="eastAsia" w:ascii="黑体" w:hAnsi="黑体" w:eastAsia="黑体" w:cs="黑体"/>
          <w:color w:val="auto"/>
          <w:sz w:val="44"/>
          <w:szCs w:val="44"/>
        </w:rPr>
      </w:pPr>
      <w:r>
        <w:rPr>
          <w:rFonts w:hint="eastAsia" w:ascii="黑体" w:hAnsi="黑体" w:eastAsia="黑体" w:cs="黑体"/>
          <w:color w:val="auto"/>
          <w:sz w:val="44"/>
          <w:szCs w:val="44"/>
        </w:rPr>
        <w:t>目 录</w:t>
      </w:r>
    </w:p>
    <w:sdt>
      <w:sdtPr>
        <w:rPr>
          <w:rFonts w:ascii="宋体" w:hAnsi="宋体"/>
          <w:color w:val="auto"/>
        </w:rPr>
        <w:id w:val="147456629"/>
        <w15:color w:val="DBDBDB"/>
        <w:docPartObj>
          <w:docPartGallery w:val="Table of Contents"/>
          <w:docPartUnique/>
        </w:docPartObj>
      </w:sdtPr>
      <w:sdtEndPr>
        <w:rPr>
          <w:rFonts w:hint="eastAsia" w:ascii="黑体" w:hAnsi="黑体" w:eastAsia="黑体" w:cs="黑体"/>
          <w:color w:val="auto"/>
          <w:szCs w:val="44"/>
        </w:rPr>
      </w:sdtEndPr>
      <w:sdtContent>
        <w:p>
          <w:pPr>
            <w:jc w:val="center"/>
            <w:rPr>
              <w:color w:val="auto"/>
            </w:rPr>
          </w:pPr>
        </w:p>
        <w:p>
          <w:pPr>
            <w:pStyle w:val="30"/>
            <w:tabs>
              <w:tab w:val="right" w:leader="dot" w:pos="8306"/>
            </w:tabs>
            <w:rPr>
              <w:color w:val="auto"/>
            </w:rPr>
          </w:pPr>
          <w:r>
            <w:rPr>
              <w:rFonts w:hint="eastAsia" w:ascii="黑体" w:hAnsi="黑体" w:eastAsia="黑体" w:cs="黑体"/>
              <w:color w:val="auto"/>
              <w:kern w:val="2"/>
              <w:sz w:val="21"/>
              <w:szCs w:val="44"/>
            </w:rPr>
            <w:fldChar w:fldCharType="begin"/>
          </w:r>
          <w:r>
            <w:rPr>
              <w:rFonts w:hint="eastAsia" w:ascii="黑体" w:hAnsi="黑体" w:eastAsia="黑体" w:cs="黑体"/>
              <w:color w:val="auto"/>
              <w:kern w:val="2"/>
              <w:sz w:val="21"/>
              <w:szCs w:val="44"/>
            </w:rPr>
            <w:instrText xml:space="preserve">TOC \o "1-1" \h \u </w:instrText>
          </w:r>
          <w:r>
            <w:rPr>
              <w:rFonts w:hint="eastAsia" w:ascii="黑体" w:hAnsi="黑体" w:eastAsia="黑体" w:cs="黑体"/>
              <w:color w:val="auto"/>
              <w:kern w:val="2"/>
              <w:sz w:val="21"/>
              <w:szCs w:val="44"/>
            </w:rPr>
            <w:fldChar w:fldCharType="separate"/>
          </w:r>
        </w:p>
        <w:p>
          <w:pPr>
            <w:pStyle w:val="30"/>
            <w:tabs>
              <w:tab w:val="right" w:leader="dot" w:pos="8306"/>
            </w:tabs>
            <w:rPr>
              <w:color w:val="auto"/>
              <w:sz w:val="28"/>
            </w:rPr>
          </w:pPr>
          <w:r>
            <w:rPr>
              <w:color w:val="auto"/>
            </w:rPr>
            <w:fldChar w:fldCharType="begin"/>
          </w:r>
          <w:r>
            <w:rPr>
              <w:color w:val="auto"/>
            </w:rPr>
            <w:instrText xml:space="preserve"> HYPERLINK \l "_Toc23629" </w:instrText>
          </w:r>
          <w:r>
            <w:rPr>
              <w:color w:val="auto"/>
            </w:rPr>
            <w:fldChar w:fldCharType="separate"/>
          </w:r>
          <w:r>
            <w:rPr>
              <w:rFonts w:hint="eastAsia"/>
              <w:color w:val="auto"/>
              <w:sz w:val="28"/>
            </w:rPr>
            <w:t>一、 建设项目基本情况</w:t>
          </w:r>
          <w:r>
            <w:rPr>
              <w:color w:val="auto"/>
              <w:sz w:val="28"/>
            </w:rPr>
            <w:tab/>
          </w:r>
          <w:r>
            <w:rPr>
              <w:color w:val="auto"/>
              <w:sz w:val="28"/>
            </w:rPr>
            <w:fldChar w:fldCharType="begin"/>
          </w:r>
          <w:r>
            <w:rPr>
              <w:color w:val="auto"/>
              <w:sz w:val="28"/>
            </w:rPr>
            <w:instrText xml:space="preserve"> PAGEREF _Toc23629 \h </w:instrText>
          </w:r>
          <w:r>
            <w:rPr>
              <w:color w:val="auto"/>
              <w:sz w:val="28"/>
            </w:rPr>
            <w:fldChar w:fldCharType="separate"/>
          </w:r>
          <w:r>
            <w:rPr>
              <w:color w:val="auto"/>
              <w:sz w:val="28"/>
            </w:rPr>
            <w:t>1</w:t>
          </w:r>
          <w:r>
            <w:rPr>
              <w:color w:val="auto"/>
              <w:sz w:val="28"/>
            </w:rPr>
            <w:fldChar w:fldCharType="end"/>
          </w:r>
          <w:r>
            <w:rPr>
              <w:color w:val="auto"/>
              <w:sz w:val="28"/>
            </w:rPr>
            <w:fldChar w:fldCharType="end"/>
          </w:r>
        </w:p>
        <w:p>
          <w:pPr>
            <w:pStyle w:val="30"/>
            <w:tabs>
              <w:tab w:val="right" w:leader="dot" w:pos="8306"/>
            </w:tabs>
            <w:rPr>
              <w:color w:val="auto"/>
              <w:sz w:val="28"/>
            </w:rPr>
          </w:pPr>
          <w:r>
            <w:rPr>
              <w:color w:val="auto"/>
            </w:rPr>
            <w:fldChar w:fldCharType="begin"/>
          </w:r>
          <w:r>
            <w:rPr>
              <w:color w:val="auto"/>
            </w:rPr>
            <w:instrText xml:space="preserve"> HYPERLINK \l "_Toc1612" </w:instrText>
          </w:r>
          <w:r>
            <w:rPr>
              <w:color w:val="auto"/>
            </w:rPr>
            <w:fldChar w:fldCharType="separate"/>
          </w:r>
          <w:r>
            <w:rPr>
              <w:rFonts w:hint="eastAsia"/>
              <w:color w:val="auto"/>
              <w:sz w:val="28"/>
            </w:rPr>
            <w:t>二、 建设项目工程分析</w:t>
          </w:r>
          <w:r>
            <w:rPr>
              <w:color w:val="auto"/>
              <w:sz w:val="28"/>
            </w:rPr>
            <w:tab/>
          </w:r>
          <w:r>
            <w:rPr>
              <w:color w:val="auto"/>
              <w:sz w:val="28"/>
            </w:rPr>
            <w:fldChar w:fldCharType="begin"/>
          </w:r>
          <w:r>
            <w:rPr>
              <w:color w:val="auto"/>
              <w:sz w:val="28"/>
            </w:rPr>
            <w:instrText xml:space="preserve"> PAGEREF _Toc1612 \h </w:instrText>
          </w:r>
          <w:r>
            <w:rPr>
              <w:color w:val="auto"/>
              <w:sz w:val="28"/>
            </w:rPr>
            <w:fldChar w:fldCharType="separate"/>
          </w:r>
          <w:r>
            <w:rPr>
              <w:color w:val="auto"/>
              <w:sz w:val="28"/>
            </w:rPr>
            <w:t>24</w:t>
          </w:r>
          <w:r>
            <w:rPr>
              <w:color w:val="auto"/>
              <w:sz w:val="28"/>
            </w:rPr>
            <w:fldChar w:fldCharType="end"/>
          </w:r>
          <w:r>
            <w:rPr>
              <w:color w:val="auto"/>
              <w:sz w:val="28"/>
            </w:rPr>
            <w:fldChar w:fldCharType="end"/>
          </w:r>
        </w:p>
        <w:p>
          <w:pPr>
            <w:pStyle w:val="30"/>
            <w:tabs>
              <w:tab w:val="right" w:leader="dot" w:pos="8306"/>
            </w:tabs>
            <w:rPr>
              <w:color w:val="auto"/>
              <w:sz w:val="28"/>
            </w:rPr>
          </w:pPr>
          <w:r>
            <w:rPr>
              <w:color w:val="auto"/>
            </w:rPr>
            <w:fldChar w:fldCharType="begin"/>
          </w:r>
          <w:r>
            <w:rPr>
              <w:color w:val="auto"/>
            </w:rPr>
            <w:instrText xml:space="preserve"> HYPERLINK \l "_Toc9260" </w:instrText>
          </w:r>
          <w:r>
            <w:rPr>
              <w:color w:val="auto"/>
            </w:rPr>
            <w:fldChar w:fldCharType="separate"/>
          </w:r>
          <w:r>
            <w:rPr>
              <w:rFonts w:hint="eastAsia"/>
              <w:color w:val="auto"/>
              <w:sz w:val="28"/>
            </w:rPr>
            <w:t>三、 区域环境质量现状、环境保护目标及评价标准</w:t>
          </w:r>
          <w:r>
            <w:rPr>
              <w:color w:val="auto"/>
              <w:sz w:val="28"/>
            </w:rPr>
            <w:tab/>
          </w:r>
          <w:r>
            <w:rPr>
              <w:color w:val="auto"/>
              <w:sz w:val="28"/>
            </w:rPr>
            <w:fldChar w:fldCharType="begin"/>
          </w:r>
          <w:r>
            <w:rPr>
              <w:color w:val="auto"/>
              <w:sz w:val="28"/>
            </w:rPr>
            <w:instrText xml:space="preserve"> PAGEREF _Toc9260 \h </w:instrText>
          </w:r>
          <w:r>
            <w:rPr>
              <w:color w:val="auto"/>
              <w:sz w:val="28"/>
            </w:rPr>
            <w:fldChar w:fldCharType="separate"/>
          </w:r>
          <w:r>
            <w:rPr>
              <w:color w:val="auto"/>
              <w:sz w:val="28"/>
            </w:rPr>
            <w:t>44</w:t>
          </w:r>
          <w:r>
            <w:rPr>
              <w:color w:val="auto"/>
              <w:sz w:val="28"/>
            </w:rPr>
            <w:fldChar w:fldCharType="end"/>
          </w:r>
          <w:r>
            <w:rPr>
              <w:color w:val="auto"/>
              <w:sz w:val="28"/>
            </w:rPr>
            <w:fldChar w:fldCharType="end"/>
          </w:r>
        </w:p>
        <w:p>
          <w:pPr>
            <w:pStyle w:val="30"/>
            <w:tabs>
              <w:tab w:val="right" w:leader="dot" w:pos="8306"/>
            </w:tabs>
            <w:rPr>
              <w:color w:val="auto"/>
              <w:sz w:val="28"/>
            </w:rPr>
          </w:pPr>
          <w:r>
            <w:rPr>
              <w:color w:val="auto"/>
            </w:rPr>
            <w:fldChar w:fldCharType="begin"/>
          </w:r>
          <w:r>
            <w:rPr>
              <w:color w:val="auto"/>
            </w:rPr>
            <w:instrText xml:space="preserve"> HYPERLINK \l "_Toc15013" </w:instrText>
          </w:r>
          <w:r>
            <w:rPr>
              <w:color w:val="auto"/>
            </w:rPr>
            <w:fldChar w:fldCharType="separate"/>
          </w:r>
          <w:r>
            <w:rPr>
              <w:rFonts w:hint="eastAsia"/>
              <w:color w:val="auto"/>
              <w:sz w:val="28"/>
            </w:rPr>
            <w:t>四、 主要环境影响和保护措施</w:t>
          </w:r>
          <w:r>
            <w:rPr>
              <w:color w:val="auto"/>
              <w:sz w:val="28"/>
            </w:rPr>
            <w:tab/>
          </w:r>
          <w:r>
            <w:rPr>
              <w:color w:val="auto"/>
              <w:sz w:val="28"/>
            </w:rPr>
            <w:fldChar w:fldCharType="begin"/>
          </w:r>
          <w:r>
            <w:rPr>
              <w:color w:val="auto"/>
              <w:sz w:val="28"/>
            </w:rPr>
            <w:instrText xml:space="preserve"> PAGEREF _Toc15013 \h </w:instrText>
          </w:r>
          <w:r>
            <w:rPr>
              <w:color w:val="auto"/>
              <w:sz w:val="28"/>
            </w:rPr>
            <w:fldChar w:fldCharType="separate"/>
          </w:r>
          <w:r>
            <w:rPr>
              <w:color w:val="auto"/>
              <w:sz w:val="28"/>
            </w:rPr>
            <w:t>51</w:t>
          </w:r>
          <w:r>
            <w:rPr>
              <w:color w:val="auto"/>
              <w:sz w:val="28"/>
            </w:rPr>
            <w:fldChar w:fldCharType="end"/>
          </w:r>
          <w:r>
            <w:rPr>
              <w:color w:val="auto"/>
              <w:sz w:val="28"/>
            </w:rPr>
            <w:fldChar w:fldCharType="end"/>
          </w:r>
        </w:p>
        <w:p>
          <w:pPr>
            <w:pStyle w:val="30"/>
            <w:tabs>
              <w:tab w:val="right" w:leader="dot" w:pos="8306"/>
            </w:tabs>
            <w:rPr>
              <w:color w:val="auto"/>
              <w:sz w:val="28"/>
            </w:rPr>
          </w:pPr>
          <w:r>
            <w:rPr>
              <w:color w:val="auto"/>
            </w:rPr>
            <w:fldChar w:fldCharType="begin"/>
          </w:r>
          <w:r>
            <w:rPr>
              <w:color w:val="auto"/>
            </w:rPr>
            <w:instrText xml:space="preserve"> HYPERLINK \l "_Toc7136" </w:instrText>
          </w:r>
          <w:r>
            <w:rPr>
              <w:color w:val="auto"/>
            </w:rPr>
            <w:fldChar w:fldCharType="separate"/>
          </w:r>
          <w:r>
            <w:rPr>
              <w:rFonts w:hint="eastAsia"/>
              <w:color w:val="auto"/>
              <w:sz w:val="28"/>
            </w:rPr>
            <w:t>五、 环境保护措施监督检查清单</w:t>
          </w:r>
          <w:r>
            <w:rPr>
              <w:color w:val="auto"/>
              <w:sz w:val="28"/>
            </w:rPr>
            <w:tab/>
          </w:r>
          <w:r>
            <w:rPr>
              <w:color w:val="auto"/>
              <w:sz w:val="28"/>
            </w:rPr>
            <w:fldChar w:fldCharType="begin"/>
          </w:r>
          <w:r>
            <w:rPr>
              <w:color w:val="auto"/>
              <w:sz w:val="28"/>
            </w:rPr>
            <w:instrText xml:space="preserve"> PAGEREF _Toc7136 \h </w:instrText>
          </w:r>
          <w:r>
            <w:rPr>
              <w:color w:val="auto"/>
              <w:sz w:val="28"/>
            </w:rPr>
            <w:fldChar w:fldCharType="separate"/>
          </w:r>
          <w:r>
            <w:rPr>
              <w:color w:val="auto"/>
              <w:sz w:val="28"/>
            </w:rPr>
            <w:t>84</w:t>
          </w:r>
          <w:r>
            <w:rPr>
              <w:color w:val="auto"/>
              <w:sz w:val="28"/>
            </w:rPr>
            <w:fldChar w:fldCharType="end"/>
          </w:r>
          <w:r>
            <w:rPr>
              <w:color w:val="auto"/>
              <w:sz w:val="28"/>
            </w:rPr>
            <w:fldChar w:fldCharType="end"/>
          </w:r>
        </w:p>
        <w:p>
          <w:pPr>
            <w:pStyle w:val="30"/>
            <w:tabs>
              <w:tab w:val="right" w:leader="dot" w:pos="8306"/>
            </w:tabs>
            <w:rPr>
              <w:color w:val="auto"/>
              <w:sz w:val="28"/>
            </w:rPr>
          </w:pPr>
          <w:r>
            <w:rPr>
              <w:color w:val="auto"/>
            </w:rPr>
            <w:fldChar w:fldCharType="begin"/>
          </w:r>
          <w:r>
            <w:rPr>
              <w:color w:val="auto"/>
            </w:rPr>
            <w:instrText xml:space="preserve"> HYPERLINK \l "_Toc27498" </w:instrText>
          </w:r>
          <w:r>
            <w:rPr>
              <w:color w:val="auto"/>
            </w:rPr>
            <w:fldChar w:fldCharType="separate"/>
          </w:r>
          <w:r>
            <w:rPr>
              <w:rFonts w:hint="eastAsia"/>
              <w:color w:val="auto"/>
              <w:sz w:val="28"/>
            </w:rPr>
            <w:t>六、 结论</w:t>
          </w:r>
          <w:r>
            <w:rPr>
              <w:color w:val="auto"/>
              <w:sz w:val="28"/>
            </w:rPr>
            <w:tab/>
          </w:r>
          <w:r>
            <w:rPr>
              <w:color w:val="auto"/>
              <w:sz w:val="28"/>
            </w:rPr>
            <w:fldChar w:fldCharType="begin"/>
          </w:r>
          <w:r>
            <w:rPr>
              <w:color w:val="auto"/>
              <w:sz w:val="28"/>
            </w:rPr>
            <w:instrText xml:space="preserve"> PAGEREF _Toc27498 \h </w:instrText>
          </w:r>
          <w:r>
            <w:rPr>
              <w:color w:val="auto"/>
              <w:sz w:val="28"/>
            </w:rPr>
            <w:fldChar w:fldCharType="separate"/>
          </w:r>
          <w:r>
            <w:rPr>
              <w:color w:val="auto"/>
              <w:sz w:val="28"/>
            </w:rPr>
            <w:t>84</w:t>
          </w:r>
          <w:r>
            <w:rPr>
              <w:color w:val="auto"/>
              <w:sz w:val="28"/>
            </w:rPr>
            <w:fldChar w:fldCharType="end"/>
          </w:r>
          <w:r>
            <w:rPr>
              <w:color w:val="auto"/>
              <w:sz w:val="28"/>
            </w:rPr>
            <w:fldChar w:fldCharType="end"/>
          </w:r>
        </w:p>
        <w:p>
          <w:pPr>
            <w:pStyle w:val="30"/>
            <w:tabs>
              <w:tab w:val="right" w:leader="dot" w:pos="8306"/>
            </w:tabs>
            <w:rPr>
              <w:color w:val="auto"/>
              <w:sz w:val="28"/>
            </w:rPr>
          </w:pPr>
          <w:r>
            <w:rPr>
              <w:color w:val="auto"/>
            </w:rPr>
            <w:fldChar w:fldCharType="begin"/>
          </w:r>
          <w:r>
            <w:rPr>
              <w:color w:val="auto"/>
            </w:rPr>
            <w:instrText xml:space="preserve"> HYPERLINK \l "_Toc16264" </w:instrText>
          </w:r>
          <w:r>
            <w:rPr>
              <w:color w:val="auto"/>
            </w:rPr>
            <w:fldChar w:fldCharType="separate"/>
          </w:r>
          <w:r>
            <w:rPr>
              <w:snapToGrid w:val="0"/>
              <w:color w:val="auto"/>
              <w:sz w:val="28"/>
              <w:szCs w:val="32"/>
            </w:rPr>
            <w:t>附表</w:t>
          </w:r>
          <w:r>
            <w:rPr>
              <w:color w:val="auto"/>
              <w:sz w:val="28"/>
            </w:rPr>
            <w:tab/>
          </w:r>
          <w:r>
            <w:rPr>
              <w:color w:val="auto"/>
              <w:sz w:val="28"/>
            </w:rPr>
            <w:fldChar w:fldCharType="begin"/>
          </w:r>
          <w:r>
            <w:rPr>
              <w:color w:val="auto"/>
              <w:sz w:val="28"/>
            </w:rPr>
            <w:instrText xml:space="preserve"> PAGEREF _Toc16264 \h </w:instrText>
          </w:r>
          <w:r>
            <w:rPr>
              <w:color w:val="auto"/>
              <w:sz w:val="28"/>
            </w:rPr>
            <w:fldChar w:fldCharType="separate"/>
          </w:r>
          <w:r>
            <w:rPr>
              <w:color w:val="auto"/>
              <w:sz w:val="28"/>
            </w:rPr>
            <w:t>86</w:t>
          </w:r>
          <w:r>
            <w:rPr>
              <w:color w:val="auto"/>
              <w:sz w:val="28"/>
            </w:rPr>
            <w:fldChar w:fldCharType="end"/>
          </w:r>
          <w:r>
            <w:rPr>
              <w:color w:val="auto"/>
              <w:sz w:val="28"/>
            </w:rPr>
            <w:fldChar w:fldCharType="end"/>
          </w:r>
        </w:p>
        <w:p>
          <w:pPr>
            <w:pStyle w:val="30"/>
            <w:tabs>
              <w:tab w:val="right" w:leader="dot" w:pos="8306"/>
            </w:tabs>
            <w:rPr>
              <w:color w:val="auto"/>
            </w:rPr>
          </w:pPr>
          <w:r>
            <w:rPr>
              <w:color w:val="auto"/>
            </w:rPr>
            <w:fldChar w:fldCharType="begin"/>
          </w:r>
          <w:r>
            <w:rPr>
              <w:color w:val="auto"/>
            </w:rPr>
            <w:instrText xml:space="preserve"> HYPERLINK \l "_Toc26030" </w:instrText>
          </w:r>
          <w:r>
            <w:rPr>
              <w:color w:val="auto"/>
            </w:rPr>
            <w:fldChar w:fldCharType="separate"/>
          </w:r>
          <w:r>
            <w:rPr>
              <w:bCs/>
              <w:color w:val="auto"/>
              <w:sz w:val="28"/>
              <w:szCs w:val="28"/>
            </w:rPr>
            <w:t>建设项目污染物排放量汇总表</w:t>
          </w:r>
          <w:r>
            <w:rPr>
              <w:rFonts w:hint="eastAsia"/>
              <w:bCs/>
              <w:color w:val="auto"/>
              <w:sz w:val="28"/>
              <w:szCs w:val="28"/>
            </w:rPr>
            <w:t xml:space="preserve"> </w:t>
          </w:r>
          <w:r>
            <w:rPr>
              <w:bCs/>
              <w:color w:val="auto"/>
              <w:sz w:val="28"/>
              <w:szCs w:val="28"/>
            </w:rPr>
            <w:t xml:space="preserve"> </w:t>
          </w:r>
          <w:r>
            <w:rPr>
              <w:rFonts w:hint="eastAsia"/>
              <w:bCs/>
              <w:color w:val="auto"/>
              <w:sz w:val="28"/>
              <w:szCs w:val="28"/>
            </w:rPr>
            <w:t>（单位：</w:t>
          </w:r>
          <w:r>
            <w:rPr>
              <w:bCs/>
              <w:color w:val="auto"/>
              <w:sz w:val="28"/>
              <w:szCs w:val="28"/>
            </w:rPr>
            <w:t>t/a</w:t>
          </w:r>
          <w:r>
            <w:rPr>
              <w:rFonts w:hint="eastAsia"/>
              <w:bCs/>
              <w:color w:val="auto"/>
              <w:sz w:val="28"/>
              <w:szCs w:val="28"/>
            </w:rPr>
            <w:t>）</w:t>
          </w:r>
          <w:r>
            <w:rPr>
              <w:color w:val="auto"/>
              <w:sz w:val="28"/>
            </w:rPr>
            <w:tab/>
          </w:r>
          <w:r>
            <w:rPr>
              <w:color w:val="auto"/>
              <w:sz w:val="28"/>
            </w:rPr>
            <w:fldChar w:fldCharType="begin"/>
          </w:r>
          <w:r>
            <w:rPr>
              <w:color w:val="auto"/>
              <w:sz w:val="28"/>
            </w:rPr>
            <w:instrText xml:space="preserve"> PAGEREF _Toc26030 \h </w:instrText>
          </w:r>
          <w:r>
            <w:rPr>
              <w:color w:val="auto"/>
              <w:sz w:val="28"/>
            </w:rPr>
            <w:fldChar w:fldCharType="separate"/>
          </w:r>
          <w:r>
            <w:rPr>
              <w:color w:val="auto"/>
              <w:sz w:val="28"/>
            </w:rPr>
            <w:t>86</w:t>
          </w:r>
          <w:r>
            <w:rPr>
              <w:color w:val="auto"/>
              <w:sz w:val="28"/>
            </w:rPr>
            <w:fldChar w:fldCharType="end"/>
          </w:r>
          <w:r>
            <w:rPr>
              <w:color w:val="auto"/>
              <w:sz w:val="28"/>
            </w:rPr>
            <w:fldChar w:fldCharType="end"/>
          </w:r>
        </w:p>
        <w:p>
          <w:pPr>
            <w:jc w:val="left"/>
            <w:rPr>
              <w:rFonts w:hint="eastAsia" w:ascii="黑体" w:hAnsi="黑体" w:eastAsia="黑体" w:cs="黑体"/>
              <w:color w:val="auto"/>
              <w:szCs w:val="44"/>
            </w:rPr>
          </w:pPr>
          <w:r>
            <w:rPr>
              <w:rFonts w:hint="eastAsia" w:ascii="黑体" w:hAnsi="黑体" w:eastAsia="黑体" w:cs="黑体"/>
              <w:color w:val="auto"/>
              <w:szCs w:val="44"/>
            </w:rPr>
            <w:fldChar w:fldCharType="end"/>
          </w:r>
        </w:p>
      </w:sdtContent>
    </w:sdt>
    <w:p>
      <w:pPr>
        <w:jc w:val="left"/>
        <w:rPr>
          <w:rFonts w:hint="eastAsia" w:ascii="黑体" w:hAnsi="黑体" w:eastAsia="黑体" w:cs="黑体"/>
          <w:color w:val="auto"/>
          <w:szCs w:val="44"/>
        </w:rPr>
        <w:sectPr>
          <w:footerReference r:id="rId6"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1"/>
        <w:keepNext/>
        <w:keepLines w:val="0"/>
        <w:pageBreakBefore w:val="0"/>
        <w:widowControl/>
        <w:numPr>
          <w:ilvl w:val="0"/>
          <w:numId w:val="3"/>
        </w:numPr>
        <w:kinsoku/>
        <w:wordWrap/>
        <w:overflowPunct/>
        <w:topLinePunct w:val="0"/>
        <w:autoSpaceDE/>
        <w:autoSpaceDN/>
        <w:bidi w:val="0"/>
        <w:adjustRightInd/>
        <w:snapToGrid/>
        <w:ind w:left="0" w:leftChars="0" w:firstLine="0" w:firstLineChars="0"/>
        <w:textAlignment w:val="auto"/>
        <w:rPr>
          <w:color w:val="auto"/>
        </w:rPr>
      </w:pPr>
      <w:bookmarkStart w:id="3" w:name="_Toc23629"/>
      <w:r>
        <w:rPr>
          <w:rFonts w:hint="eastAsia"/>
          <w:color w:val="auto"/>
        </w:rPr>
        <w:t>建设项目基本情况</w:t>
      </w:r>
      <w:bookmarkEnd w:id="3"/>
    </w:p>
    <w:tbl>
      <w:tblPr>
        <w:tblStyle w:val="24"/>
        <w:tblW w:w="91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7"/>
        <w:gridCol w:w="2873"/>
        <w:gridCol w:w="1705"/>
        <w:gridCol w:w="3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建设项目名称</w:t>
            </w:r>
          </w:p>
        </w:tc>
        <w:tc>
          <w:tcPr>
            <w:tcW w:w="8046" w:type="dxa"/>
            <w:gridSpan w:val="3"/>
            <w:tcBorders>
              <w:tl2br w:val="nil"/>
              <w:tr2bl w:val="nil"/>
            </w:tcBorders>
            <w:vAlign w:val="center"/>
          </w:tcPr>
          <w:p>
            <w:pPr>
              <w:jc w:val="center"/>
              <w:rPr>
                <w:rFonts w:hint="eastAsia" w:ascii="宋体" w:hAnsi="宋体" w:cs="宋体"/>
                <w:color w:val="auto"/>
                <w:sz w:val="24"/>
                <w:szCs w:val="22"/>
              </w:rPr>
            </w:pPr>
            <w:r>
              <w:rPr>
                <w:rFonts w:hint="eastAsia"/>
                <w:color w:val="auto"/>
                <w:sz w:val="24"/>
              </w:rPr>
              <w:t>庐山市乡镇卫生院整体改造提升项目（</w:t>
            </w:r>
            <w:r>
              <w:rPr>
                <w:rFonts w:hint="eastAsia"/>
                <w:color w:val="auto"/>
                <w:sz w:val="24"/>
                <w:lang w:eastAsia="zh-CN"/>
              </w:rPr>
              <w:t>庐山市</w:t>
            </w:r>
            <w:r>
              <w:rPr>
                <w:rFonts w:hint="eastAsia"/>
                <w:color w:val="auto"/>
                <w:sz w:val="24"/>
              </w:rPr>
              <w:t>温泉镇中心卫生院）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项目代码</w:t>
            </w:r>
          </w:p>
        </w:tc>
        <w:tc>
          <w:tcPr>
            <w:tcW w:w="8046" w:type="dxa"/>
            <w:gridSpan w:val="3"/>
            <w:tcBorders>
              <w:tl2br w:val="nil"/>
              <w:tr2bl w:val="nil"/>
            </w:tcBorders>
            <w:vAlign w:val="center"/>
          </w:tcPr>
          <w:p>
            <w:pPr>
              <w:jc w:val="center"/>
              <w:rPr>
                <w:rFonts w:hint="eastAsia" w:ascii="宋体" w:hAnsi="宋体" w:cs="宋体"/>
                <w:color w:val="auto"/>
                <w:sz w:val="24"/>
                <w:szCs w:val="22"/>
              </w:rPr>
            </w:pPr>
            <w:r>
              <w:rPr>
                <w:rFonts w:hint="eastAsia" w:cs="宋体"/>
                <w:color w:val="auto"/>
                <w:sz w:val="24"/>
                <w:szCs w:val="22"/>
              </w:rPr>
              <w:t>2202-360483-04-01-331038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建设单位联系人</w:t>
            </w:r>
          </w:p>
        </w:tc>
        <w:tc>
          <w:tcPr>
            <w:tcW w:w="2873"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color w:val="auto"/>
                <w:sz w:val="24"/>
                <w:szCs w:val="22"/>
              </w:rPr>
              <w:t>况鑫</w:t>
            </w:r>
          </w:p>
        </w:tc>
        <w:tc>
          <w:tcPr>
            <w:tcW w:w="1705"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b/>
                <w:bCs/>
                <w:color w:val="auto"/>
                <w:kern w:val="0"/>
                <w:sz w:val="24"/>
                <w:lang w:bidi="ar"/>
              </w:rPr>
              <w:t>联系方式</w:t>
            </w:r>
          </w:p>
        </w:tc>
        <w:tc>
          <w:tcPr>
            <w:tcW w:w="3468" w:type="dxa"/>
            <w:tcBorders>
              <w:tl2br w:val="nil"/>
              <w:tr2bl w:val="nil"/>
            </w:tcBorders>
            <w:vAlign w:val="center"/>
          </w:tcPr>
          <w:p>
            <w:pPr>
              <w:jc w:val="center"/>
              <w:rPr>
                <w:rFonts w:hint="eastAsia" w:ascii="宋体" w:hAnsi="宋体" w:cs="宋体"/>
                <w:color w:val="auto"/>
                <w:sz w:val="24"/>
                <w:szCs w:val="22"/>
              </w:rPr>
            </w:pPr>
            <w:r>
              <w:rPr>
                <w:rFonts w:hint="default" w:ascii="Times New Roman" w:hAnsi="Times New Roman" w:cs="Times New Roman"/>
                <w:color w:val="auto"/>
                <w:sz w:val="24"/>
                <w:szCs w:val="22"/>
              </w:rPr>
              <w:t>139****</w:t>
            </w:r>
            <w:bookmarkStart w:id="61" w:name="_GoBack"/>
            <w:bookmarkEnd w:id="61"/>
            <w:r>
              <w:rPr>
                <w:rFonts w:hint="default" w:ascii="Times New Roman" w:hAnsi="Times New Roman" w:cs="Times New Roman"/>
                <w:color w:val="auto"/>
                <w:sz w:val="24"/>
                <w:szCs w:val="22"/>
              </w:rPr>
              <w:t>7566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建设地点</w:t>
            </w:r>
          </w:p>
        </w:tc>
        <w:tc>
          <w:tcPr>
            <w:tcW w:w="8046" w:type="dxa"/>
            <w:gridSpan w:val="3"/>
            <w:tcBorders>
              <w:tl2br w:val="nil"/>
              <w:tr2bl w:val="nil"/>
            </w:tcBorders>
            <w:vAlign w:val="center"/>
          </w:tcPr>
          <w:p>
            <w:pPr>
              <w:jc w:val="center"/>
              <w:rPr>
                <w:rFonts w:hint="eastAsia" w:ascii="宋体" w:hAnsi="宋体" w:cs="宋体"/>
                <w:color w:val="auto"/>
                <w:sz w:val="24"/>
                <w:szCs w:val="22"/>
              </w:rPr>
            </w:pPr>
            <w:r>
              <w:rPr>
                <w:rFonts w:hint="eastAsia"/>
                <w:color w:val="auto"/>
                <w:sz w:val="24"/>
              </w:rPr>
              <w:t>江西省九江市庐山市温泉镇212省道（环南山公路老隘口村旁）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地理坐标</w:t>
            </w:r>
          </w:p>
        </w:tc>
        <w:tc>
          <w:tcPr>
            <w:tcW w:w="8046" w:type="dxa"/>
            <w:gridSpan w:val="3"/>
            <w:tcBorders>
              <w:tl2br w:val="nil"/>
              <w:tr2bl w:val="nil"/>
            </w:tcBorders>
            <w:vAlign w:val="center"/>
          </w:tcPr>
          <w:p>
            <w:pPr>
              <w:pStyle w:val="15"/>
              <w:spacing w:line="240" w:lineRule="auto"/>
              <w:ind w:firstLine="0" w:firstLineChars="0"/>
              <w:jc w:val="center"/>
              <w:rPr>
                <w:rFonts w:ascii="Times New Roman" w:hAnsi="Times New Roman"/>
                <w:color w:val="auto"/>
                <w:kern w:val="2"/>
                <w:sz w:val="24"/>
                <w:szCs w:val="22"/>
              </w:rPr>
            </w:pPr>
            <w:r>
              <w:rPr>
                <w:rFonts w:hint="default" w:ascii="Times New Roman" w:hAnsi="Times New Roman" w:cs="Times New Roman"/>
                <w:color w:val="auto"/>
                <w:sz w:val="24"/>
                <w:szCs w:val="24"/>
              </w:rPr>
              <w:t>E：</w:t>
            </w:r>
            <w:r>
              <w:rPr>
                <w:rFonts w:hint="default" w:ascii="Times New Roman" w:hAnsi="Times New Roman" w:cs="Times New Roman"/>
                <w:color w:val="auto"/>
                <w:sz w:val="24"/>
              </w:rPr>
              <w:t>115°54′8.042</w:t>
            </w:r>
            <w:r>
              <w:rPr>
                <w:rFonts w:hint="default" w:ascii="Times New Roman" w:hAnsi="Times New Roman" w:cs="Times New Roman"/>
                <w:color w:val="auto"/>
                <w:sz w:val="24"/>
                <w:szCs w:val="24"/>
              </w:rPr>
              <w:t>′′，N：</w:t>
            </w:r>
            <w:r>
              <w:rPr>
                <w:rFonts w:hint="default" w:ascii="Times New Roman" w:hAnsi="Times New Roman" w:cs="Times New Roman"/>
                <w:color w:val="auto"/>
                <w:sz w:val="24"/>
              </w:rPr>
              <w:t>29°25′4.069</w:t>
            </w:r>
            <w:r>
              <w:rPr>
                <w:rFonts w:hint="default" w:ascii="Times New Roman" w:hAnsi="Times New Roman"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2"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国民经济行业类别</w:t>
            </w:r>
          </w:p>
        </w:tc>
        <w:tc>
          <w:tcPr>
            <w:tcW w:w="2873" w:type="dxa"/>
            <w:tcBorders>
              <w:tl2br w:val="nil"/>
              <w:tr2bl w:val="nil"/>
            </w:tcBorders>
            <w:vAlign w:val="center"/>
          </w:tcPr>
          <w:p>
            <w:pPr>
              <w:jc w:val="center"/>
              <w:rPr>
                <w:color w:val="auto"/>
                <w:sz w:val="24"/>
              </w:rPr>
            </w:pPr>
            <w:r>
              <w:rPr>
                <w:rFonts w:hint="eastAsia"/>
                <w:color w:val="auto"/>
                <w:sz w:val="24"/>
              </w:rPr>
              <w:t>Q8423乡镇卫生院</w:t>
            </w:r>
          </w:p>
        </w:tc>
        <w:tc>
          <w:tcPr>
            <w:tcW w:w="1705" w:type="dxa"/>
            <w:tcBorders>
              <w:tl2br w:val="nil"/>
              <w:tr2bl w:val="nil"/>
            </w:tcBorders>
            <w:vAlign w:val="center"/>
          </w:tcPr>
          <w:p>
            <w:pPr>
              <w:jc w:val="center"/>
              <w:rPr>
                <w:rFonts w:cs="宋体"/>
                <w:color w:val="auto"/>
                <w:sz w:val="24"/>
                <w:szCs w:val="22"/>
              </w:rPr>
            </w:pPr>
            <w:r>
              <w:rPr>
                <w:rFonts w:hint="eastAsia" w:cs="宋体"/>
                <w:b/>
                <w:bCs/>
                <w:color w:val="auto"/>
                <w:kern w:val="0"/>
                <w:sz w:val="24"/>
                <w:lang w:bidi="ar"/>
              </w:rPr>
              <w:t>建设项目行业类别</w:t>
            </w:r>
          </w:p>
        </w:tc>
        <w:tc>
          <w:tcPr>
            <w:tcW w:w="3468" w:type="dxa"/>
            <w:tcBorders>
              <w:tl2br w:val="nil"/>
              <w:tr2bl w:val="nil"/>
            </w:tcBorders>
            <w:vAlign w:val="center"/>
          </w:tcPr>
          <w:p>
            <w:pPr>
              <w:jc w:val="center"/>
              <w:rPr>
                <w:rFonts w:cs="宋体"/>
                <w:color w:val="auto"/>
                <w:sz w:val="24"/>
                <w:szCs w:val="22"/>
              </w:rPr>
            </w:pPr>
            <w:r>
              <w:rPr>
                <w:rFonts w:hint="eastAsia"/>
                <w:color w:val="auto"/>
                <w:sz w:val="24"/>
              </w:rPr>
              <w:t>四</w:t>
            </w:r>
            <w:r>
              <w:rPr>
                <w:color w:val="auto"/>
                <w:sz w:val="24"/>
              </w:rPr>
              <w:t>十九、卫生84</w:t>
            </w:r>
            <w:r>
              <w:rPr>
                <w:rFonts w:hint="eastAsia"/>
                <w:color w:val="auto"/>
                <w:sz w:val="24"/>
              </w:rPr>
              <w:t>-基</w:t>
            </w:r>
            <w:r>
              <w:rPr>
                <w:color w:val="auto"/>
                <w:sz w:val="24"/>
              </w:rPr>
              <w:t>层医疗卫生服务842</w:t>
            </w:r>
            <w:r>
              <w:rPr>
                <w:rFonts w:hint="eastAsia"/>
                <w:color w:val="auto"/>
                <w:sz w:val="24"/>
              </w:rPr>
              <w:t>-其</w:t>
            </w:r>
            <w:r>
              <w:rPr>
                <w:color w:val="auto"/>
                <w:sz w:val="24"/>
              </w:rPr>
              <w:t>他（住院床位20张以下的除外）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建设性质</w:t>
            </w:r>
          </w:p>
        </w:tc>
        <w:tc>
          <w:tcPr>
            <w:tcW w:w="2873" w:type="dxa"/>
            <w:tcBorders>
              <w:tl2br w:val="nil"/>
              <w:tr2bl w:val="nil"/>
            </w:tcBorders>
            <w:vAlign w:val="center"/>
          </w:tcPr>
          <w:p>
            <w:pPr>
              <w:jc w:val="left"/>
              <w:rPr>
                <w:rStyle w:val="33"/>
                <w:rFonts w:hint="default"/>
                <w:color w:val="auto"/>
                <w:sz w:val="24"/>
                <w:szCs w:val="24"/>
                <w:lang w:bidi="ar"/>
              </w:rPr>
            </w:pPr>
            <w:r>
              <w:rPr>
                <w:rStyle w:val="32"/>
                <w:color w:val="auto"/>
                <w:sz w:val="24"/>
                <w:szCs w:val="24"/>
                <w:lang w:bidi="ar"/>
              </w:rPr>
              <w:t>þ</w:t>
            </w:r>
            <w:r>
              <w:rPr>
                <w:rStyle w:val="33"/>
                <w:rFonts w:hint="default"/>
                <w:color w:val="auto"/>
                <w:sz w:val="24"/>
                <w:szCs w:val="24"/>
                <w:lang w:bidi="ar"/>
              </w:rPr>
              <w:t>新建（迁建）</w:t>
            </w:r>
          </w:p>
          <w:p>
            <w:pPr>
              <w:jc w:val="left"/>
              <w:rPr>
                <w:rFonts w:hint="eastAsia" w:ascii="宋体" w:hAnsi="宋体" w:cs="宋体"/>
                <w:color w:val="auto"/>
                <w:sz w:val="24"/>
              </w:rPr>
            </w:pPr>
            <w:r>
              <w:rPr>
                <w:rStyle w:val="34"/>
                <w:color w:val="auto"/>
                <w:sz w:val="24"/>
                <w:szCs w:val="24"/>
                <w:lang w:bidi="ar"/>
              </w:rPr>
              <w:t>¨</w:t>
            </w:r>
            <w:r>
              <w:rPr>
                <w:rStyle w:val="33"/>
                <w:rFonts w:hint="default"/>
                <w:color w:val="auto"/>
                <w:sz w:val="24"/>
                <w:szCs w:val="24"/>
                <w:lang w:bidi="ar"/>
              </w:rPr>
              <w:t>改建</w:t>
            </w:r>
          </w:p>
          <w:p>
            <w:pPr>
              <w:jc w:val="left"/>
              <w:rPr>
                <w:rFonts w:hint="eastAsia" w:ascii="宋体" w:hAnsi="宋体" w:cs="宋体"/>
                <w:color w:val="auto"/>
                <w:sz w:val="24"/>
              </w:rPr>
            </w:pPr>
            <w:r>
              <w:rPr>
                <w:rStyle w:val="34"/>
                <w:color w:val="auto"/>
                <w:sz w:val="24"/>
                <w:szCs w:val="24"/>
                <w:lang w:bidi="ar"/>
              </w:rPr>
              <w:t>¨</w:t>
            </w:r>
            <w:r>
              <w:rPr>
                <w:rStyle w:val="33"/>
                <w:rFonts w:hint="default"/>
                <w:color w:val="auto"/>
                <w:sz w:val="24"/>
                <w:szCs w:val="24"/>
                <w:lang w:bidi="ar"/>
              </w:rPr>
              <w:t>扩建</w:t>
            </w:r>
          </w:p>
          <w:p>
            <w:pPr>
              <w:jc w:val="left"/>
              <w:rPr>
                <w:rFonts w:hint="eastAsia" w:ascii="宋体" w:hAnsi="宋体" w:cs="宋体"/>
                <w:color w:val="auto"/>
                <w:sz w:val="24"/>
                <w:szCs w:val="22"/>
              </w:rPr>
            </w:pPr>
            <w:r>
              <w:rPr>
                <w:rStyle w:val="34"/>
                <w:color w:val="auto"/>
                <w:sz w:val="24"/>
                <w:szCs w:val="24"/>
                <w:lang w:bidi="ar"/>
              </w:rPr>
              <w:t>¨</w:t>
            </w:r>
            <w:r>
              <w:rPr>
                <w:rStyle w:val="33"/>
                <w:rFonts w:hint="default"/>
                <w:color w:val="auto"/>
                <w:sz w:val="24"/>
                <w:szCs w:val="24"/>
                <w:lang w:bidi="ar"/>
              </w:rPr>
              <w:t>技术改造</w:t>
            </w:r>
          </w:p>
        </w:tc>
        <w:tc>
          <w:tcPr>
            <w:tcW w:w="1705"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b/>
                <w:bCs/>
                <w:color w:val="auto"/>
                <w:kern w:val="0"/>
                <w:sz w:val="24"/>
                <w:lang w:bidi="ar"/>
              </w:rPr>
              <w:t>建设项目申报情形</w:t>
            </w:r>
          </w:p>
        </w:tc>
        <w:tc>
          <w:tcPr>
            <w:tcW w:w="3468" w:type="dxa"/>
            <w:tcBorders>
              <w:tl2br w:val="nil"/>
              <w:tr2bl w:val="nil"/>
            </w:tcBorders>
            <w:vAlign w:val="center"/>
          </w:tcPr>
          <w:p>
            <w:pPr>
              <w:jc w:val="left"/>
              <w:rPr>
                <w:rStyle w:val="32"/>
                <w:rFonts w:hint="eastAsia"/>
                <w:color w:val="auto"/>
                <w:sz w:val="24"/>
                <w:szCs w:val="24"/>
                <w:lang w:bidi="ar"/>
              </w:rPr>
            </w:pPr>
            <w:r>
              <w:rPr>
                <w:rStyle w:val="32"/>
                <w:color w:val="auto"/>
                <w:sz w:val="24"/>
                <w:szCs w:val="24"/>
                <w:lang w:bidi="ar"/>
              </w:rPr>
              <w:t>þ</w:t>
            </w:r>
            <w:r>
              <w:rPr>
                <w:rStyle w:val="33"/>
                <w:rFonts w:hint="default"/>
                <w:color w:val="auto"/>
                <w:sz w:val="24"/>
                <w:szCs w:val="24"/>
                <w:lang w:bidi="ar"/>
              </w:rPr>
              <w:t>首次申报项目</w:t>
            </w:r>
          </w:p>
          <w:p>
            <w:pPr>
              <w:jc w:val="left"/>
              <w:rPr>
                <w:rFonts w:hint="eastAsia" w:ascii="宋体" w:hAnsi="宋体" w:cs="宋体"/>
                <w:color w:val="auto"/>
                <w:sz w:val="24"/>
              </w:rPr>
            </w:pPr>
            <w:r>
              <w:rPr>
                <w:rStyle w:val="34"/>
                <w:color w:val="auto"/>
                <w:sz w:val="24"/>
                <w:szCs w:val="24"/>
                <w:lang w:bidi="ar"/>
              </w:rPr>
              <w:t>¨</w:t>
            </w:r>
            <w:r>
              <w:rPr>
                <w:rStyle w:val="33"/>
                <w:rFonts w:hint="default"/>
                <w:color w:val="auto"/>
                <w:sz w:val="24"/>
                <w:szCs w:val="24"/>
                <w:lang w:bidi="ar"/>
              </w:rPr>
              <w:t>不予批准后再次申报项目</w:t>
            </w:r>
          </w:p>
          <w:p>
            <w:pPr>
              <w:jc w:val="left"/>
              <w:rPr>
                <w:rFonts w:hint="eastAsia" w:ascii="宋体" w:hAnsi="宋体" w:cs="宋体"/>
                <w:color w:val="auto"/>
                <w:sz w:val="24"/>
              </w:rPr>
            </w:pPr>
            <w:r>
              <w:rPr>
                <w:rStyle w:val="34"/>
                <w:color w:val="auto"/>
                <w:sz w:val="24"/>
                <w:szCs w:val="24"/>
                <w:lang w:bidi="ar"/>
              </w:rPr>
              <w:t>¨</w:t>
            </w:r>
            <w:r>
              <w:rPr>
                <w:rStyle w:val="33"/>
                <w:rFonts w:hint="default"/>
                <w:color w:val="auto"/>
                <w:sz w:val="24"/>
                <w:szCs w:val="24"/>
                <w:lang w:bidi="ar"/>
              </w:rPr>
              <w:t>超五年重新审核项目</w:t>
            </w:r>
          </w:p>
          <w:p>
            <w:pPr>
              <w:jc w:val="left"/>
              <w:rPr>
                <w:rFonts w:hint="eastAsia" w:ascii="宋体" w:hAnsi="宋体" w:cs="宋体"/>
                <w:color w:val="auto"/>
                <w:sz w:val="24"/>
                <w:szCs w:val="22"/>
              </w:rPr>
            </w:pPr>
            <w:r>
              <w:rPr>
                <w:rStyle w:val="34"/>
                <w:color w:val="auto"/>
                <w:sz w:val="24"/>
                <w:szCs w:val="24"/>
                <w:lang w:bidi="ar"/>
              </w:rPr>
              <w:t>¨</w:t>
            </w:r>
            <w:r>
              <w:rPr>
                <w:rStyle w:val="33"/>
                <w:rFonts w:hint="default"/>
                <w:color w:val="auto"/>
                <w:sz w:val="24"/>
                <w:szCs w:val="24"/>
                <w:lang w:bidi="ar"/>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项目审批（核准/备案)部门</w:t>
            </w:r>
          </w:p>
        </w:tc>
        <w:tc>
          <w:tcPr>
            <w:tcW w:w="2873" w:type="dxa"/>
            <w:tcBorders>
              <w:tl2br w:val="nil"/>
              <w:tr2bl w:val="nil"/>
            </w:tcBorders>
            <w:vAlign w:val="center"/>
          </w:tcPr>
          <w:p>
            <w:pPr>
              <w:jc w:val="center"/>
              <w:rPr>
                <w:rFonts w:hint="eastAsia" w:ascii="宋体" w:hAnsi="宋体" w:cs="宋体"/>
                <w:color w:val="auto"/>
                <w:sz w:val="24"/>
                <w:szCs w:val="22"/>
              </w:rPr>
            </w:pPr>
            <w:r>
              <w:rPr>
                <w:rFonts w:hint="eastAsia" w:cs="宋体"/>
                <w:color w:val="auto"/>
                <w:sz w:val="24"/>
                <w:szCs w:val="22"/>
              </w:rPr>
              <w:t>庐山市发展和改革委员会</w:t>
            </w:r>
          </w:p>
        </w:tc>
        <w:tc>
          <w:tcPr>
            <w:tcW w:w="1705"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b/>
                <w:bCs/>
                <w:color w:val="auto"/>
                <w:kern w:val="0"/>
                <w:sz w:val="24"/>
                <w:lang w:bidi="ar"/>
              </w:rPr>
              <w:t>项目审批（核准/备案)文号</w:t>
            </w:r>
          </w:p>
        </w:tc>
        <w:tc>
          <w:tcPr>
            <w:tcW w:w="3468" w:type="dxa"/>
            <w:tcBorders>
              <w:tl2br w:val="nil"/>
              <w:tr2bl w:val="nil"/>
            </w:tcBorders>
            <w:vAlign w:val="center"/>
          </w:tcPr>
          <w:p>
            <w:pPr>
              <w:jc w:val="center"/>
              <w:rPr>
                <w:rFonts w:hint="eastAsia" w:ascii="宋体" w:hAnsi="宋体" w:cs="宋体"/>
                <w:color w:val="auto"/>
                <w:sz w:val="24"/>
                <w:szCs w:val="22"/>
              </w:rPr>
            </w:pPr>
            <w:r>
              <w:rPr>
                <w:rFonts w:hint="eastAsia"/>
                <w:color w:val="auto"/>
                <w:sz w:val="24"/>
              </w:rPr>
              <w:t>庐发改审批字[</w:t>
            </w:r>
            <w:r>
              <w:rPr>
                <w:color w:val="auto"/>
                <w:sz w:val="24"/>
              </w:rPr>
              <w:t>2022]</w:t>
            </w:r>
            <w:r>
              <w:rPr>
                <w:rFonts w:hint="eastAsia"/>
                <w:color w:val="auto"/>
                <w:sz w:val="24"/>
              </w:rPr>
              <w:t>291</w:t>
            </w:r>
            <w:r>
              <w:rPr>
                <w:color w:val="auto"/>
                <w:sz w:val="24"/>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总投资（万元）</w:t>
            </w:r>
          </w:p>
        </w:tc>
        <w:tc>
          <w:tcPr>
            <w:tcW w:w="2873" w:type="dxa"/>
            <w:tcBorders>
              <w:tl2br w:val="nil"/>
              <w:tr2bl w:val="nil"/>
            </w:tcBorders>
            <w:vAlign w:val="center"/>
          </w:tcPr>
          <w:p>
            <w:pPr>
              <w:jc w:val="center"/>
              <w:rPr>
                <w:rFonts w:hint="eastAsia" w:ascii="宋体" w:hAnsi="宋体" w:cs="宋体"/>
                <w:color w:val="auto"/>
                <w:sz w:val="24"/>
                <w:szCs w:val="22"/>
              </w:rPr>
            </w:pPr>
            <w:r>
              <w:rPr>
                <w:rFonts w:hint="default" w:ascii="Times New Roman" w:hAnsi="Times New Roman" w:cs="Times New Roman"/>
                <w:color w:val="auto"/>
                <w:sz w:val="24"/>
                <w:szCs w:val="22"/>
              </w:rPr>
              <w:t>675.2</w:t>
            </w:r>
          </w:p>
        </w:tc>
        <w:tc>
          <w:tcPr>
            <w:tcW w:w="1705"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b/>
                <w:bCs/>
                <w:color w:val="auto"/>
                <w:kern w:val="0"/>
                <w:sz w:val="24"/>
                <w:lang w:bidi="ar"/>
              </w:rPr>
              <w:t>环保投资（万元）</w:t>
            </w:r>
          </w:p>
        </w:tc>
        <w:tc>
          <w:tcPr>
            <w:tcW w:w="3468" w:type="dxa"/>
            <w:tcBorders>
              <w:tl2br w:val="nil"/>
              <w:tr2bl w:val="nil"/>
            </w:tcBorders>
            <w:vAlign w:val="center"/>
          </w:tcPr>
          <w:p>
            <w:pPr>
              <w:jc w:val="center"/>
              <w:rPr>
                <w:rFonts w:hint="eastAsia" w:ascii="宋体" w:hAnsi="宋体" w:cs="宋体"/>
                <w:color w:val="auto"/>
                <w:sz w:val="24"/>
                <w:szCs w:val="22"/>
              </w:rPr>
            </w:pPr>
            <w:r>
              <w:rPr>
                <w:rFonts w:hint="default" w:ascii="Times New Roman" w:hAnsi="Times New Roman" w:cs="Times New Roman"/>
                <w:color w:val="auto"/>
                <w:sz w:val="24"/>
                <w:szCs w:val="22"/>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环保投资占比（%）</w:t>
            </w:r>
          </w:p>
        </w:tc>
        <w:tc>
          <w:tcPr>
            <w:tcW w:w="2873" w:type="dxa"/>
            <w:tcBorders>
              <w:tl2br w:val="nil"/>
              <w:tr2bl w:val="nil"/>
            </w:tcBorders>
            <w:vAlign w:val="center"/>
          </w:tcPr>
          <w:p>
            <w:pPr>
              <w:jc w:val="center"/>
              <w:rPr>
                <w:rFonts w:hint="eastAsia" w:ascii="宋体" w:hAnsi="宋体" w:cs="宋体"/>
                <w:color w:val="auto"/>
                <w:sz w:val="24"/>
                <w:szCs w:val="22"/>
              </w:rPr>
            </w:pPr>
            <w:r>
              <w:rPr>
                <w:rFonts w:hint="default" w:ascii="Times New Roman" w:hAnsi="Times New Roman" w:cs="Times New Roman"/>
                <w:color w:val="auto"/>
                <w:sz w:val="24"/>
                <w:szCs w:val="22"/>
              </w:rPr>
              <w:t>4.44</w:t>
            </w:r>
          </w:p>
        </w:tc>
        <w:tc>
          <w:tcPr>
            <w:tcW w:w="1705"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b/>
                <w:bCs/>
                <w:color w:val="auto"/>
                <w:kern w:val="0"/>
                <w:sz w:val="24"/>
                <w:lang w:bidi="ar"/>
              </w:rPr>
              <w:t>施工工期</w:t>
            </w:r>
          </w:p>
        </w:tc>
        <w:tc>
          <w:tcPr>
            <w:tcW w:w="3468" w:type="dxa"/>
            <w:tcBorders>
              <w:tl2br w:val="nil"/>
              <w:tr2bl w:val="nil"/>
            </w:tcBorders>
            <w:vAlign w:val="center"/>
          </w:tcPr>
          <w:p>
            <w:pPr>
              <w:jc w:val="center"/>
              <w:rPr>
                <w:rFonts w:hint="eastAsia" w:ascii="宋体" w:hAnsi="宋体" w:cs="宋体"/>
                <w:color w:val="auto"/>
                <w:sz w:val="24"/>
                <w:szCs w:val="22"/>
              </w:rPr>
            </w:pPr>
            <w:r>
              <w:rPr>
                <w:rFonts w:hint="default" w:ascii="Times New Roman" w:hAnsi="Times New Roman" w:cs="Times New Roman"/>
                <w:color w:val="auto"/>
                <w:sz w:val="24"/>
                <w:szCs w:val="22"/>
              </w:rPr>
              <w:t>3</w:t>
            </w:r>
            <w:r>
              <w:rPr>
                <w:rFonts w:hint="eastAsia" w:ascii="宋体" w:hAnsi="宋体" w:cs="宋体"/>
                <w:color w:val="auto"/>
                <w:sz w:val="24"/>
                <w:szCs w:val="22"/>
              </w:rPr>
              <w:t>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trPr>
        <w:tc>
          <w:tcPr>
            <w:tcW w:w="1127" w:type="dxa"/>
            <w:tcBorders>
              <w:tl2br w:val="nil"/>
              <w:tr2bl w:val="nil"/>
            </w:tcBorders>
            <w:vAlign w:val="center"/>
          </w:tcPr>
          <w:p>
            <w:pPr>
              <w:jc w:val="center"/>
              <w:rPr>
                <w:rFonts w:cs="宋体"/>
                <w:b/>
                <w:color w:val="auto"/>
                <w:sz w:val="24"/>
                <w:szCs w:val="22"/>
              </w:rPr>
            </w:pPr>
            <w:r>
              <w:rPr>
                <w:rFonts w:hint="eastAsia" w:cs="宋体"/>
                <w:b/>
                <w:bCs/>
                <w:color w:val="auto"/>
                <w:kern w:val="0"/>
                <w:sz w:val="24"/>
                <w:lang w:bidi="ar"/>
              </w:rPr>
              <w:t>是否开工建设</w:t>
            </w:r>
          </w:p>
        </w:tc>
        <w:tc>
          <w:tcPr>
            <w:tcW w:w="2873" w:type="dxa"/>
            <w:tcBorders>
              <w:tl2br w:val="nil"/>
              <w:tr2bl w:val="nil"/>
            </w:tcBorders>
            <w:vAlign w:val="center"/>
          </w:tcPr>
          <w:p>
            <w:pPr>
              <w:jc w:val="left"/>
              <w:rPr>
                <w:rStyle w:val="34"/>
                <w:rFonts w:hint="eastAsia"/>
                <w:color w:val="auto"/>
                <w:sz w:val="24"/>
                <w:szCs w:val="24"/>
                <w:lang w:bidi="ar"/>
              </w:rPr>
            </w:pPr>
            <w:r>
              <w:rPr>
                <w:rStyle w:val="32"/>
                <w:color w:val="auto"/>
                <w:sz w:val="24"/>
                <w:szCs w:val="24"/>
                <w:lang w:bidi="ar"/>
              </w:rPr>
              <w:sym w:font="Wingdings" w:char="00A8"/>
            </w:r>
            <w:r>
              <w:rPr>
                <w:rStyle w:val="33"/>
                <w:rFonts w:hint="default"/>
                <w:color w:val="auto"/>
                <w:sz w:val="24"/>
                <w:szCs w:val="24"/>
                <w:lang w:bidi="ar"/>
              </w:rPr>
              <w:t>否</w:t>
            </w:r>
          </w:p>
          <w:p>
            <w:pPr>
              <w:jc w:val="left"/>
              <w:rPr>
                <w:rFonts w:hint="eastAsia" w:ascii="宋体" w:hAnsi="宋体" w:cs="宋体"/>
                <w:color w:val="auto"/>
                <w:sz w:val="24"/>
                <w:szCs w:val="22"/>
              </w:rPr>
            </w:pPr>
            <w:r>
              <w:rPr>
                <w:rStyle w:val="34"/>
                <w:color w:val="auto"/>
                <w:sz w:val="24"/>
                <w:szCs w:val="24"/>
                <w:lang w:bidi="ar"/>
              </w:rPr>
              <w:sym w:font="Wingdings" w:char="00FE"/>
            </w:r>
            <w:r>
              <w:rPr>
                <w:rStyle w:val="33"/>
                <w:rFonts w:hint="default"/>
                <w:color w:val="auto"/>
                <w:sz w:val="24"/>
                <w:szCs w:val="24"/>
                <w:lang w:bidi="ar"/>
              </w:rPr>
              <w:t>是</w:t>
            </w:r>
            <w:r>
              <w:rPr>
                <w:rStyle w:val="33"/>
                <w:color w:val="auto"/>
                <w:sz w:val="21"/>
                <w:szCs w:val="21"/>
                <w:u w:val="single"/>
                <w:lang w:bidi="ar"/>
              </w:rPr>
              <w:t>(项目</w:t>
            </w:r>
            <w:r>
              <w:rPr>
                <w:rStyle w:val="33"/>
                <w:rFonts w:hint="eastAsia"/>
                <w:color w:val="auto"/>
                <w:sz w:val="21"/>
                <w:szCs w:val="21"/>
                <w:u w:val="single"/>
                <w:lang w:val="en-US" w:eastAsia="zh-CN" w:bidi="ar"/>
              </w:rPr>
              <w:t>已建成投产</w:t>
            </w:r>
            <w:r>
              <w:rPr>
                <w:rStyle w:val="33"/>
                <w:color w:val="auto"/>
                <w:sz w:val="21"/>
                <w:szCs w:val="21"/>
                <w:u w:val="single"/>
                <w:lang w:bidi="ar"/>
              </w:rPr>
              <w:t>，</w:t>
            </w:r>
            <w:r>
              <w:rPr>
                <w:rStyle w:val="33"/>
                <w:rFonts w:hint="eastAsia"/>
                <w:color w:val="auto"/>
                <w:sz w:val="21"/>
                <w:szCs w:val="21"/>
                <w:u w:val="single"/>
                <w:lang w:val="en-US" w:eastAsia="zh-CN" w:bidi="ar"/>
              </w:rPr>
              <w:t>九江市生态环境局已对其出具行政处罚决定书</w:t>
            </w:r>
            <w:r>
              <w:rPr>
                <w:rStyle w:val="33"/>
                <w:color w:val="auto"/>
                <w:sz w:val="21"/>
                <w:szCs w:val="21"/>
                <w:u w:val="single"/>
                <w:lang w:bidi="ar"/>
              </w:rPr>
              <w:t>)</w:t>
            </w:r>
          </w:p>
        </w:tc>
        <w:tc>
          <w:tcPr>
            <w:tcW w:w="1705" w:type="dxa"/>
            <w:tcBorders>
              <w:tl2br w:val="nil"/>
              <w:tr2bl w:val="nil"/>
            </w:tcBorders>
            <w:vAlign w:val="center"/>
          </w:tcPr>
          <w:p>
            <w:pPr>
              <w:jc w:val="center"/>
              <w:rPr>
                <w:rFonts w:hint="eastAsia" w:ascii="宋体" w:hAnsi="宋体" w:cs="宋体"/>
                <w:color w:val="auto"/>
                <w:sz w:val="24"/>
                <w:szCs w:val="22"/>
              </w:rPr>
            </w:pPr>
            <w:r>
              <w:rPr>
                <w:rFonts w:hint="eastAsia" w:ascii="宋体" w:hAnsi="宋体" w:cs="宋体"/>
                <w:b/>
                <w:bCs/>
                <w:color w:val="auto"/>
                <w:kern w:val="0"/>
                <w:sz w:val="24"/>
                <w:lang w:bidi="ar"/>
              </w:rPr>
              <w:t>用地面积（</w:t>
            </w:r>
            <w:r>
              <w:rPr>
                <w:rFonts w:ascii="Times New Roman" w:hAnsi="Times New Roman" w:cs="宋体"/>
                <w:b/>
                <w:bCs/>
                <w:color w:val="auto"/>
                <w:kern w:val="0"/>
                <w:sz w:val="24"/>
                <w:lang w:bidi="ar"/>
              </w:rPr>
              <w:t>m</w:t>
            </w:r>
            <w:r>
              <w:rPr>
                <w:rFonts w:ascii="Times New Roman" w:hAnsi="Times New Roman" w:cs="宋体"/>
                <w:b/>
                <w:bCs/>
                <w:color w:val="auto"/>
                <w:kern w:val="0"/>
                <w:sz w:val="24"/>
                <w:vertAlign w:val="superscript"/>
                <w:lang w:bidi="ar"/>
              </w:rPr>
              <w:t>2</w:t>
            </w:r>
            <w:r>
              <w:rPr>
                <w:rFonts w:hint="eastAsia" w:ascii="宋体" w:hAnsi="宋体" w:cs="宋体"/>
                <w:b/>
                <w:bCs/>
                <w:color w:val="auto"/>
                <w:kern w:val="0"/>
                <w:sz w:val="24"/>
                <w:lang w:bidi="ar"/>
              </w:rPr>
              <w:t>)</w:t>
            </w:r>
          </w:p>
        </w:tc>
        <w:tc>
          <w:tcPr>
            <w:tcW w:w="3468" w:type="dxa"/>
            <w:tcBorders>
              <w:tl2br w:val="nil"/>
              <w:tr2bl w:val="nil"/>
            </w:tcBorders>
            <w:vAlign w:val="center"/>
          </w:tcPr>
          <w:p>
            <w:pPr>
              <w:jc w:val="center"/>
              <w:rPr>
                <w:rFonts w:hint="eastAsia" w:ascii="宋体" w:hAnsi="宋体" w:cs="宋体"/>
                <w:color w:val="auto"/>
                <w:sz w:val="24"/>
                <w:szCs w:val="22"/>
              </w:rPr>
            </w:pPr>
            <w:r>
              <w:rPr>
                <w:rFonts w:hint="eastAsia" w:cs="宋体"/>
                <w:color w:val="auto"/>
                <w:sz w:val="24"/>
                <w:szCs w:val="22"/>
              </w:rPr>
              <w:t>2581.68m</w:t>
            </w:r>
            <w:r>
              <w:rPr>
                <w:rFonts w:hint="eastAsia" w:cs="宋体"/>
                <w:color w:val="auto"/>
                <w:sz w:val="24"/>
                <w:szCs w:val="22"/>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tcBorders>
              <w:tl2br w:val="nil"/>
              <w:tr2bl w:val="nil"/>
            </w:tcBorders>
            <w:vAlign w:val="center"/>
          </w:tcPr>
          <w:p>
            <w:pPr>
              <w:jc w:val="center"/>
              <w:rPr>
                <w:rFonts w:cs="宋体"/>
                <w:b/>
                <w:color w:val="auto"/>
                <w:kern w:val="0"/>
                <w:sz w:val="24"/>
                <w:szCs w:val="22"/>
                <w:lang w:bidi="ar"/>
              </w:rPr>
            </w:pPr>
            <w:r>
              <w:rPr>
                <w:rFonts w:hint="eastAsia" w:cs="宋体"/>
                <w:b/>
                <w:bCs/>
                <w:color w:val="auto"/>
                <w:kern w:val="0"/>
                <w:sz w:val="24"/>
                <w:lang w:bidi="ar"/>
              </w:rPr>
              <w:t>专项评价设置情况</w:t>
            </w:r>
          </w:p>
        </w:tc>
        <w:tc>
          <w:tcPr>
            <w:tcW w:w="8046" w:type="dxa"/>
            <w:gridSpan w:val="3"/>
            <w:tcBorders>
              <w:tl2br w:val="nil"/>
              <w:tr2bl w:val="nil"/>
            </w:tcBorders>
          </w:tcPr>
          <w:p>
            <w:pPr>
              <w:spacing w:line="360" w:lineRule="auto"/>
              <w:ind w:firstLine="480" w:firstLineChars="200"/>
              <w:rPr>
                <w:rFonts w:cs="宋体"/>
                <w:color w:val="auto"/>
                <w:sz w:val="24"/>
              </w:rPr>
            </w:pPr>
            <w:r>
              <w:rPr>
                <w:rFonts w:hint="eastAsia" w:cs="宋体"/>
                <w:color w:val="auto"/>
                <w:sz w:val="24"/>
              </w:rPr>
              <w:t>根据建设项目环境影响评价报告表编制技术指南中：</w:t>
            </w:r>
          </w:p>
          <w:p>
            <w:pPr>
              <w:keepNext w:val="0"/>
              <w:keepLines w:val="0"/>
              <w:pageBreakBefore w:val="0"/>
              <w:widowControl w:val="0"/>
              <w:kinsoku/>
              <w:wordWrap/>
              <w:overflowPunct/>
              <w:topLinePunct w:val="0"/>
              <w:autoSpaceDE/>
              <w:autoSpaceDN/>
              <w:bidi w:val="0"/>
              <w:adjustRightInd/>
              <w:snapToGrid/>
              <w:jc w:val="center"/>
              <w:textAlignment w:val="auto"/>
              <w:rPr>
                <w:rFonts w:cs="宋体"/>
                <w:b/>
                <w:bCs/>
                <w:color w:val="auto"/>
                <w:sz w:val="21"/>
                <w:szCs w:val="21"/>
              </w:rPr>
            </w:pPr>
            <w:r>
              <w:rPr>
                <w:rFonts w:hint="eastAsia" w:cs="宋体"/>
                <w:b/>
                <w:bCs/>
                <w:color w:val="auto"/>
                <w:sz w:val="21"/>
                <w:szCs w:val="21"/>
              </w:rPr>
              <w:t>表1-1专项评价设置原则表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85" w:type="dxa"/>
                <w:bottom w:w="28" w:type="dxa"/>
                <w:right w:w="85" w:type="dxa"/>
              </w:tblCellMar>
            </w:tblPr>
            <w:tblGrid>
              <w:gridCol w:w="1164"/>
              <w:gridCol w:w="3401"/>
              <w:gridCol w:w="2325"/>
              <w:gridCol w:w="9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jc w:val="center"/>
              </w:trPr>
              <w:tc>
                <w:tcPr>
                  <w:tcW w:w="743" w:type="pct"/>
                  <w:tcBorders>
                    <w:tl2br w:val="nil"/>
                    <w:tr2bl w:val="nil"/>
                  </w:tcBorders>
                  <w:vAlign w:val="center"/>
                </w:tcPr>
                <w:p>
                  <w:pPr>
                    <w:jc w:val="center"/>
                    <w:rPr>
                      <w:color w:val="auto"/>
                    </w:rPr>
                  </w:pPr>
                  <w:r>
                    <w:rPr>
                      <w:rFonts w:hint="eastAsia" w:cs="宋体"/>
                      <w:b/>
                      <w:bCs/>
                      <w:color w:val="auto"/>
                      <w:kern w:val="0"/>
                      <w:szCs w:val="21"/>
                      <w:lang w:bidi="ar"/>
                    </w:rPr>
                    <w:t>专项评价的类别</w:t>
                  </w:r>
                </w:p>
              </w:tc>
              <w:tc>
                <w:tcPr>
                  <w:tcW w:w="2171" w:type="pct"/>
                  <w:tcBorders>
                    <w:tl2br w:val="nil"/>
                    <w:tr2bl w:val="nil"/>
                  </w:tcBorders>
                  <w:vAlign w:val="center"/>
                </w:tcPr>
                <w:p>
                  <w:pPr>
                    <w:jc w:val="center"/>
                    <w:rPr>
                      <w:color w:val="auto"/>
                    </w:rPr>
                  </w:pPr>
                  <w:r>
                    <w:rPr>
                      <w:rFonts w:hint="eastAsia" w:cs="宋体"/>
                      <w:b/>
                      <w:bCs/>
                      <w:color w:val="auto"/>
                      <w:kern w:val="0"/>
                      <w:szCs w:val="21"/>
                      <w:lang w:bidi="ar"/>
                    </w:rPr>
                    <w:t>设置原则</w:t>
                  </w:r>
                </w:p>
              </w:tc>
              <w:tc>
                <w:tcPr>
                  <w:tcW w:w="1484" w:type="pct"/>
                  <w:tcBorders>
                    <w:tl2br w:val="nil"/>
                    <w:tr2bl w:val="nil"/>
                  </w:tcBorders>
                  <w:vAlign w:val="center"/>
                </w:tcPr>
                <w:p>
                  <w:pPr>
                    <w:jc w:val="center"/>
                    <w:rPr>
                      <w:color w:val="auto"/>
                    </w:rPr>
                  </w:pPr>
                  <w:r>
                    <w:rPr>
                      <w:rFonts w:hint="eastAsia" w:cs="宋体"/>
                      <w:b/>
                      <w:bCs/>
                      <w:color w:val="auto"/>
                      <w:kern w:val="0"/>
                      <w:szCs w:val="21"/>
                      <w:lang w:bidi="ar"/>
                    </w:rPr>
                    <w:t>本项目情况</w:t>
                  </w:r>
                </w:p>
              </w:tc>
              <w:tc>
                <w:tcPr>
                  <w:tcW w:w="600" w:type="pct"/>
                  <w:tcBorders>
                    <w:tl2br w:val="nil"/>
                    <w:tr2bl w:val="nil"/>
                  </w:tcBorders>
                  <w:vAlign w:val="center"/>
                </w:tcPr>
                <w:p>
                  <w:pPr>
                    <w:jc w:val="center"/>
                    <w:rPr>
                      <w:color w:val="auto"/>
                    </w:rPr>
                  </w:pPr>
                  <w:r>
                    <w:rPr>
                      <w:rFonts w:hint="eastAsia" w:cs="宋体"/>
                      <w:b/>
                      <w:bCs/>
                      <w:color w:val="auto"/>
                      <w:kern w:val="0"/>
                      <w:szCs w:val="21"/>
                      <w:lang w:bidi="ar"/>
                    </w:rPr>
                    <w:t>是否需要设置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jc w:val="center"/>
              </w:trPr>
              <w:tc>
                <w:tcPr>
                  <w:tcW w:w="743" w:type="pct"/>
                  <w:tcBorders>
                    <w:tl2br w:val="nil"/>
                    <w:tr2bl w:val="nil"/>
                  </w:tcBorders>
                  <w:vAlign w:val="center"/>
                </w:tcPr>
                <w:p>
                  <w:pPr>
                    <w:jc w:val="center"/>
                    <w:rPr>
                      <w:rFonts w:cs="宋体"/>
                      <w:color w:val="auto"/>
                      <w:szCs w:val="22"/>
                    </w:rPr>
                  </w:pPr>
                  <w:r>
                    <w:rPr>
                      <w:rFonts w:hint="eastAsia" w:cs="宋体"/>
                      <w:color w:val="auto"/>
                      <w:kern w:val="0"/>
                      <w:szCs w:val="21"/>
                      <w:lang w:bidi="ar"/>
                    </w:rPr>
                    <w:t>大气</w:t>
                  </w:r>
                </w:p>
              </w:tc>
              <w:tc>
                <w:tcPr>
                  <w:tcW w:w="2171" w:type="pct"/>
                  <w:tcBorders>
                    <w:tl2br w:val="nil"/>
                    <w:tr2bl w:val="nil"/>
                  </w:tcBorders>
                  <w:vAlign w:val="center"/>
                </w:tcPr>
                <w:p>
                  <w:pPr>
                    <w:jc w:val="center"/>
                    <w:rPr>
                      <w:rFonts w:cs="宋体"/>
                      <w:color w:val="auto"/>
                      <w:szCs w:val="22"/>
                    </w:rPr>
                  </w:pPr>
                  <w:r>
                    <w:rPr>
                      <w:rFonts w:hint="eastAsia" w:cs="宋体"/>
                      <w:color w:val="auto"/>
                      <w:kern w:val="0"/>
                      <w:szCs w:val="21"/>
                      <w:lang w:bidi="ar"/>
                    </w:rPr>
                    <w:t>排放废气含有毒有害污染物</w:t>
                  </w:r>
                  <w:r>
                    <w:rPr>
                      <w:color w:val="auto"/>
                      <w:kern w:val="0"/>
                      <w:szCs w:val="21"/>
                      <w:vertAlign w:val="superscript"/>
                      <w:lang w:bidi="ar"/>
                    </w:rPr>
                    <w:t>1</w:t>
                  </w:r>
                  <w:r>
                    <w:rPr>
                      <w:rFonts w:hint="eastAsia" w:cs="宋体"/>
                      <w:color w:val="auto"/>
                      <w:kern w:val="0"/>
                      <w:szCs w:val="21"/>
                      <w:lang w:bidi="ar"/>
                    </w:rPr>
                    <w:t>、二噁英、苯并[a]芘、氰化物、氯气且厂界外500米范围内有环境空气保护目标</w:t>
                  </w:r>
                  <w:r>
                    <w:rPr>
                      <w:color w:val="auto"/>
                      <w:kern w:val="0"/>
                      <w:szCs w:val="21"/>
                      <w:vertAlign w:val="superscript"/>
                      <w:lang w:bidi="ar"/>
                    </w:rPr>
                    <w:t>2</w:t>
                  </w:r>
                  <w:r>
                    <w:rPr>
                      <w:rFonts w:hint="eastAsia" w:cs="宋体"/>
                      <w:color w:val="auto"/>
                      <w:kern w:val="0"/>
                      <w:szCs w:val="21"/>
                      <w:lang w:bidi="ar"/>
                    </w:rPr>
                    <w:t>的建设项目</w:t>
                  </w:r>
                </w:p>
              </w:tc>
              <w:tc>
                <w:tcPr>
                  <w:tcW w:w="1484" w:type="pct"/>
                  <w:tcBorders>
                    <w:tl2br w:val="nil"/>
                    <w:tr2bl w:val="nil"/>
                  </w:tcBorders>
                  <w:vAlign w:val="center"/>
                </w:tcPr>
                <w:p>
                  <w:pPr>
                    <w:jc w:val="center"/>
                    <w:rPr>
                      <w:rFonts w:cs="宋体"/>
                      <w:color w:val="auto"/>
                      <w:szCs w:val="22"/>
                    </w:rPr>
                  </w:pPr>
                  <w:r>
                    <w:rPr>
                      <w:rFonts w:hint="eastAsia" w:cs="宋体"/>
                      <w:color w:val="auto"/>
                      <w:szCs w:val="21"/>
                    </w:rPr>
                    <w:t>本项目排放废气不涉及有毒有害</w:t>
                  </w:r>
                  <w:r>
                    <w:rPr>
                      <w:rFonts w:hint="eastAsia" w:cs="宋体"/>
                      <w:color w:val="auto"/>
                      <w:kern w:val="0"/>
                      <w:szCs w:val="21"/>
                      <w:lang w:bidi="ar"/>
                    </w:rPr>
                    <w:t>污染物</w:t>
                  </w:r>
                  <w:r>
                    <w:rPr>
                      <w:color w:val="auto"/>
                      <w:kern w:val="0"/>
                      <w:szCs w:val="21"/>
                      <w:vertAlign w:val="superscript"/>
                      <w:lang w:bidi="ar"/>
                    </w:rPr>
                    <w:t>1</w:t>
                  </w:r>
                  <w:r>
                    <w:rPr>
                      <w:rFonts w:hint="eastAsia" w:cs="宋体"/>
                      <w:color w:val="auto"/>
                      <w:kern w:val="0"/>
                      <w:szCs w:val="21"/>
                      <w:lang w:bidi="ar"/>
                    </w:rPr>
                    <w:t>、二噁英、苯并[a]芘、氰化物、氯气等废气</w:t>
                  </w:r>
                </w:p>
              </w:tc>
              <w:tc>
                <w:tcPr>
                  <w:tcW w:w="600" w:type="pct"/>
                  <w:tcBorders>
                    <w:tl2br w:val="nil"/>
                    <w:tr2bl w:val="nil"/>
                  </w:tcBorders>
                  <w:vAlign w:val="center"/>
                </w:tcPr>
                <w:p>
                  <w:pPr>
                    <w:jc w:val="center"/>
                    <w:rPr>
                      <w:rFonts w:cs="宋体"/>
                      <w:color w:val="auto"/>
                      <w:szCs w:val="21"/>
                    </w:rPr>
                  </w:pPr>
                  <w:r>
                    <w:rPr>
                      <w:rFonts w:hint="eastAsia" w:cs="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jc w:val="center"/>
              </w:trPr>
              <w:tc>
                <w:tcPr>
                  <w:tcW w:w="743" w:type="pct"/>
                  <w:tcBorders>
                    <w:tl2br w:val="nil"/>
                    <w:tr2bl w:val="nil"/>
                  </w:tcBorders>
                  <w:vAlign w:val="center"/>
                </w:tcPr>
                <w:p>
                  <w:pPr>
                    <w:jc w:val="center"/>
                    <w:rPr>
                      <w:rFonts w:cs="宋体"/>
                      <w:color w:val="auto"/>
                      <w:szCs w:val="22"/>
                    </w:rPr>
                  </w:pPr>
                  <w:r>
                    <w:rPr>
                      <w:rFonts w:hint="eastAsia" w:cs="宋体"/>
                      <w:color w:val="auto"/>
                      <w:kern w:val="0"/>
                      <w:szCs w:val="21"/>
                      <w:lang w:bidi="ar"/>
                    </w:rPr>
                    <w:t>地表水</w:t>
                  </w:r>
                </w:p>
              </w:tc>
              <w:tc>
                <w:tcPr>
                  <w:tcW w:w="2171" w:type="pct"/>
                  <w:tcBorders>
                    <w:tl2br w:val="nil"/>
                    <w:tr2bl w:val="nil"/>
                  </w:tcBorders>
                  <w:vAlign w:val="center"/>
                </w:tcPr>
                <w:p>
                  <w:pPr>
                    <w:jc w:val="center"/>
                    <w:rPr>
                      <w:rFonts w:cs="宋体"/>
                      <w:color w:val="auto"/>
                      <w:szCs w:val="22"/>
                    </w:rPr>
                  </w:pPr>
                  <w:r>
                    <w:rPr>
                      <w:rFonts w:hint="eastAsia" w:cs="宋体"/>
                      <w:color w:val="auto"/>
                      <w:kern w:val="0"/>
                      <w:szCs w:val="21"/>
                      <w:lang w:bidi="ar"/>
                    </w:rPr>
                    <w:t>新增工业废水直排建设项目（槽罐车外送污水处理厂的除外)；新增废水直排的污水集中处理厂</w:t>
                  </w:r>
                </w:p>
              </w:tc>
              <w:tc>
                <w:tcPr>
                  <w:tcW w:w="1484" w:type="pct"/>
                  <w:tcBorders>
                    <w:tl2br w:val="nil"/>
                    <w:tr2bl w:val="nil"/>
                  </w:tcBorders>
                  <w:vAlign w:val="center"/>
                </w:tcPr>
                <w:p>
                  <w:pPr>
                    <w:jc w:val="center"/>
                    <w:rPr>
                      <w:rFonts w:cs="宋体"/>
                      <w:color w:val="auto"/>
                      <w:szCs w:val="22"/>
                    </w:rPr>
                  </w:pPr>
                  <w:r>
                    <w:rPr>
                      <w:color w:val="auto"/>
                    </w:rPr>
                    <w:t>项目</w:t>
                  </w:r>
                  <w:r>
                    <w:rPr>
                      <w:rFonts w:hint="eastAsia"/>
                      <w:color w:val="auto"/>
                    </w:rPr>
                    <w:t>医疗废水及生活污水经院内处理后排入污水处理厂</w:t>
                  </w:r>
                </w:p>
              </w:tc>
              <w:tc>
                <w:tcPr>
                  <w:tcW w:w="600" w:type="pct"/>
                  <w:tcBorders>
                    <w:tl2br w:val="nil"/>
                    <w:tr2bl w:val="nil"/>
                  </w:tcBorders>
                  <w:vAlign w:val="center"/>
                </w:tcPr>
                <w:p>
                  <w:pPr>
                    <w:jc w:val="center"/>
                    <w:rPr>
                      <w:rFonts w:cs="宋体"/>
                      <w:color w:val="auto"/>
                      <w:kern w:val="0"/>
                      <w:szCs w:val="21"/>
                      <w:lang w:bidi="ar"/>
                    </w:rPr>
                  </w:pPr>
                  <w:r>
                    <w:rPr>
                      <w:rFonts w:hint="eastAsia" w:cs="宋体"/>
                      <w:color w:val="auto"/>
                      <w:kern w:val="0"/>
                      <w:szCs w:val="21"/>
                      <w:lang w:bidi="ar"/>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43" w:type="pct"/>
                  <w:tcBorders>
                    <w:tl2br w:val="nil"/>
                    <w:tr2bl w:val="nil"/>
                  </w:tcBorders>
                  <w:vAlign w:val="center"/>
                </w:tcPr>
                <w:p>
                  <w:pPr>
                    <w:jc w:val="center"/>
                    <w:rPr>
                      <w:rFonts w:cs="宋体"/>
                      <w:color w:val="auto"/>
                      <w:szCs w:val="22"/>
                    </w:rPr>
                  </w:pPr>
                  <w:r>
                    <w:rPr>
                      <w:rFonts w:hint="eastAsia" w:cs="宋体"/>
                      <w:color w:val="auto"/>
                      <w:kern w:val="0"/>
                      <w:szCs w:val="21"/>
                      <w:lang w:bidi="ar"/>
                    </w:rPr>
                    <w:t>环境风险</w:t>
                  </w:r>
                </w:p>
              </w:tc>
              <w:tc>
                <w:tcPr>
                  <w:tcW w:w="2171" w:type="pct"/>
                  <w:tcBorders>
                    <w:tl2br w:val="nil"/>
                    <w:tr2bl w:val="nil"/>
                  </w:tcBorders>
                  <w:vAlign w:val="center"/>
                </w:tcPr>
                <w:p>
                  <w:pPr>
                    <w:jc w:val="center"/>
                    <w:rPr>
                      <w:rFonts w:cs="宋体"/>
                      <w:color w:val="auto"/>
                      <w:szCs w:val="22"/>
                    </w:rPr>
                  </w:pPr>
                  <w:r>
                    <w:rPr>
                      <w:rFonts w:hint="eastAsia" w:cs="宋体"/>
                      <w:color w:val="auto"/>
                      <w:kern w:val="0"/>
                      <w:szCs w:val="21"/>
                      <w:lang w:bidi="ar"/>
                    </w:rPr>
                    <w:t>有毒有害和易燃易爆危险物质存储量超过临界量</w:t>
                  </w:r>
                  <w:r>
                    <w:rPr>
                      <w:rFonts w:cs="宋体"/>
                      <w:color w:val="auto"/>
                      <w:kern w:val="0"/>
                      <w:szCs w:val="21"/>
                      <w:vertAlign w:val="superscript"/>
                      <w:lang w:bidi="ar"/>
                    </w:rPr>
                    <w:t>3</w:t>
                  </w:r>
                  <w:r>
                    <w:rPr>
                      <w:rFonts w:hint="eastAsia" w:cs="宋体"/>
                      <w:color w:val="auto"/>
                      <w:kern w:val="0"/>
                      <w:szCs w:val="21"/>
                      <w:lang w:bidi="ar"/>
                    </w:rPr>
                    <w:t>的建设项目</w:t>
                  </w:r>
                </w:p>
              </w:tc>
              <w:tc>
                <w:tcPr>
                  <w:tcW w:w="1484" w:type="pct"/>
                  <w:tcBorders>
                    <w:tl2br w:val="nil"/>
                    <w:tr2bl w:val="nil"/>
                  </w:tcBorders>
                  <w:vAlign w:val="center"/>
                </w:tcPr>
                <w:p>
                  <w:pPr>
                    <w:jc w:val="center"/>
                    <w:rPr>
                      <w:rFonts w:cs="宋体"/>
                      <w:color w:val="auto"/>
                      <w:szCs w:val="22"/>
                    </w:rPr>
                  </w:pPr>
                  <w:r>
                    <w:rPr>
                      <w:rFonts w:hint="eastAsia" w:cs="宋体"/>
                      <w:color w:val="auto"/>
                      <w:kern w:val="0"/>
                      <w:szCs w:val="21"/>
                      <w:lang w:bidi="ar"/>
                    </w:rPr>
                    <w:t>本项目</w:t>
                  </w:r>
                  <w:r>
                    <w:rPr>
                      <w:rFonts w:cs="宋体"/>
                      <w:color w:val="auto"/>
                      <w:kern w:val="0"/>
                      <w:szCs w:val="21"/>
                      <w:lang w:bidi="ar"/>
                    </w:rPr>
                    <w:t>有毒有害和易燃易爆危险物质存储量</w:t>
                  </w:r>
                  <w:r>
                    <w:rPr>
                      <w:rFonts w:hint="eastAsia" w:cs="宋体"/>
                      <w:color w:val="auto"/>
                      <w:kern w:val="0"/>
                      <w:szCs w:val="21"/>
                      <w:lang w:bidi="ar"/>
                    </w:rPr>
                    <w:t>未</w:t>
                  </w:r>
                  <w:r>
                    <w:rPr>
                      <w:rFonts w:cs="宋体"/>
                      <w:color w:val="auto"/>
                      <w:kern w:val="0"/>
                      <w:szCs w:val="21"/>
                      <w:lang w:bidi="ar"/>
                    </w:rPr>
                    <w:t>超过临界量</w:t>
                  </w:r>
                </w:p>
              </w:tc>
              <w:tc>
                <w:tcPr>
                  <w:tcW w:w="600" w:type="pct"/>
                  <w:tcBorders>
                    <w:tl2br w:val="nil"/>
                    <w:tr2bl w:val="nil"/>
                  </w:tcBorders>
                  <w:vAlign w:val="center"/>
                </w:tcPr>
                <w:p>
                  <w:pPr>
                    <w:jc w:val="center"/>
                    <w:rPr>
                      <w:rFonts w:cs="宋体"/>
                      <w:color w:val="auto"/>
                      <w:kern w:val="0"/>
                      <w:szCs w:val="21"/>
                      <w:lang w:bidi="ar"/>
                    </w:rPr>
                  </w:pPr>
                  <w:r>
                    <w:rPr>
                      <w:rFonts w:hint="eastAsia" w:cs="宋体"/>
                      <w:color w:val="auto"/>
                      <w:kern w:val="0"/>
                      <w:szCs w:val="21"/>
                      <w:lang w:bidi="ar"/>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jc w:val="center"/>
              </w:trPr>
              <w:tc>
                <w:tcPr>
                  <w:tcW w:w="743" w:type="pct"/>
                  <w:tcBorders>
                    <w:tl2br w:val="nil"/>
                    <w:tr2bl w:val="nil"/>
                  </w:tcBorders>
                  <w:vAlign w:val="center"/>
                </w:tcPr>
                <w:p>
                  <w:pPr>
                    <w:jc w:val="center"/>
                    <w:rPr>
                      <w:rFonts w:cs="宋体"/>
                      <w:color w:val="auto"/>
                      <w:szCs w:val="22"/>
                    </w:rPr>
                  </w:pPr>
                  <w:r>
                    <w:rPr>
                      <w:rFonts w:hint="eastAsia" w:cs="宋体"/>
                      <w:color w:val="auto"/>
                      <w:kern w:val="0"/>
                      <w:szCs w:val="21"/>
                      <w:lang w:bidi="ar"/>
                    </w:rPr>
                    <w:t>生态</w:t>
                  </w:r>
                </w:p>
              </w:tc>
              <w:tc>
                <w:tcPr>
                  <w:tcW w:w="2171" w:type="pct"/>
                  <w:tcBorders>
                    <w:tl2br w:val="nil"/>
                    <w:tr2bl w:val="nil"/>
                  </w:tcBorders>
                  <w:vAlign w:val="center"/>
                </w:tcPr>
                <w:p>
                  <w:pPr>
                    <w:jc w:val="center"/>
                    <w:rPr>
                      <w:rFonts w:cs="宋体"/>
                      <w:color w:val="auto"/>
                      <w:szCs w:val="22"/>
                    </w:rPr>
                  </w:pPr>
                  <w:r>
                    <w:rPr>
                      <w:rFonts w:hint="eastAsia" w:cs="宋体"/>
                      <w:color w:val="auto"/>
                      <w:kern w:val="0"/>
                      <w:szCs w:val="21"/>
                      <w:lang w:bidi="ar"/>
                    </w:rPr>
                    <w:t>取水口下游500米范围内有重要水生生物的自然产卵场、索饵场、越冬场和洄游通道的新增河道取水的污染类建设项目</w:t>
                  </w:r>
                </w:p>
              </w:tc>
              <w:tc>
                <w:tcPr>
                  <w:tcW w:w="1484" w:type="pct"/>
                  <w:tcBorders>
                    <w:tl2br w:val="nil"/>
                    <w:tr2bl w:val="nil"/>
                  </w:tcBorders>
                  <w:vAlign w:val="center"/>
                </w:tcPr>
                <w:p>
                  <w:pPr>
                    <w:jc w:val="center"/>
                    <w:rPr>
                      <w:rFonts w:cs="宋体"/>
                      <w:color w:val="auto"/>
                      <w:szCs w:val="22"/>
                    </w:rPr>
                  </w:pPr>
                  <w:r>
                    <w:rPr>
                      <w:rFonts w:hint="eastAsia" w:cs="宋体"/>
                      <w:color w:val="auto"/>
                      <w:kern w:val="0"/>
                      <w:szCs w:val="21"/>
                      <w:lang w:bidi="ar"/>
                    </w:rPr>
                    <w:t>本项目不设置取水口</w:t>
                  </w:r>
                </w:p>
              </w:tc>
              <w:tc>
                <w:tcPr>
                  <w:tcW w:w="600" w:type="pct"/>
                  <w:tcBorders>
                    <w:tl2br w:val="nil"/>
                    <w:tr2bl w:val="nil"/>
                  </w:tcBorders>
                  <w:vAlign w:val="center"/>
                </w:tcPr>
                <w:p>
                  <w:pPr>
                    <w:jc w:val="center"/>
                    <w:rPr>
                      <w:rFonts w:cs="宋体"/>
                      <w:color w:val="auto"/>
                      <w:kern w:val="0"/>
                      <w:szCs w:val="21"/>
                      <w:lang w:bidi="ar"/>
                    </w:rPr>
                  </w:pPr>
                  <w:r>
                    <w:rPr>
                      <w:rFonts w:hint="eastAsia" w:cs="宋体"/>
                      <w:color w:val="auto"/>
                      <w:kern w:val="0"/>
                      <w:szCs w:val="21"/>
                      <w:lang w:bidi="ar"/>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jc w:val="center"/>
              </w:trPr>
              <w:tc>
                <w:tcPr>
                  <w:tcW w:w="743" w:type="pct"/>
                  <w:tcBorders>
                    <w:tl2br w:val="nil"/>
                    <w:tr2bl w:val="nil"/>
                  </w:tcBorders>
                  <w:vAlign w:val="center"/>
                </w:tcPr>
                <w:p>
                  <w:pPr>
                    <w:jc w:val="center"/>
                    <w:rPr>
                      <w:rFonts w:cs="宋体"/>
                      <w:color w:val="auto"/>
                      <w:szCs w:val="22"/>
                    </w:rPr>
                  </w:pPr>
                  <w:r>
                    <w:rPr>
                      <w:rFonts w:hint="eastAsia" w:cs="宋体"/>
                      <w:color w:val="auto"/>
                      <w:kern w:val="0"/>
                      <w:szCs w:val="21"/>
                      <w:lang w:bidi="ar"/>
                    </w:rPr>
                    <w:t>海洋</w:t>
                  </w:r>
                </w:p>
              </w:tc>
              <w:tc>
                <w:tcPr>
                  <w:tcW w:w="2171" w:type="pct"/>
                  <w:tcBorders>
                    <w:tl2br w:val="nil"/>
                    <w:tr2bl w:val="nil"/>
                  </w:tcBorders>
                  <w:vAlign w:val="center"/>
                </w:tcPr>
                <w:p>
                  <w:pPr>
                    <w:jc w:val="center"/>
                    <w:rPr>
                      <w:rFonts w:cs="宋体"/>
                      <w:color w:val="auto"/>
                      <w:szCs w:val="22"/>
                    </w:rPr>
                  </w:pPr>
                  <w:r>
                    <w:rPr>
                      <w:rFonts w:hint="eastAsia" w:cs="宋体"/>
                      <w:color w:val="auto"/>
                      <w:kern w:val="0"/>
                      <w:szCs w:val="21"/>
                      <w:lang w:bidi="ar"/>
                    </w:rPr>
                    <w:t>直接向海排放污染物的海洋工程建设项目</w:t>
                  </w:r>
                </w:p>
              </w:tc>
              <w:tc>
                <w:tcPr>
                  <w:tcW w:w="1484" w:type="pct"/>
                  <w:tcBorders>
                    <w:tl2br w:val="nil"/>
                    <w:tr2bl w:val="nil"/>
                  </w:tcBorders>
                  <w:vAlign w:val="center"/>
                </w:tcPr>
                <w:p>
                  <w:pPr>
                    <w:jc w:val="center"/>
                    <w:rPr>
                      <w:rFonts w:cs="宋体"/>
                      <w:color w:val="auto"/>
                      <w:szCs w:val="22"/>
                    </w:rPr>
                  </w:pPr>
                  <w:r>
                    <w:rPr>
                      <w:rFonts w:hint="eastAsia" w:cs="宋体"/>
                      <w:color w:val="auto"/>
                      <w:kern w:val="0"/>
                      <w:szCs w:val="21"/>
                      <w:lang w:bidi="ar"/>
                    </w:rPr>
                    <w:t>本项目未涉及</w:t>
                  </w:r>
                </w:p>
              </w:tc>
              <w:tc>
                <w:tcPr>
                  <w:tcW w:w="600" w:type="pct"/>
                  <w:tcBorders>
                    <w:tl2br w:val="nil"/>
                    <w:tr2bl w:val="nil"/>
                  </w:tcBorders>
                  <w:vAlign w:val="center"/>
                </w:tcPr>
                <w:p>
                  <w:pPr>
                    <w:jc w:val="center"/>
                    <w:rPr>
                      <w:rFonts w:cs="宋体"/>
                      <w:color w:val="auto"/>
                      <w:kern w:val="0"/>
                      <w:szCs w:val="21"/>
                      <w:lang w:bidi="ar"/>
                    </w:rPr>
                  </w:pPr>
                  <w:r>
                    <w:rPr>
                      <w:rFonts w:hint="eastAsia" w:cs="宋体"/>
                      <w:color w:val="auto"/>
                      <w:kern w:val="0"/>
                      <w:szCs w:val="21"/>
                      <w:lang w:bidi="ar"/>
                    </w:rPr>
                    <w:t>否</w:t>
                  </w:r>
                </w:p>
              </w:tc>
            </w:tr>
          </w:tbl>
          <w:p>
            <w:pPr>
              <w:numPr>
                <w:ilvl w:val="2"/>
                <w:numId w:val="0"/>
              </w:numPr>
              <w:adjustRightInd w:val="0"/>
              <w:snapToGrid w:val="0"/>
              <w:ind w:firstLine="445" w:firstLineChars="200"/>
              <w:rPr>
                <w:b/>
                <w:bCs/>
                <w:color w:val="auto"/>
                <w:spacing w:val="6"/>
                <w:kern w:val="18"/>
              </w:rPr>
            </w:pPr>
            <w:r>
              <w:rPr>
                <w:b/>
                <w:bCs/>
                <w:color w:val="auto"/>
                <w:spacing w:val="6"/>
                <w:kern w:val="18"/>
              </w:rPr>
              <w:t>注：1.废气中有毒有害污染物指纳入《有毒有害大气污染物名录》的污染物（不包括无排放标准的污染物）。</w:t>
            </w:r>
          </w:p>
          <w:p>
            <w:pPr>
              <w:numPr>
                <w:ilvl w:val="2"/>
                <w:numId w:val="0"/>
              </w:numPr>
              <w:adjustRightInd w:val="0"/>
              <w:snapToGrid w:val="0"/>
              <w:ind w:firstLine="445" w:firstLineChars="200"/>
              <w:rPr>
                <w:b/>
                <w:bCs/>
                <w:color w:val="auto"/>
                <w:spacing w:val="6"/>
                <w:kern w:val="18"/>
              </w:rPr>
            </w:pPr>
            <w:r>
              <w:rPr>
                <w:b/>
                <w:bCs/>
                <w:color w:val="auto"/>
                <w:spacing w:val="6"/>
                <w:kern w:val="18"/>
              </w:rPr>
              <w:t>2.环境空气保护目标指自然保护区、风景名胜区、居住区、文化区和农村地区中人群较集中的区域。</w:t>
            </w:r>
          </w:p>
          <w:p>
            <w:pPr>
              <w:numPr>
                <w:ilvl w:val="2"/>
                <w:numId w:val="0"/>
              </w:numPr>
              <w:adjustRightInd w:val="0"/>
              <w:snapToGrid w:val="0"/>
              <w:ind w:firstLine="445" w:firstLineChars="200"/>
              <w:rPr>
                <w:b/>
                <w:bCs/>
                <w:color w:val="auto"/>
                <w:spacing w:val="6"/>
                <w:kern w:val="18"/>
              </w:rPr>
            </w:pPr>
            <w:r>
              <w:rPr>
                <w:b/>
                <w:bCs/>
                <w:color w:val="auto"/>
                <w:spacing w:val="6"/>
                <w:kern w:val="18"/>
              </w:rPr>
              <w:t>3.临界量及其计算方法可参考《建设项目环境风险评价技术导则》（HJ 169）附录B、附录C。</w:t>
            </w:r>
          </w:p>
          <w:p>
            <w:pPr>
              <w:spacing w:line="360" w:lineRule="auto"/>
              <w:ind w:firstLine="504" w:firstLineChars="200"/>
              <w:rPr>
                <w:rFonts w:cs="宋体"/>
                <w:color w:val="auto"/>
                <w:sz w:val="20"/>
                <w:szCs w:val="20"/>
                <w:lang w:bidi="ar"/>
              </w:rPr>
            </w:pPr>
            <w:r>
              <w:rPr>
                <w:color w:val="auto"/>
                <w:spacing w:val="6"/>
                <w:kern w:val="18"/>
                <w:sz w:val="24"/>
              </w:rPr>
              <w:t>依据表1</w:t>
            </w:r>
            <w:r>
              <w:rPr>
                <w:rFonts w:hint="eastAsia"/>
                <w:color w:val="auto"/>
                <w:spacing w:val="6"/>
                <w:kern w:val="18"/>
                <w:sz w:val="24"/>
              </w:rPr>
              <w:t>-1</w:t>
            </w:r>
            <w:r>
              <w:rPr>
                <w:color w:val="auto"/>
                <w:spacing w:val="6"/>
                <w:kern w:val="18"/>
                <w:sz w:val="24"/>
              </w:rPr>
              <w:t>可知，本项目不需开展专项评价。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9" w:hRule="atLeast"/>
        </w:trPr>
        <w:tc>
          <w:tcPr>
            <w:tcW w:w="1127" w:type="dxa"/>
            <w:tcBorders>
              <w:tl2br w:val="nil"/>
              <w:tr2bl w:val="nil"/>
            </w:tcBorders>
            <w:vAlign w:val="center"/>
          </w:tcPr>
          <w:p>
            <w:pPr>
              <w:jc w:val="center"/>
              <w:rPr>
                <w:rFonts w:hint="eastAsia" w:ascii="宋体" w:hAnsi="宋体" w:cs="宋体"/>
                <w:color w:val="auto"/>
                <w:kern w:val="0"/>
                <w:sz w:val="22"/>
                <w:szCs w:val="22"/>
                <w:lang w:bidi="ar"/>
              </w:rPr>
            </w:pPr>
            <w:r>
              <w:rPr>
                <w:rFonts w:hint="eastAsia" w:ascii="宋体" w:hAnsi="宋体" w:cs="宋体"/>
                <w:b/>
                <w:bCs/>
                <w:color w:val="auto"/>
                <w:kern w:val="0"/>
                <w:sz w:val="24"/>
                <w:lang w:bidi="ar"/>
              </w:rPr>
              <w:t>规划情况</w:t>
            </w:r>
          </w:p>
        </w:tc>
        <w:tc>
          <w:tcPr>
            <w:tcW w:w="8046" w:type="dxa"/>
            <w:gridSpan w:val="3"/>
            <w:tcBorders>
              <w:tl2br w:val="nil"/>
              <w:tr2bl w:val="nil"/>
            </w:tcBorders>
            <w:vAlign w:val="center"/>
          </w:tcPr>
          <w:p>
            <w:pPr>
              <w:spacing w:line="360" w:lineRule="auto"/>
              <w:rPr>
                <w:color w:val="auto"/>
                <w:sz w:val="24"/>
              </w:rPr>
            </w:pPr>
            <w:r>
              <w:rPr>
                <w:rFonts w:hint="eastAsia"/>
                <w:color w:val="auto"/>
                <w:sz w:val="24"/>
              </w:rPr>
              <w:t>规划名称：《庐山市城市总体规划》（2017-2035年）</w:t>
            </w:r>
          </w:p>
          <w:p>
            <w:pPr>
              <w:spacing w:line="360" w:lineRule="auto"/>
              <w:rPr>
                <w:color w:val="auto"/>
                <w:sz w:val="24"/>
              </w:rPr>
            </w:pPr>
            <w:r>
              <w:rPr>
                <w:rFonts w:hint="eastAsia"/>
                <w:color w:val="auto"/>
                <w:sz w:val="24"/>
              </w:rPr>
              <w:t>《庐山市“十四五”医疗卫生服务体系规划》（庐府字〔2022〕55号）</w:t>
            </w:r>
          </w:p>
          <w:p>
            <w:pPr>
              <w:spacing w:line="360" w:lineRule="auto"/>
              <w:rPr>
                <w:color w:val="auto"/>
              </w:rPr>
            </w:pPr>
            <w:r>
              <w:rPr>
                <w:rFonts w:hint="eastAsia"/>
                <w:color w:val="auto"/>
                <w:sz w:val="24"/>
              </w:rPr>
              <w:t>规划审批单位：江西省人民政府、庐山市人民政府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4" w:hRule="atLeast"/>
        </w:trPr>
        <w:tc>
          <w:tcPr>
            <w:tcW w:w="1127" w:type="dxa"/>
            <w:tcBorders>
              <w:tl2br w:val="nil"/>
              <w:tr2bl w:val="nil"/>
            </w:tcBorders>
            <w:vAlign w:val="center"/>
          </w:tcPr>
          <w:p>
            <w:pPr>
              <w:jc w:val="center"/>
              <w:rPr>
                <w:rFonts w:hint="eastAsia" w:ascii="宋体" w:hAnsi="宋体" w:cs="宋体"/>
                <w:color w:val="auto"/>
                <w:kern w:val="0"/>
                <w:sz w:val="22"/>
                <w:szCs w:val="22"/>
                <w:lang w:bidi="ar"/>
              </w:rPr>
            </w:pPr>
            <w:r>
              <w:rPr>
                <w:rFonts w:hint="eastAsia" w:ascii="宋体" w:hAnsi="宋体" w:cs="宋体"/>
                <w:b/>
                <w:bCs/>
                <w:color w:val="auto"/>
                <w:kern w:val="0"/>
                <w:sz w:val="24"/>
                <w:lang w:bidi="ar"/>
              </w:rPr>
              <w:t>规划环境影响评价情况</w:t>
            </w:r>
          </w:p>
        </w:tc>
        <w:tc>
          <w:tcPr>
            <w:tcW w:w="8046" w:type="dxa"/>
            <w:gridSpan w:val="3"/>
            <w:tcBorders>
              <w:tl2br w:val="nil"/>
              <w:tr2bl w:val="nil"/>
            </w:tcBorders>
            <w:vAlign w:val="center"/>
          </w:tcPr>
          <w:p>
            <w:pPr>
              <w:jc w:val="center"/>
              <w:rPr>
                <w:color w:val="auto"/>
                <w:kern w:val="0"/>
                <w:sz w:val="22"/>
                <w:szCs w:val="22"/>
                <w:lang w:bidi="ar"/>
              </w:rPr>
            </w:pPr>
            <w:r>
              <w:rPr>
                <w:rFonts w:hint="eastAsia"/>
                <w:color w:val="auto"/>
                <w:sz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4" w:hRule="atLeast"/>
        </w:trPr>
        <w:tc>
          <w:tcPr>
            <w:tcW w:w="1127" w:type="dxa"/>
            <w:tcBorders>
              <w:tl2br w:val="nil"/>
              <w:tr2bl w:val="nil"/>
            </w:tcBorders>
            <w:vAlign w:val="center"/>
          </w:tcPr>
          <w:p>
            <w:pPr>
              <w:jc w:val="center"/>
              <w:rPr>
                <w:rFonts w:hint="eastAsia" w:ascii="宋体" w:hAnsi="宋体" w:cs="宋体"/>
                <w:b/>
                <w:bCs/>
                <w:color w:val="auto"/>
                <w:kern w:val="0"/>
                <w:sz w:val="24"/>
                <w:lang w:bidi="ar"/>
              </w:rPr>
            </w:pPr>
            <w:r>
              <w:rPr>
                <w:b/>
                <w:bCs/>
                <w:color w:val="auto"/>
                <w:sz w:val="24"/>
              </w:rPr>
              <w:t>规划及规划环境影响评价符合性分析</w:t>
            </w:r>
          </w:p>
        </w:tc>
        <w:tc>
          <w:tcPr>
            <w:tcW w:w="8046" w:type="dxa"/>
            <w:gridSpan w:val="3"/>
            <w:tcBorders>
              <w:tl2br w:val="nil"/>
              <w:tr2bl w:val="nil"/>
            </w:tcBorders>
            <w:vAlign w:val="center"/>
          </w:tcPr>
          <w:p>
            <w:pPr>
              <w:keepNext w:val="0"/>
              <w:keepLines w:val="0"/>
              <w:pageBreakBefore w:val="0"/>
              <w:numPr>
                <w:ilvl w:val="0"/>
                <w:numId w:val="0"/>
              </w:numPr>
              <w:kinsoku/>
              <w:overflowPunct/>
              <w:topLinePunct w:val="0"/>
              <w:autoSpaceDE/>
              <w:autoSpaceDN/>
              <w:bidi w:val="0"/>
              <w:adjustRightInd/>
              <w:snapToGrid/>
              <w:spacing w:line="360" w:lineRule="auto"/>
              <w:textAlignment w:val="auto"/>
              <w:rPr>
                <w:b/>
                <w:bCs/>
                <w:color w:val="auto"/>
                <w:sz w:val="24"/>
              </w:rPr>
            </w:pPr>
            <w:r>
              <w:rPr>
                <w:rFonts w:ascii="Times New Roman" w:hAnsi="Times New Roman" w:eastAsia="宋体" w:cs="Times New Roman"/>
                <w:b/>
                <w:bCs/>
                <w:color w:val="auto"/>
                <w:kern w:val="2"/>
                <w:sz w:val="24"/>
                <w:szCs w:val="24"/>
                <w:lang w:val="en-US" w:eastAsia="zh-CN" w:bidi="ar-SA"/>
              </w:rPr>
              <w:t>1、</w:t>
            </w:r>
            <w:r>
              <w:rPr>
                <w:rFonts w:hint="eastAsia"/>
                <w:b/>
                <w:bCs/>
                <w:color w:val="auto"/>
                <w:sz w:val="24"/>
              </w:rPr>
              <w:t>《庐山市城市总体规划》（2017-2035年）</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庐山市</w:t>
            </w:r>
            <w:r>
              <w:rPr>
                <w:rFonts w:hint="eastAsia"/>
                <w:color w:val="auto"/>
                <w:sz w:val="24"/>
              </w:rPr>
              <w:t>是</w:t>
            </w:r>
            <w:r>
              <w:rPr>
                <w:color w:val="auto"/>
                <w:sz w:val="24"/>
              </w:rPr>
              <w:t>江西省县级市，地处江西省北部，九江市南部，背倚庐山，面临鄱阳湖，东与都昌县隔水为邻，西与柴桑区、德安县、共青城市接壤，北与濂溪区（原庐山区）相连，南与永修县湖洲相接。介于东经115°48′</w:t>
            </w:r>
            <w:r>
              <w:rPr>
                <w:rFonts w:hint="eastAsia"/>
                <w:color w:val="auto"/>
                <w:sz w:val="24"/>
              </w:rPr>
              <w:t>~</w:t>
            </w:r>
            <w:r>
              <w:rPr>
                <w:color w:val="auto"/>
                <w:sz w:val="24"/>
              </w:rPr>
              <w:t>116°10′、北纬29°8′</w:t>
            </w:r>
            <w:r>
              <w:rPr>
                <w:rFonts w:hint="eastAsia"/>
                <w:color w:val="auto"/>
                <w:sz w:val="24"/>
              </w:rPr>
              <w:t>~</w:t>
            </w:r>
            <w:r>
              <w:rPr>
                <w:color w:val="auto"/>
                <w:sz w:val="24"/>
              </w:rPr>
              <w:t>29°36′之间，东西宽35千米，南北长52千米，总面积913平方千米。截至2022年10月，庐山市辖9个镇、1个乡。</w:t>
            </w:r>
          </w:p>
          <w:p>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2018</w:t>
            </w:r>
            <w:r>
              <w:rPr>
                <w:rFonts w:hint="eastAsia"/>
                <w:color w:val="auto"/>
                <w:sz w:val="24"/>
              </w:rPr>
              <w:t>年庐山市人民政府委托上海同济城市规划设计研究院有限公司编制了《庐山市城市总体规划（</w:t>
            </w:r>
            <w:r>
              <w:rPr>
                <w:color w:val="auto"/>
                <w:sz w:val="24"/>
              </w:rPr>
              <w:t>2017-2035</w:t>
            </w:r>
            <w:r>
              <w:rPr>
                <w:rFonts w:hint="eastAsia"/>
                <w:color w:val="auto"/>
                <w:sz w:val="24"/>
              </w:rPr>
              <w:t>年）》。</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规划期限</w:t>
            </w:r>
            <w:r>
              <w:rPr>
                <w:rFonts w:hint="eastAsia"/>
                <w:b/>
                <w:bCs/>
                <w:color w:val="auto"/>
                <w:sz w:val="24"/>
              </w:rPr>
              <w:t>：</w:t>
            </w:r>
            <w:r>
              <w:rPr>
                <w:color w:val="auto"/>
                <w:sz w:val="24"/>
              </w:rPr>
              <w:t>2017</w:t>
            </w:r>
            <w:r>
              <w:rPr>
                <w:rFonts w:hint="eastAsia"/>
                <w:color w:val="auto"/>
                <w:sz w:val="24"/>
              </w:rPr>
              <w:t>-</w:t>
            </w:r>
            <w:r>
              <w:rPr>
                <w:color w:val="auto"/>
                <w:sz w:val="24"/>
              </w:rPr>
              <w:t>2035年，其中近期为2017-2020年，远期为2021-2035年</w:t>
            </w:r>
            <w:r>
              <w:rPr>
                <w:rFonts w:hint="eastAsia"/>
                <w:color w:val="auto"/>
                <w:sz w:val="24"/>
              </w:rPr>
              <w:t>。</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规划范围和层次</w:t>
            </w:r>
            <w:r>
              <w:rPr>
                <w:rFonts w:hint="eastAsia"/>
                <w:b/>
                <w:bCs/>
                <w:color w:val="auto"/>
                <w:sz w:val="24"/>
              </w:rPr>
              <w:t>：</w:t>
            </w:r>
            <w:r>
              <w:rPr>
                <w:rFonts w:hint="eastAsia"/>
                <w:color w:val="auto"/>
                <w:sz w:val="24"/>
              </w:rPr>
              <w:t>规划范围分为市域、中心城区和城市规划区三个层次。</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（1）市域</w:t>
            </w:r>
            <w:r>
              <w:rPr>
                <w:rFonts w:hint="eastAsia"/>
                <w:color w:val="auto"/>
                <w:sz w:val="24"/>
              </w:rPr>
              <w:t>：</w:t>
            </w:r>
            <w:r>
              <w:rPr>
                <w:color w:val="auto"/>
                <w:sz w:val="24"/>
              </w:rPr>
              <w:t>包括南康镇、牯岭镇、海会镇、白鹿镇、温泉镇、横塘镇、华林镇、星子镇、蛟塘镇、蓼南乡及东轱山林场和沙湖山管理处行政管辖范围，</w:t>
            </w:r>
            <w:r>
              <w:rPr>
                <w:rFonts w:hint="eastAsia"/>
                <w:color w:val="auto"/>
                <w:sz w:val="24"/>
              </w:rPr>
              <w:t>总</w:t>
            </w:r>
            <w:r>
              <w:rPr>
                <w:color w:val="auto"/>
                <w:sz w:val="24"/>
              </w:rPr>
              <w:t>面积913平方公里。</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rFonts w:hint="eastAsia"/>
                <w:color w:val="auto"/>
                <w:sz w:val="24"/>
              </w:rPr>
              <w:t>（2）</w:t>
            </w:r>
            <w:r>
              <w:rPr>
                <w:color w:val="auto"/>
                <w:sz w:val="24"/>
              </w:rPr>
              <w:t>中心城区</w:t>
            </w:r>
            <w:r>
              <w:rPr>
                <w:rFonts w:hint="eastAsia"/>
                <w:color w:val="auto"/>
                <w:sz w:val="24"/>
              </w:rPr>
              <w:t>：</w:t>
            </w:r>
            <w:r>
              <w:rPr>
                <w:color w:val="auto"/>
                <w:sz w:val="24"/>
              </w:rPr>
              <w:t>东南沿鄱阳湖岸线至十里湖，北至海会镇刘赤湾，西到宋家垄，面积约23.1平方公里。</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rFonts w:hint="eastAsia"/>
                <w:color w:val="auto"/>
                <w:sz w:val="24"/>
              </w:rPr>
              <w:t>（3）</w:t>
            </w:r>
            <w:r>
              <w:rPr>
                <w:color w:val="auto"/>
                <w:sz w:val="24"/>
              </w:rPr>
              <w:t>城市规划区</w:t>
            </w:r>
            <w:r>
              <w:rPr>
                <w:rFonts w:hint="eastAsia"/>
                <w:color w:val="auto"/>
                <w:sz w:val="24"/>
              </w:rPr>
              <w:t>：</w:t>
            </w:r>
            <w:r>
              <w:rPr>
                <w:color w:val="auto"/>
                <w:sz w:val="24"/>
              </w:rPr>
              <w:t>城市规划区范围西至庐山风景名胜区范围线和南康镇域边界，北至海会镇刘赤湾和白鹿镇行政边界，东部和南部至市域边界，面积86.8平方公里。</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rFonts w:hint="eastAsia"/>
                <w:b/>
                <w:bCs/>
                <w:color w:val="auto"/>
                <w:sz w:val="24"/>
              </w:rPr>
              <w:t>城市定位：</w:t>
            </w:r>
            <w:r>
              <w:rPr>
                <w:rFonts w:hint="eastAsia"/>
                <w:color w:val="auto"/>
                <w:sz w:val="24"/>
              </w:rPr>
              <w:t>国际著名的山水文化休闲旅游城市，长江经济带上重要的文旅创新基地。</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rFonts w:hint="eastAsia"/>
                <w:b/>
                <w:bCs/>
                <w:color w:val="auto"/>
                <w:sz w:val="24"/>
              </w:rPr>
              <w:t>目标愿景：</w:t>
            </w:r>
            <w:r>
              <w:rPr>
                <w:rFonts w:hint="eastAsia"/>
                <w:color w:val="auto"/>
                <w:sz w:val="24"/>
              </w:rPr>
              <w:t>构建</w:t>
            </w:r>
            <w:r>
              <w:rPr>
                <w:color w:val="auto"/>
                <w:sz w:val="24"/>
              </w:rPr>
              <w:t>“悠然天下，山湖致城”的城市形象，将庐山市打造成为生态福地、人文圣地、悠游娱地。</w:t>
            </w:r>
            <w:r>
              <w:rPr>
                <w:rFonts w:hint="eastAsia"/>
                <w:color w:val="auto"/>
                <w:sz w:val="24"/>
              </w:rPr>
              <w:t>近期至</w:t>
            </w:r>
            <w:r>
              <w:rPr>
                <w:color w:val="auto"/>
                <w:sz w:val="24"/>
              </w:rPr>
              <w:t>2020年，专业化旅游城市的建设和城景一体化发展的绿色转型策略初显成效，城市风貌显著提升，经济实力显著增强。</w:t>
            </w:r>
            <w:r>
              <w:rPr>
                <w:rFonts w:hint="eastAsia"/>
                <w:color w:val="auto"/>
                <w:sz w:val="24"/>
              </w:rPr>
              <w:t>远期至</w:t>
            </w:r>
            <w:r>
              <w:rPr>
                <w:color w:val="auto"/>
                <w:sz w:val="24"/>
              </w:rPr>
              <w:t>2035年，初步实现文化旅游产业创新基地和山水文化休闲旅游名城的建设。城市可持续发展水平显著提升，构建山水相映、文化彰显、宜居宜游、和谐共享的开放新发展格局。</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市域空间格局</w:t>
            </w:r>
            <w:r>
              <w:rPr>
                <w:rFonts w:hint="eastAsia"/>
                <w:b/>
                <w:bCs/>
                <w:color w:val="auto"/>
                <w:sz w:val="24"/>
              </w:rPr>
              <w:t>：</w:t>
            </w:r>
            <w:r>
              <w:rPr>
                <w:color w:val="auto"/>
                <w:sz w:val="24"/>
              </w:rPr>
              <w:t>落实市域公共资源全面保护，强化三类空间指引</w:t>
            </w:r>
            <w:r>
              <w:rPr>
                <w:rFonts w:hint="eastAsia"/>
                <w:color w:val="auto"/>
                <w:sz w:val="24"/>
              </w:rPr>
              <w:t>。</w:t>
            </w:r>
            <w:r>
              <w:rPr>
                <w:color w:val="auto"/>
                <w:sz w:val="24"/>
              </w:rPr>
              <w:t>严格落实庐山风景名胜区、鄱阳湖生态经济区保护要求，全面保护自然生态资源，加强文化遗产的保护与利用，合理利用优质景观区域。规划划定生态空间占市域总面积约78%、农业空间占约17%、城镇空间占约5%。划定生态保护红线约289平方公里、永久基本农田边界约97平方公里、城镇开发边界线约37平方公里。</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转变发展方式，形成以景区为中心的市域城镇空间格局。规划形成“双心引领、中线带动、廊带支撑、三区协同”的空间结构。</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“双心引领”</w:t>
            </w:r>
            <w:r>
              <w:rPr>
                <w:rFonts w:hint="eastAsia"/>
                <w:color w:val="auto"/>
                <w:sz w:val="24"/>
              </w:rPr>
              <w:t>。</w:t>
            </w:r>
            <w:r>
              <w:rPr>
                <w:color w:val="auto"/>
                <w:sz w:val="24"/>
              </w:rPr>
              <w:t>打造庐山中心城区综合服务中心和山上牯岭人文休闲核心。</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“中线带动”</w:t>
            </w:r>
            <w:r>
              <w:rPr>
                <w:rFonts w:hint="eastAsia"/>
                <w:color w:val="auto"/>
                <w:sz w:val="24"/>
              </w:rPr>
              <w:t>。</w:t>
            </w:r>
            <w:r>
              <w:rPr>
                <w:color w:val="auto"/>
                <w:sz w:val="24"/>
              </w:rPr>
              <w:t>依托三叠泉、庐岳古道等景点的游览观光道，强化山上山下的交通联系、生态渗透、产业融合、管理协同，构建山上山下联动发展轴。</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“廊带支撑”。形成山南特色城镇走廊和滨湖城镇联动发展带。</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“三区协同”。规划庐山生态文化保护区、山下城镇特色发展区、鄱阳湖生态保护区三个特色片区，协同一体发展。</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中心城区空间结构</w:t>
            </w:r>
            <w:r>
              <w:rPr>
                <w:rFonts w:hint="eastAsia"/>
                <w:b/>
                <w:bCs/>
                <w:color w:val="auto"/>
                <w:sz w:val="24"/>
              </w:rPr>
              <w:t>：</w:t>
            </w:r>
            <w:r>
              <w:rPr>
                <w:color w:val="auto"/>
                <w:sz w:val="24"/>
              </w:rPr>
              <w:t>以国际化旅游城市为目标，保护自然基底和山水廊道，推动组团化发展，打造山湖小城，形成“一主两副促发展，一轴两带联组团，三园四区融自然”的中心城区用地布局结构。</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一主两副：老城旅游发展主核，及西部旅游服务中心、北部旅游服务中心。</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一轴两带：环庐山联动发展轴，及滨湖景观游憩带、文化休闲体验带。</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三园：石雕公园、玉京山生态园、庐山诗画田园。</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color w:val="auto"/>
                <w:sz w:val="24"/>
              </w:rPr>
            </w:pPr>
            <w:r>
              <w:rPr>
                <w:color w:val="auto"/>
                <w:sz w:val="24"/>
              </w:rPr>
              <w:t>四区：峰德新区、老城区、神灵湖新区和大排岭旅游功能区。</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产业发展目标</w:t>
            </w:r>
            <w:r>
              <w:rPr>
                <w:rFonts w:hint="eastAsia"/>
                <w:b/>
                <w:bCs/>
                <w:color w:val="auto"/>
                <w:sz w:val="24"/>
              </w:rPr>
              <w:t>：</w:t>
            </w:r>
            <w:r>
              <w:rPr>
                <w:color w:val="auto"/>
                <w:sz w:val="24"/>
              </w:rPr>
              <w:t>积极承接九江产业分工，聚焦旅游服务功能，以打造全域化国际旅游目的地为目标，强化旅游对经济的核心带动作用，优化产业结构和布局。构建以休闲旅游产业为核心，融合生态农业、观光农业等、旅游产品制造、科技型产业、文创产业等综合发展，三次产业相互联系、相互配合、相互融合的“六次产业”集群体系。</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产业总体空间布局</w:t>
            </w:r>
            <w:r>
              <w:rPr>
                <w:rFonts w:hint="eastAsia"/>
                <w:b/>
                <w:bCs/>
                <w:color w:val="auto"/>
                <w:sz w:val="24"/>
              </w:rPr>
              <w:t>：</w:t>
            </w:r>
            <w:r>
              <w:rPr>
                <w:color w:val="auto"/>
                <w:sz w:val="24"/>
              </w:rPr>
              <w:t>规划形成“两带、三区”的产业空间布局。构建滨湖文创智造产业带，沿鄱阳湖发展文化创意与特色加工产业。打造山南生态文化休闲带，庐山南麓重点建设休闲度假产业集群。庐山风景名胜区形成庐山自然文化旅游片区，华林镇、蛟塘镇、蓼南乡形成生态农业休闲片区，横塘镇形成特色工贸产业片区。</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公共服务中心体系</w:t>
            </w:r>
            <w:r>
              <w:rPr>
                <w:rFonts w:hint="eastAsia"/>
                <w:b/>
                <w:bCs/>
                <w:color w:val="auto"/>
                <w:sz w:val="24"/>
              </w:rPr>
              <w:t>：</w:t>
            </w:r>
            <w:r>
              <w:rPr>
                <w:color w:val="auto"/>
                <w:sz w:val="24"/>
              </w:rPr>
              <w:t>以提高城市公共服务设施和旅游接待的服务水平为目标，规划形成由市级中心、片区级中心两级带动发展的格局，实现空间布局的全面优化和均衡发展。市级公共服务中心1个。位于老城区，是庐山市多功能复合的综合性公共服务中心，为全市服务。片区级公共服务中心3个。包括大排岭旅游功能区中心、神灵湖新区中心、峰德新区中心。</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城乡公共服务体系</w:t>
            </w:r>
            <w:r>
              <w:rPr>
                <w:rFonts w:hint="eastAsia"/>
                <w:b/>
                <w:bCs/>
                <w:color w:val="auto"/>
                <w:sz w:val="24"/>
              </w:rPr>
              <w:t>：</w:t>
            </w:r>
            <w:r>
              <w:rPr>
                <w:color w:val="auto"/>
                <w:sz w:val="24"/>
              </w:rPr>
              <w:t>建设庐山市“市级公共服务中心--镇级公共服务中心--社区（村）级公共服务中心”三级公共服务设施体系。市级公共服务中心1个。位于庐山市中心城区，作为面向全市的大型、高标准公共设施。镇级公共服务中心7个。位于牯岭镇、海会镇、温泉镇、星子镇、横塘镇、华林镇、蛟塘镇，强化对旅游的服务。社区（村）级公共服务中心2个。分别位于蓼南乡、沙湖山管理处，服务半径宜在500米左右。</w:t>
            </w:r>
          </w:p>
          <w:p>
            <w:pPr>
              <w:pStyle w:val="20"/>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360" w:lineRule="auto"/>
              <w:ind w:firstLine="481" w:firstLineChars="200"/>
              <w:jc w:val="both"/>
              <w:textAlignment w:val="auto"/>
              <w:rPr>
                <w:color w:val="auto"/>
                <w:sz w:val="24"/>
              </w:rPr>
            </w:pPr>
            <w:r>
              <w:rPr>
                <w:b/>
                <w:bCs/>
                <w:color w:val="auto"/>
                <w:sz w:val="24"/>
              </w:rPr>
              <w:t>医疗卫生用地</w:t>
            </w:r>
            <w:r>
              <w:rPr>
                <w:rFonts w:hint="eastAsia"/>
                <w:b/>
                <w:bCs/>
                <w:color w:val="auto"/>
                <w:sz w:val="24"/>
              </w:rPr>
              <w:t>：</w:t>
            </w:r>
            <w:r>
              <w:rPr>
                <w:color w:val="auto"/>
                <w:sz w:val="24"/>
              </w:rPr>
              <w:t>规划5所市级医院。其中，峰德新区新建1所中医院，神灵湖新区新建1所神灵湖医院；扩建人民医院，妇幼保健院；保留峰德新区现状南康医院。规划2所片区级医疗设施。其中，保留峰德新区现状疾控中心；老城区新建1所庐阳社区卫生服务中心。</w:t>
            </w:r>
          </w:p>
          <w:p>
            <w:pPr>
              <w:pStyle w:val="28"/>
              <w:keepNext w:val="0"/>
              <w:keepLines w:val="0"/>
              <w:pageBreakBefore w:val="0"/>
              <w:widowControl w:val="0"/>
              <w:kinsoku/>
              <w:overflowPunct/>
              <w:topLinePunct w:val="0"/>
              <w:autoSpaceDE/>
              <w:autoSpaceDN/>
              <w:bidi w:val="0"/>
              <w:adjustRightInd/>
              <w:snapToGrid/>
              <w:spacing w:line="360" w:lineRule="auto"/>
              <w:ind w:left="0" w:firstLine="481" w:firstLineChars="200"/>
              <w:textAlignment w:val="auto"/>
              <w:rPr>
                <w:rFonts w:cs="MS UI Gothic"/>
                <w:color w:val="auto"/>
                <w:sz w:val="24"/>
                <w:szCs w:val="24"/>
                <w:lang w:bidi="ar"/>
              </w:rPr>
            </w:pPr>
            <w:r>
              <w:rPr>
                <w:rFonts w:hint="eastAsia"/>
                <w:b/>
                <w:bCs/>
                <w:color w:val="auto"/>
                <w:sz w:val="24"/>
              </w:rPr>
              <w:t>规划相符分析</w:t>
            </w:r>
            <w:r>
              <w:rPr>
                <w:rFonts w:hint="eastAsia"/>
                <w:b/>
                <w:bCs/>
                <w:color w:val="auto"/>
                <w:sz w:val="24"/>
                <w:lang w:eastAsia="zh-CN"/>
              </w:rPr>
              <w:t>：</w:t>
            </w:r>
            <w:r>
              <w:rPr>
                <w:rFonts w:hint="eastAsia"/>
                <w:color w:val="auto"/>
                <w:sz w:val="24"/>
              </w:rPr>
              <w:t>乡镇卫生院属于基层医疗卫生机构，是我国公共卫生服务体系中的一部分；同时城乡公共服务体系包括城市和农村的基础设施、医疗卫生、社会保障、文化教育等公共服务，因此本项目温泉镇中心卫生院</w:t>
            </w:r>
            <w:r>
              <w:rPr>
                <w:rFonts w:hint="eastAsia" w:cs="MS UI Gothic"/>
                <w:color w:val="auto"/>
                <w:sz w:val="24"/>
                <w:szCs w:val="24"/>
                <w:lang w:bidi="ar"/>
              </w:rPr>
              <w:t>的建设符合《</w:t>
            </w:r>
            <w:r>
              <w:rPr>
                <w:rFonts w:hint="eastAsia" w:cs="宋体"/>
                <w:color w:val="auto"/>
                <w:sz w:val="24"/>
                <w:szCs w:val="24"/>
                <w:lang w:bidi="ar"/>
              </w:rPr>
              <w:t>庐</w:t>
            </w:r>
            <w:r>
              <w:rPr>
                <w:rFonts w:hint="eastAsia" w:cs="MS UI Gothic"/>
                <w:color w:val="auto"/>
                <w:sz w:val="24"/>
                <w:szCs w:val="24"/>
                <w:lang w:bidi="ar"/>
              </w:rPr>
              <w:t>山市城市</w:t>
            </w:r>
            <w:r>
              <w:rPr>
                <w:rFonts w:hint="eastAsia" w:cs="宋体"/>
                <w:color w:val="auto"/>
                <w:sz w:val="24"/>
                <w:szCs w:val="24"/>
                <w:lang w:bidi="ar"/>
              </w:rPr>
              <w:t>总</w:t>
            </w:r>
            <w:r>
              <w:rPr>
                <w:rFonts w:hint="eastAsia" w:cs="MS UI Gothic"/>
                <w:color w:val="auto"/>
                <w:sz w:val="24"/>
                <w:szCs w:val="24"/>
                <w:lang w:bidi="ar"/>
              </w:rPr>
              <w:t>体</w:t>
            </w:r>
            <w:r>
              <w:rPr>
                <w:rFonts w:hint="eastAsia" w:cs="宋体"/>
                <w:color w:val="auto"/>
                <w:sz w:val="24"/>
                <w:szCs w:val="24"/>
                <w:lang w:bidi="ar"/>
              </w:rPr>
              <w:t>规</w:t>
            </w:r>
            <w:r>
              <w:rPr>
                <w:rFonts w:hint="eastAsia" w:cs="MS UI Gothic"/>
                <w:color w:val="auto"/>
                <w:sz w:val="24"/>
                <w:szCs w:val="24"/>
                <w:lang w:bidi="ar"/>
              </w:rPr>
              <w:t>划》中建设</w:t>
            </w:r>
            <w:r>
              <w:rPr>
                <w:color w:val="auto"/>
                <w:sz w:val="24"/>
              </w:rPr>
              <w:t>温泉镇镇级公共服务中心</w:t>
            </w:r>
            <w:r>
              <w:rPr>
                <w:rFonts w:hint="eastAsia"/>
                <w:color w:val="auto"/>
                <w:sz w:val="24"/>
              </w:rPr>
              <w:t>的要求。再由建设单位提供的建设用地规划许可证和用地性质证明材料可知，项目建设用地属于医卫慈善用地，项目建设符合要求。</w:t>
            </w:r>
          </w:p>
          <w:p>
            <w:pPr>
              <w:keepNext w:val="0"/>
              <w:keepLines w:val="0"/>
              <w:pageBreakBefore w:val="0"/>
              <w:numPr>
                <w:ilvl w:val="0"/>
                <w:numId w:val="0"/>
              </w:numPr>
              <w:kinsoku/>
              <w:wordWrap/>
              <w:overflowPunct/>
              <w:topLinePunct w:val="0"/>
              <w:autoSpaceDE/>
              <w:autoSpaceDN/>
              <w:bidi w:val="0"/>
              <w:adjustRightInd w:val="0"/>
              <w:snapToGrid/>
              <w:spacing w:line="360" w:lineRule="auto"/>
              <w:textAlignment w:val="auto"/>
              <w:rPr>
                <w:b/>
                <w:bCs/>
                <w:color w:val="auto"/>
                <w:sz w:val="24"/>
              </w:rPr>
            </w:pPr>
            <w:r>
              <w:rPr>
                <w:rFonts w:ascii="Times New Roman" w:hAnsi="Times New Roman" w:eastAsia="宋体" w:cs="Times New Roman"/>
                <w:b/>
                <w:bCs/>
                <w:color w:val="auto"/>
                <w:kern w:val="2"/>
                <w:sz w:val="24"/>
                <w:szCs w:val="24"/>
                <w:lang w:val="en-US" w:eastAsia="zh-CN" w:bidi="ar-SA"/>
              </w:rPr>
              <w:t>2、</w:t>
            </w:r>
            <w:r>
              <w:rPr>
                <w:rFonts w:hint="eastAsia"/>
                <w:b/>
                <w:bCs/>
                <w:color w:val="auto"/>
                <w:sz w:val="24"/>
              </w:rPr>
              <w:t>与《庐山市“十四五”医疗卫生服务体系规划》相符性分析</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cs="宋体"/>
                <w:color w:val="auto"/>
                <w:sz w:val="24"/>
              </w:rPr>
            </w:pPr>
            <w:r>
              <w:rPr>
                <w:rFonts w:hint="eastAsia" w:cs="宋体"/>
                <w:color w:val="auto"/>
                <w:sz w:val="24"/>
                <w:shd w:val="clear" w:color="auto" w:fill="FFFFFF"/>
              </w:rPr>
              <w:t>规划中指出：“到2025年，基本建成能有效应对重大疫情和突发公共卫生事件的公共卫生体系，基本建成体系完整、分工明确、功能互补、密切协作、运行高效、富有韧性的整合型医疗服务体系。完善分级诊疗体系，基层普遍具备首诊分诊和健康守门能力，基本形成“基层首诊、双向转诊、上下联动、急慢分治”的就医格局。全方位全周期健康服务与保障能力显著增强，中医药服务体系更加健全，实现优质医疗卫生资源配置均衡化、基本医疗卫生服务均质化、基本公共卫生服务均等化，广大人民群众就近享有公平可及、系统连续、优质高效的基本医疗卫生服务，人民健康水平持续提升。”</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color w:val="auto"/>
                <w:sz w:val="24"/>
              </w:rPr>
            </w:pPr>
            <w:r>
              <w:rPr>
                <w:rFonts w:hint="eastAsia" w:cs="宋体"/>
                <w:color w:val="auto"/>
                <w:sz w:val="24"/>
                <w:shd w:val="clear" w:color="auto" w:fill="FFFFFF"/>
              </w:rPr>
              <w:t>按照属地规划原则，庐山市医疗卫生服务体系包括市、乡、村三级资源梯度配置，主要由公共卫生服务、医疗服务、基层医疗卫生服务、中医药服务、全方位全周期健康服务等五大体系构成，是以专业公共卫生机构、医院、基层医疗卫生机构为主体，以老年人、妇幼儿童等特殊人群健康照护等新型服务机构为补充，面向全人群，提供疾病预防、保健、治疗、护理、康复、健康促进等生命全周期、健康全过程的服务体系；是全面推进健康庐山建设，积极应对人口老龄化，维护公共卫生安全的物质基础和设施保障。基层医疗卫生机构包括乡镇卫生院、社区卫生服务中心（站）、村卫生室、医务室、门诊部和诊所等。</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cs="宋体"/>
                <w:color w:val="auto"/>
                <w:sz w:val="24"/>
              </w:rPr>
            </w:pPr>
            <w:r>
              <w:rPr>
                <w:rFonts w:hint="eastAsia" w:cs="宋体"/>
                <w:color w:val="auto"/>
                <w:sz w:val="24"/>
                <w:shd w:val="clear" w:color="auto" w:fill="FFFFFF"/>
              </w:rPr>
              <w:t>1.乡镇卫生院、社区卫生服务中心。在每个乡镇办好1所标准化建设的乡镇卫生院，或城区每3~10万居民规划设置1所社区卫生服务中心。综合考虑城镇化、地理位置、人口聚集程度等因素，可以选择1/3左右的乡镇卫生院提升服务能力和水平，建设中心卫生院。有条件的中心卫生院可以建设成为市本级医院分院或按二级医院标准开展建设。城区部分一级公立医院可以根据需要，通过结构和功能改造转为社区卫生服务中心。规划期内，共设乡镇卫生院12个，社区卫生服务中心1个，乡镇卫生院的发热诊室尽量做到“应建尽建”。</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cs="宋体"/>
                <w:color w:val="auto"/>
                <w:sz w:val="24"/>
              </w:rPr>
            </w:pPr>
            <w:r>
              <w:rPr>
                <w:rFonts w:hint="eastAsia" w:cs="宋体"/>
                <w:color w:val="auto"/>
                <w:sz w:val="24"/>
                <w:shd w:val="clear" w:color="auto" w:fill="FFFFFF"/>
              </w:rPr>
              <w:t>2.村卫生室、社区卫生服务站。根据村级人口分布特点，调整优化行政村卫生室设置，原则上每个行政村应当设置1个村卫生室，城区按3-5个居委会的地域或1~2万人口设1个服务站。规划期内，共设村卫生室82个，社区卫生服务站4个。</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cs="宋体"/>
                <w:color w:val="auto"/>
                <w:sz w:val="24"/>
                <w:shd w:val="clear" w:color="auto" w:fill="FFFFFF"/>
              </w:rPr>
            </w:pPr>
            <w:r>
              <w:rPr>
                <w:rFonts w:hint="eastAsia" w:cs="宋体"/>
                <w:color w:val="auto"/>
                <w:sz w:val="24"/>
                <w:shd w:val="clear" w:color="auto" w:fill="FFFFFF"/>
              </w:rPr>
              <w:t>3.门诊部、诊所等基层医疗卫生机构。设置不受规划布局限制，实行市场调节的管理方式。</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cs="宋体"/>
                <w:color w:val="auto"/>
                <w:sz w:val="24"/>
              </w:rPr>
            </w:pPr>
            <w:r>
              <w:rPr>
                <w:rFonts w:hint="eastAsia" w:cs="宋体"/>
                <w:color w:val="auto"/>
                <w:sz w:val="24"/>
                <w:shd w:val="clear" w:color="auto" w:fill="FFFFFF"/>
              </w:rPr>
              <w:t>规划期内，完成“庐山市人民医院迁建项目”、“庐山市中医医院新建项目”、“庐山市妇幼保健院迁建项目”、“庐山市乡镇卫生院整体改造提升项目”。根据常住人口分布和结构，合理配置各级公立医院床位规模，重在提高床位使用质量。公立综合医院床位使用率低于75%、平均住院日高于9天的，原则上不再新增床位。公立医院资源过剩，结合实际优化结构和布局，根据需要积极稳妥地将部分公立医院转为康复、老年护理等接续性医疗机构或社区卫生服务机构。中医类医院床位数按照每千常住人口不少于0.97张配置。</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b/>
                <w:bCs/>
                <w:color w:val="auto"/>
                <w:sz w:val="24"/>
              </w:rPr>
            </w:pPr>
            <w:r>
              <w:rPr>
                <w:rFonts w:hint="eastAsia" w:cs="宋体"/>
                <w:color w:val="auto"/>
                <w:sz w:val="24"/>
                <w:shd w:val="clear" w:color="auto" w:fill="FFFFFF"/>
              </w:rPr>
              <w:t>规划期内，九江学院附属医院和江西省庐山人民医院深度合作建立医共体。至少组建1个县域医共体，全市公立医疗卫生机构均应参加紧密型医共体，鼓励中医医院牵头组建多种形式的医共体。鼓励社会力量办医疗卫生机构按照自愿原则参加医共体。鼓励二级及以上公立医疗机构提供互联网医疗服务，实现智慧医院建设。拓展社会办医空间，社会办医区域总量和空间不做规划限制。诊所设置不受规划布局限制，实行备案制管理。</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color w:val="auto"/>
              </w:rPr>
            </w:pPr>
            <w:r>
              <w:rPr>
                <w:rFonts w:hint="eastAsia"/>
                <w:b/>
                <w:bCs/>
                <w:color w:val="auto"/>
                <w:sz w:val="24"/>
              </w:rPr>
              <w:t>规划相符性分析：</w:t>
            </w:r>
            <w:r>
              <w:rPr>
                <w:rFonts w:hint="eastAsia" w:cs="宋体"/>
                <w:color w:val="auto"/>
                <w:kern w:val="0"/>
                <w:sz w:val="24"/>
                <w:lang w:bidi="ar"/>
              </w:rPr>
              <w:t>本项目为</w:t>
            </w:r>
            <w:r>
              <w:rPr>
                <w:rFonts w:hint="eastAsia"/>
                <w:color w:val="auto"/>
                <w:sz w:val="24"/>
              </w:rPr>
              <w:t>乡镇卫生院，属于</w:t>
            </w:r>
            <w:r>
              <w:rPr>
                <w:rFonts w:cs="Helvetica"/>
                <w:color w:val="auto"/>
                <w:sz w:val="24"/>
                <w:szCs w:val="21"/>
                <w:shd w:val="clear" w:color="auto" w:fill="FFFFFF"/>
              </w:rPr>
              <w:t>基层医疗卫生服务</w:t>
            </w:r>
            <w:r>
              <w:rPr>
                <w:rFonts w:hint="eastAsia" w:cs="Helvetica"/>
                <w:color w:val="auto"/>
                <w:sz w:val="24"/>
                <w:szCs w:val="21"/>
                <w:shd w:val="clear" w:color="auto" w:fill="FFFFFF"/>
              </w:rPr>
              <w:t>项目，同时</w:t>
            </w:r>
            <w:r>
              <w:rPr>
                <w:rFonts w:hint="eastAsia" w:cs="宋体"/>
                <w:color w:val="auto"/>
                <w:sz w:val="24"/>
                <w:shd w:val="clear" w:color="auto" w:fill="FFFFFF"/>
              </w:rPr>
              <w:t>属于“庐山市乡镇卫生院整体改造提升项目”中的一部分，</w:t>
            </w:r>
            <w:r>
              <w:rPr>
                <w:rFonts w:hint="eastAsia" w:cs="Helvetica"/>
                <w:color w:val="auto"/>
                <w:sz w:val="24"/>
                <w:szCs w:val="21"/>
                <w:shd w:val="clear" w:color="auto" w:fill="FFFFFF"/>
              </w:rPr>
              <w:t>项目</w:t>
            </w:r>
            <w:r>
              <w:rPr>
                <w:rFonts w:hint="eastAsia" w:cs="MS UI Gothic"/>
                <w:color w:val="auto"/>
                <w:kern w:val="0"/>
                <w:sz w:val="24"/>
                <w:lang w:bidi="ar"/>
              </w:rPr>
              <w:t>建</w:t>
            </w:r>
            <w:r>
              <w:rPr>
                <w:rFonts w:hint="eastAsia" w:cs="宋体"/>
                <w:color w:val="auto"/>
                <w:kern w:val="0"/>
                <w:sz w:val="24"/>
                <w:lang w:bidi="ar"/>
              </w:rPr>
              <w:t>设地点位于江西省九江市庐山市温泉镇212省道</w:t>
            </w:r>
            <w:r>
              <w:rPr>
                <w:rFonts w:hint="eastAsia"/>
                <w:color w:val="auto"/>
                <w:sz w:val="24"/>
              </w:rPr>
              <w:t>（环南山公路老隘口村旁）</w:t>
            </w:r>
            <w:r>
              <w:rPr>
                <w:rFonts w:hint="eastAsia" w:cs="宋体"/>
                <w:color w:val="auto"/>
                <w:kern w:val="0"/>
                <w:sz w:val="24"/>
                <w:lang w:bidi="ar"/>
              </w:rPr>
              <w:t>，项目建设内容为新建4602m</w:t>
            </w:r>
            <w:r>
              <w:rPr>
                <w:rFonts w:hint="eastAsia" w:cs="宋体"/>
                <w:color w:val="auto"/>
                <w:kern w:val="0"/>
                <w:sz w:val="24"/>
                <w:vertAlign w:val="superscript"/>
                <w:lang w:bidi="ar"/>
              </w:rPr>
              <w:t>2</w:t>
            </w:r>
            <w:r>
              <w:rPr>
                <w:rFonts w:hint="eastAsia" w:cs="宋体"/>
                <w:color w:val="auto"/>
                <w:kern w:val="0"/>
                <w:sz w:val="24"/>
                <w:lang w:bidi="ar"/>
              </w:rPr>
              <w:t>急救大楼装修设计、室外场地硬化、新建围墙门卫，污废水处理系统等，项目</w:t>
            </w:r>
            <w:r>
              <w:rPr>
                <w:rFonts w:hint="eastAsia" w:cs="MS UI Gothic"/>
                <w:color w:val="auto"/>
                <w:kern w:val="0"/>
                <w:sz w:val="24"/>
                <w:lang w:bidi="ar"/>
              </w:rPr>
              <w:t>建成后</w:t>
            </w:r>
            <w:r>
              <w:rPr>
                <w:rFonts w:hint="eastAsia" w:cs="宋体"/>
                <w:color w:val="auto"/>
                <w:kern w:val="0"/>
                <w:sz w:val="24"/>
                <w:lang w:bidi="ar"/>
              </w:rPr>
              <w:t>该</w:t>
            </w:r>
            <w:r>
              <w:rPr>
                <w:rFonts w:hint="eastAsia" w:cs="MS UI Gothic"/>
                <w:color w:val="auto"/>
                <w:kern w:val="0"/>
                <w:sz w:val="24"/>
                <w:lang w:bidi="ar"/>
              </w:rPr>
              <w:t>区域医</w:t>
            </w:r>
            <w:r>
              <w:rPr>
                <w:rFonts w:hint="eastAsia" w:cs="宋体"/>
                <w:color w:val="auto"/>
                <w:kern w:val="0"/>
                <w:sz w:val="24"/>
                <w:lang w:bidi="ar"/>
              </w:rPr>
              <w:t>疗</w:t>
            </w:r>
            <w:r>
              <w:rPr>
                <w:rFonts w:hint="eastAsia" w:cs="MS UI Gothic"/>
                <w:color w:val="auto"/>
                <w:kern w:val="0"/>
                <w:sz w:val="24"/>
                <w:lang w:bidi="ar"/>
              </w:rPr>
              <w:t>服</w:t>
            </w:r>
            <w:r>
              <w:rPr>
                <w:rFonts w:hint="eastAsia" w:cs="宋体"/>
                <w:color w:val="auto"/>
                <w:kern w:val="0"/>
                <w:sz w:val="24"/>
                <w:lang w:bidi="ar"/>
              </w:rPr>
              <w:t>务</w:t>
            </w:r>
            <w:r>
              <w:rPr>
                <w:rFonts w:hint="eastAsia" w:cs="MS UI Gothic"/>
                <w:color w:val="auto"/>
                <w:kern w:val="0"/>
                <w:sz w:val="24"/>
                <w:lang w:bidi="ar"/>
              </w:rPr>
              <w:t>能力将得到提升，医</w:t>
            </w:r>
            <w:r>
              <w:rPr>
                <w:rFonts w:hint="eastAsia" w:cs="宋体"/>
                <w:color w:val="auto"/>
                <w:kern w:val="0"/>
                <w:sz w:val="24"/>
                <w:lang w:bidi="ar"/>
              </w:rPr>
              <w:t>疗卫</w:t>
            </w:r>
            <w:r>
              <w:rPr>
                <w:rFonts w:hint="eastAsia" w:cs="MS UI Gothic"/>
                <w:color w:val="auto"/>
                <w:kern w:val="0"/>
                <w:sz w:val="24"/>
                <w:lang w:bidi="ar"/>
              </w:rPr>
              <w:t>生服</w:t>
            </w:r>
            <w:r>
              <w:rPr>
                <w:rFonts w:hint="eastAsia" w:cs="宋体"/>
                <w:color w:val="auto"/>
                <w:kern w:val="0"/>
                <w:sz w:val="24"/>
                <w:lang w:bidi="ar"/>
              </w:rPr>
              <w:t>务</w:t>
            </w:r>
            <w:r>
              <w:rPr>
                <w:rFonts w:hint="eastAsia" w:cs="MS UI Gothic"/>
                <w:color w:val="auto"/>
                <w:kern w:val="0"/>
                <w:sz w:val="24"/>
                <w:lang w:bidi="ar"/>
              </w:rPr>
              <w:t>体系得到完</w:t>
            </w:r>
            <w:r>
              <w:rPr>
                <w:rFonts w:hint="eastAsia" w:cs="宋体"/>
                <w:color w:val="auto"/>
                <w:kern w:val="0"/>
                <w:sz w:val="24"/>
                <w:lang w:bidi="ar"/>
              </w:rPr>
              <w:t>善，进一步完善了城乡公共服务体系，</w:t>
            </w:r>
            <w:r>
              <w:rPr>
                <w:rFonts w:hint="eastAsia" w:cs="MS UI Gothic"/>
                <w:color w:val="auto"/>
                <w:kern w:val="0"/>
                <w:sz w:val="24"/>
                <w:lang w:bidi="ar"/>
              </w:rPr>
              <w:t>增</w:t>
            </w:r>
            <w:r>
              <w:rPr>
                <w:rFonts w:hint="eastAsia" w:cs="宋体"/>
                <w:color w:val="auto"/>
                <w:kern w:val="0"/>
                <w:sz w:val="24"/>
                <w:lang w:bidi="ar"/>
              </w:rPr>
              <w:t>强</w:t>
            </w:r>
            <w:r>
              <w:rPr>
                <w:rFonts w:hint="eastAsia" w:cs="MS UI Gothic"/>
                <w:color w:val="auto"/>
                <w:kern w:val="0"/>
                <w:sz w:val="24"/>
                <w:lang w:bidi="ar"/>
              </w:rPr>
              <w:t>了医</w:t>
            </w:r>
            <w:r>
              <w:rPr>
                <w:rFonts w:hint="eastAsia" w:cs="宋体"/>
                <w:color w:val="auto"/>
                <w:kern w:val="0"/>
                <w:sz w:val="24"/>
                <w:lang w:bidi="ar"/>
              </w:rPr>
              <w:t>疗</w:t>
            </w:r>
            <w:r>
              <w:rPr>
                <w:rFonts w:hint="eastAsia" w:cs="MS UI Gothic"/>
                <w:color w:val="auto"/>
                <w:kern w:val="0"/>
                <w:sz w:val="24"/>
                <w:lang w:bidi="ar"/>
              </w:rPr>
              <w:t>保障能力，解决了辖区居民基本医疗需求，</w:t>
            </w:r>
            <w:r>
              <w:rPr>
                <w:rFonts w:hint="eastAsia" w:cs="宋体"/>
                <w:color w:val="auto"/>
                <w:kern w:val="0"/>
                <w:sz w:val="24"/>
                <w:lang w:bidi="ar"/>
              </w:rPr>
              <w:t>对</w:t>
            </w:r>
            <w:r>
              <w:rPr>
                <w:rFonts w:hint="eastAsia" w:cs="MS UI Gothic"/>
                <w:color w:val="auto"/>
                <w:kern w:val="0"/>
                <w:sz w:val="24"/>
                <w:lang w:bidi="ar"/>
              </w:rPr>
              <w:t>提高当地人民群众健康水平有着重要意</w:t>
            </w:r>
            <w:r>
              <w:rPr>
                <w:rFonts w:hint="eastAsia" w:cs="宋体"/>
                <w:color w:val="auto"/>
                <w:kern w:val="0"/>
                <w:sz w:val="24"/>
                <w:lang w:bidi="ar"/>
              </w:rPr>
              <w:t>义</w:t>
            </w:r>
            <w:r>
              <w:rPr>
                <w:rFonts w:hint="eastAsia" w:cs="MS UI Gothic"/>
                <w:color w:val="auto"/>
                <w:kern w:val="0"/>
                <w:sz w:val="24"/>
                <w:lang w:bidi="ar"/>
              </w:rPr>
              <w:t>，因此，本项目建设符合</w:t>
            </w:r>
            <w:r>
              <w:rPr>
                <w:rFonts w:hint="eastAsia" w:cs="微软雅黑"/>
                <w:bCs/>
                <w:color w:val="auto"/>
                <w:sz w:val="24"/>
                <w:szCs w:val="36"/>
                <w:shd w:val="clear" w:color="auto" w:fill="FFFFFF"/>
              </w:rPr>
              <w:t>《</w:t>
            </w:r>
            <w:r>
              <w:rPr>
                <w:rFonts w:cs="微软雅黑"/>
                <w:bCs/>
                <w:color w:val="auto"/>
                <w:sz w:val="24"/>
                <w:szCs w:val="36"/>
                <w:shd w:val="clear" w:color="auto" w:fill="FFFFFF"/>
              </w:rPr>
              <w:t>庐山市“十四五”医疗卫生服务体系规划</w:t>
            </w:r>
            <w:r>
              <w:rPr>
                <w:rFonts w:hint="eastAsia" w:cs="微软雅黑"/>
                <w:bCs/>
                <w:color w:val="auto"/>
                <w:sz w:val="24"/>
                <w:szCs w:val="36"/>
                <w:shd w:val="clear" w:color="auto" w:fill="FFFFFF"/>
              </w:rPr>
              <w:t>》中相关要求。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4" w:hRule="atLeast"/>
        </w:trPr>
        <w:tc>
          <w:tcPr>
            <w:tcW w:w="1127" w:type="dxa"/>
            <w:tcBorders>
              <w:tl2br w:val="nil"/>
              <w:tr2bl w:val="nil"/>
            </w:tcBorders>
            <w:vAlign w:val="center"/>
          </w:tcPr>
          <w:p>
            <w:pPr>
              <w:jc w:val="center"/>
              <w:rPr>
                <w:b/>
                <w:bCs/>
                <w:color w:val="auto"/>
                <w:sz w:val="24"/>
              </w:rPr>
            </w:pPr>
            <w:r>
              <w:rPr>
                <w:rFonts w:hint="eastAsia" w:ascii="宋体" w:hAnsi="宋体" w:cs="宋体"/>
                <w:b/>
                <w:bCs/>
                <w:color w:val="auto"/>
                <w:kern w:val="0"/>
                <w:sz w:val="24"/>
                <w:lang w:bidi="ar"/>
              </w:rPr>
              <w:t>其他符合性分析</w:t>
            </w:r>
          </w:p>
        </w:tc>
        <w:tc>
          <w:tcPr>
            <w:tcW w:w="8046" w:type="dxa"/>
            <w:gridSpan w:val="3"/>
            <w:tcBorders>
              <w:tl2br w:val="nil"/>
              <w:tr2bl w:val="nil"/>
            </w:tcBorders>
          </w:tcPr>
          <w:p>
            <w:pPr>
              <w:keepNext w:val="0"/>
              <w:keepLines w:val="0"/>
              <w:pageBreakBefore w:val="0"/>
              <w:kinsoku/>
              <w:wordWrap/>
              <w:overflowPunct/>
              <w:topLinePunct w:val="0"/>
              <w:bidi w:val="0"/>
              <w:adjustRightInd w:val="0"/>
              <w:snapToGrid/>
              <w:spacing w:line="360" w:lineRule="auto"/>
              <w:ind w:firstLine="481" w:firstLineChars="200"/>
              <w:textAlignment w:val="auto"/>
              <w:rPr>
                <w:b/>
                <w:bCs/>
                <w:color w:val="auto"/>
                <w:sz w:val="24"/>
              </w:rPr>
            </w:pPr>
            <w:r>
              <w:rPr>
                <w:b/>
                <w:bCs/>
                <w:color w:val="auto"/>
                <w:sz w:val="24"/>
              </w:rPr>
              <w:t>1、产业政策相符性分析</w:t>
            </w:r>
          </w:p>
          <w:p>
            <w:pPr>
              <w:pStyle w:val="13"/>
              <w:keepNext w:val="0"/>
              <w:keepLines w:val="0"/>
              <w:pageBreakBefore w:val="0"/>
              <w:kinsoku/>
              <w:wordWrap/>
              <w:overflowPunct/>
              <w:topLinePunct w:val="0"/>
              <w:bidi w:val="0"/>
              <w:adjustRightInd w:val="0"/>
              <w:snapToGrid/>
              <w:spacing w:line="360" w:lineRule="auto"/>
              <w:ind w:firstLine="480" w:firstLineChars="200"/>
              <w:jc w:val="both"/>
              <w:textAlignment w:val="auto"/>
              <w:rPr>
                <w:color w:val="auto"/>
                <w:sz w:val="24"/>
              </w:rPr>
            </w:pPr>
            <w:r>
              <w:rPr>
                <w:rFonts w:hint="eastAsia"/>
                <w:color w:val="auto"/>
                <w:sz w:val="24"/>
              </w:rPr>
              <w:t>本项目为Q8423乡镇卫生院项目，根据</w:t>
            </w:r>
            <w:r>
              <w:rPr>
                <w:color w:val="auto"/>
                <w:sz w:val="24"/>
              </w:rPr>
              <w:t>中华人民共和国国家发展和改革委员会《产业结构调整指导目录（</w:t>
            </w:r>
            <w:r>
              <w:rPr>
                <w:rFonts w:hint="eastAsia"/>
                <w:color w:val="auto"/>
                <w:sz w:val="24"/>
              </w:rPr>
              <w:t>2024</w:t>
            </w:r>
            <w:r>
              <w:rPr>
                <w:color w:val="auto"/>
                <w:sz w:val="24"/>
              </w:rPr>
              <w:t>年本）》</w:t>
            </w:r>
            <w:r>
              <w:rPr>
                <w:rFonts w:hint="eastAsia"/>
                <w:color w:val="auto"/>
                <w:sz w:val="24"/>
              </w:rPr>
              <w:t>，本项目符合第三十七条“卫生健康中第1点医疗服务设施建设”，属于鼓励类项目。同时，项目已经获得了庐山市发展和改革委员会的备案批准（项目代码为</w:t>
            </w:r>
            <w:r>
              <w:rPr>
                <w:rFonts w:hint="eastAsia" w:cs="宋体"/>
                <w:color w:val="auto"/>
                <w:kern w:val="2"/>
                <w:sz w:val="24"/>
                <w:szCs w:val="22"/>
              </w:rPr>
              <w:t>2202-360483-04-01-331038</w:t>
            </w:r>
            <w:r>
              <w:rPr>
                <w:rFonts w:hint="eastAsia"/>
                <w:color w:val="auto"/>
                <w:sz w:val="24"/>
              </w:rPr>
              <w:t>），并获得庐山市卫生健康委员会颁发的医疗机构职业许可证（登记号：49154065X36042711C2101）。</w:t>
            </w:r>
            <w:r>
              <w:rPr>
                <w:color w:val="auto"/>
                <w:sz w:val="24"/>
              </w:rPr>
              <w:t>因此</w:t>
            </w:r>
            <w:r>
              <w:rPr>
                <w:rFonts w:hint="eastAsia"/>
                <w:color w:val="auto"/>
                <w:sz w:val="24"/>
              </w:rPr>
              <w:t>本</w:t>
            </w:r>
            <w:r>
              <w:rPr>
                <w:color w:val="auto"/>
                <w:sz w:val="24"/>
              </w:rPr>
              <w:t>项目建设符合国家及地方</w:t>
            </w:r>
            <w:r>
              <w:rPr>
                <w:rFonts w:hint="eastAsia"/>
                <w:color w:val="auto"/>
                <w:sz w:val="24"/>
              </w:rPr>
              <w:t>相关</w:t>
            </w:r>
            <w:r>
              <w:rPr>
                <w:color w:val="auto"/>
                <w:sz w:val="24"/>
              </w:rPr>
              <w:t>产业政策要求。</w:t>
            </w:r>
          </w:p>
          <w:p>
            <w:pPr>
              <w:keepNext w:val="0"/>
              <w:keepLines w:val="0"/>
              <w:pageBreakBefore w:val="0"/>
              <w:kinsoku/>
              <w:wordWrap/>
              <w:overflowPunct/>
              <w:topLinePunct w:val="0"/>
              <w:bidi w:val="0"/>
              <w:adjustRightInd w:val="0"/>
              <w:snapToGrid/>
              <w:spacing w:line="360" w:lineRule="auto"/>
              <w:ind w:firstLine="481" w:firstLineChars="200"/>
              <w:textAlignment w:val="auto"/>
              <w:rPr>
                <w:b/>
                <w:bCs/>
                <w:color w:val="auto"/>
                <w:sz w:val="24"/>
              </w:rPr>
            </w:pPr>
            <w:r>
              <w:rPr>
                <w:rFonts w:hint="eastAsia"/>
                <w:b/>
                <w:bCs/>
                <w:color w:val="auto"/>
                <w:sz w:val="24"/>
              </w:rPr>
              <w:t>2、选址可行性分析</w:t>
            </w:r>
          </w:p>
          <w:p>
            <w:pPr>
              <w:pStyle w:val="35"/>
              <w:keepNext w:val="0"/>
              <w:keepLines w:val="0"/>
              <w:pageBreakBefore w:val="0"/>
              <w:kinsoku/>
              <w:wordWrap/>
              <w:overflowPunct/>
              <w:topLinePunct w:val="0"/>
              <w:bidi w:val="0"/>
              <w:adjustRightInd w:val="0"/>
              <w:snapToGrid/>
              <w:spacing w:line="360" w:lineRule="auto"/>
              <w:ind w:firstLine="480" w:firstLineChars="200"/>
              <w:jc w:val="both"/>
              <w:textAlignment w:val="auto"/>
              <w:rPr>
                <w:rFonts w:ascii="Times New Roman" w:hAnsi="Times New Roman"/>
                <w:color w:val="auto"/>
                <w:sz w:val="24"/>
              </w:rPr>
            </w:pPr>
            <w:r>
              <w:rPr>
                <w:rFonts w:hint="eastAsia" w:ascii="Times New Roman" w:hAnsi="Times New Roman"/>
                <w:color w:val="auto"/>
                <w:sz w:val="24"/>
              </w:rPr>
              <w:t>本项目选址位于江西省九江市庐山市温泉镇212省道（环南山公路老隘口村旁），</w:t>
            </w:r>
            <w:r>
              <w:rPr>
                <w:rFonts w:ascii="Times New Roman" w:hAnsi="Times New Roman"/>
                <w:color w:val="auto"/>
                <w:sz w:val="24"/>
              </w:rPr>
              <w:t>项目选址不属于生活饮用水源地和地下水补给区、风景名胜区、温泉疗养区、水产养殖区、基本农田保护区、自然保护区等需要特殊保护区域，环境敏感程度一般。</w:t>
            </w:r>
            <w:r>
              <w:rPr>
                <w:rFonts w:hint="eastAsia" w:ascii="Times New Roman" w:hAnsi="Times New Roman"/>
                <w:color w:val="auto"/>
                <w:sz w:val="24"/>
              </w:rPr>
              <w:t>根据根据现场踏勘，项目四周情况为：项目厂界外50m范围内无环境敏感保护目标，北侧主要为农田和山地，有少数散户居民，距离项目医院边界超过50米；东侧为种植大棚，东侧居民居住区距东厂界70m左右；西侧为农田；南侧邻省道S212，</w:t>
            </w:r>
            <w:r>
              <w:rPr>
                <w:rFonts w:hint="eastAsia" w:ascii="Times New Roman" w:hAnsi="Times New Roman"/>
                <w:color w:val="auto"/>
                <w:sz w:val="24"/>
                <w:lang w:val="en-US" w:eastAsia="zh-CN"/>
              </w:rPr>
              <w:t>道路外</w:t>
            </w:r>
            <w:r>
              <w:rPr>
                <w:rFonts w:hint="eastAsia" w:ascii="Times New Roman" w:hAnsi="Times New Roman"/>
                <w:color w:val="auto"/>
                <w:sz w:val="24"/>
              </w:rPr>
              <w:t>为农田和山地。</w:t>
            </w:r>
          </w:p>
          <w:p>
            <w:pPr>
              <w:keepNext w:val="0"/>
              <w:keepLines w:val="0"/>
              <w:pageBreakBefore w:val="0"/>
              <w:kinsoku/>
              <w:wordWrap/>
              <w:overflowPunct/>
              <w:topLinePunct w:val="0"/>
              <w:bidi w:val="0"/>
              <w:adjustRightInd w:val="0"/>
              <w:snapToGrid/>
              <w:spacing w:line="360" w:lineRule="auto"/>
              <w:ind w:firstLine="480" w:firstLineChars="200"/>
              <w:textAlignment w:val="auto"/>
              <w:rPr>
                <w:color w:val="auto"/>
                <w:sz w:val="24"/>
              </w:rPr>
            </w:pPr>
            <w:r>
              <w:rPr>
                <w:rFonts w:hint="eastAsia"/>
                <w:color w:val="auto"/>
                <w:sz w:val="24"/>
              </w:rPr>
              <w:t>项目为</w:t>
            </w:r>
            <w:r>
              <w:rPr>
                <w:color w:val="auto"/>
                <w:sz w:val="24"/>
              </w:rPr>
              <w:t>基层医疗卫生服务</w:t>
            </w:r>
            <w:r>
              <w:rPr>
                <w:rFonts w:hint="eastAsia"/>
                <w:color w:val="auto"/>
                <w:sz w:val="24"/>
              </w:rPr>
              <w:t>项目，运营期间产生的污染物主要为废水、废气及固废等，污染物排放量很小，运行期间严格按照相关技术规范对其进行治理，排口位置及朝向设置在远离周边敏感目标的方向上，可避免对外环境及敏感目标造成影响。同时优化污水处理站布置，污水处理站设置在医院的西南角，与周边居民居住区能保持50m以上的距离，</w:t>
            </w:r>
            <w:r>
              <w:rPr>
                <w:color w:val="auto"/>
                <w:kern w:val="18"/>
                <w:sz w:val="24"/>
              </w:rPr>
              <w:t>对周围环境及附近居民影响极小，不会使区域环境空气质量发生明显改变</w:t>
            </w:r>
            <w:r>
              <w:rPr>
                <w:rFonts w:hint="eastAsia"/>
                <w:color w:val="auto"/>
                <w:kern w:val="18"/>
                <w:sz w:val="24"/>
              </w:rPr>
              <w:t>，</w:t>
            </w:r>
            <w:r>
              <w:rPr>
                <w:color w:val="auto"/>
                <w:kern w:val="18"/>
                <w:sz w:val="24"/>
              </w:rPr>
              <w:t>因此无需设置大气环境防护距离。</w:t>
            </w:r>
          </w:p>
          <w:p>
            <w:pPr>
              <w:keepNext w:val="0"/>
              <w:keepLines w:val="0"/>
              <w:pageBreakBefore w:val="0"/>
              <w:widowControl/>
              <w:kinsoku/>
              <w:wordWrap/>
              <w:overflowPunct/>
              <w:topLinePunct w:val="0"/>
              <w:bidi w:val="0"/>
              <w:adjustRightInd w:val="0"/>
              <w:snapToGrid/>
              <w:spacing w:line="360" w:lineRule="auto"/>
              <w:ind w:firstLine="480" w:firstLineChars="200"/>
              <w:textAlignment w:val="auto"/>
              <w:rPr>
                <w:color w:val="auto"/>
                <w:sz w:val="24"/>
              </w:rPr>
            </w:pPr>
            <w:r>
              <w:rPr>
                <w:rFonts w:hint="eastAsia"/>
                <w:color w:val="auto"/>
                <w:sz w:val="24"/>
              </w:rPr>
              <w:t>综上，本项目在严格落实本评价和相关技术规范要求下，对周边环境影响较小，故本项目选址合理可行。</w:t>
            </w:r>
          </w:p>
          <w:p>
            <w:pPr>
              <w:keepNext w:val="0"/>
              <w:keepLines w:val="0"/>
              <w:pageBreakBefore w:val="0"/>
              <w:kinsoku/>
              <w:wordWrap/>
              <w:overflowPunct/>
              <w:topLinePunct w:val="0"/>
              <w:bidi w:val="0"/>
              <w:adjustRightInd w:val="0"/>
              <w:snapToGrid/>
              <w:spacing w:line="360" w:lineRule="auto"/>
              <w:ind w:firstLine="481" w:firstLineChars="200"/>
              <w:textAlignment w:val="auto"/>
              <w:rPr>
                <w:b/>
                <w:bCs/>
                <w:color w:val="auto"/>
                <w:sz w:val="24"/>
              </w:rPr>
            </w:pPr>
            <w:r>
              <w:rPr>
                <w:b/>
                <w:bCs/>
                <w:color w:val="auto"/>
                <w:sz w:val="24"/>
              </w:rPr>
              <w:t>3、三线一单相符性分析</w:t>
            </w:r>
          </w:p>
          <w:p>
            <w:pPr>
              <w:keepNext w:val="0"/>
              <w:keepLines w:val="0"/>
              <w:pageBreakBefore w:val="0"/>
              <w:kinsoku/>
              <w:wordWrap/>
              <w:overflowPunct/>
              <w:topLinePunct w:val="0"/>
              <w:autoSpaceDE w:val="0"/>
              <w:autoSpaceDN w:val="0"/>
              <w:bidi w:val="0"/>
              <w:adjustRightInd w:val="0"/>
              <w:snapToGrid/>
              <w:spacing w:line="360" w:lineRule="auto"/>
              <w:ind w:firstLine="481" w:firstLineChars="200"/>
              <w:textAlignment w:val="auto"/>
              <w:rPr>
                <w:color w:val="auto"/>
                <w:sz w:val="24"/>
              </w:rPr>
            </w:pPr>
            <w:r>
              <w:rPr>
                <w:b/>
                <w:bCs/>
                <w:color w:val="auto"/>
                <w:sz w:val="24"/>
              </w:rPr>
              <w:t>生态保护红线：</w:t>
            </w:r>
            <w:r>
              <w:rPr>
                <w:color w:val="auto"/>
                <w:sz w:val="24"/>
              </w:rPr>
              <w:t>项目位于江西省九江市</w:t>
            </w:r>
            <w:r>
              <w:rPr>
                <w:rFonts w:hint="eastAsia"/>
                <w:color w:val="auto"/>
                <w:sz w:val="24"/>
              </w:rPr>
              <w:t>庐山市温泉镇212省道（环南山公路老隘口村旁）</w:t>
            </w:r>
            <w:r>
              <w:rPr>
                <w:color w:val="auto"/>
                <w:sz w:val="24"/>
              </w:rPr>
              <w:t>，根据</w:t>
            </w:r>
            <w:r>
              <w:rPr>
                <w:rFonts w:hint="eastAsia"/>
                <w:color w:val="auto"/>
                <w:sz w:val="24"/>
              </w:rPr>
              <w:t>九江市</w:t>
            </w:r>
            <w:r>
              <w:rPr>
                <w:color w:val="auto"/>
                <w:sz w:val="24"/>
              </w:rPr>
              <w:t>生态保护红线图，本项目用地不</w:t>
            </w:r>
            <w:r>
              <w:rPr>
                <w:rFonts w:hint="eastAsia"/>
                <w:color w:val="auto"/>
                <w:sz w:val="24"/>
              </w:rPr>
              <w:t>在</w:t>
            </w:r>
            <w:r>
              <w:rPr>
                <w:color w:val="auto"/>
                <w:sz w:val="24"/>
              </w:rPr>
              <w:t>生态保护红线划定范围内，符合生态保护红线要求。</w:t>
            </w:r>
          </w:p>
          <w:p>
            <w:pPr>
              <w:keepNext w:val="0"/>
              <w:keepLines w:val="0"/>
              <w:pageBreakBefore w:val="0"/>
              <w:kinsoku/>
              <w:wordWrap/>
              <w:overflowPunct/>
              <w:topLinePunct w:val="0"/>
              <w:bidi w:val="0"/>
              <w:adjustRightInd w:val="0"/>
              <w:snapToGrid/>
              <w:spacing w:line="360" w:lineRule="auto"/>
              <w:ind w:firstLine="481" w:firstLineChars="200"/>
              <w:textAlignment w:val="auto"/>
              <w:rPr>
                <w:color w:val="auto"/>
                <w:sz w:val="24"/>
              </w:rPr>
            </w:pPr>
            <w:r>
              <w:rPr>
                <w:b/>
                <w:bCs/>
                <w:color w:val="auto"/>
                <w:sz w:val="24"/>
              </w:rPr>
              <w:t>资源利用上线：</w:t>
            </w:r>
            <w:r>
              <w:rPr>
                <w:rFonts w:hint="eastAsia"/>
                <w:color w:val="auto"/>
                <w:sz w:val="24"/>
              </w:rPr>
              <w:t>本项目用水来自市政自来水供水管网，用电由当地电网提供，原辅材料外购。项目建成运行后通过原辅材料、设备选择、内部管理和污染治理等方面，以“节能、降耗、减污”为目标，采取节能措施、合理利用资源，项目水、电等资源的利用不会突破当地的资源利用上线。</w:t>
            </w:r>
          </w:p>
          <w:p>
            <w:pPr>
              <w:keepNext w:val="0"/>
              <w:keepLines w:val="0"/>
              <w:pageBreakBefore w:val="0"/>
              <w:kinsoku/>
              <w:wordWrap/>
              <w:overflowPunct/>
              <w:topLinePunct w:val="0"/>
              <w:autoSpaceDE w:val="0"/>
              <w:autoSpaceDN w:val="0"/>
              <w:bidi w:val="0"/>
              <w:adjustRightInd w:val="0"/>
              <w:snapToGrid/>
              <w:spacing w:line="360" w:lineRule="auto"/>
              <w:ind w:firstLine="481" w:firstLineChars="200"/>
              <w:textAlignment w:val="auto"/>
              <w:rPr>
                <w:color w:val="auto"/>
                <w:sz w:val="24"/>
              </w:rPr>
            </w:pPr>
            <w:r>
              <w:rPr>
                <w:b/>
                <w:bCs/>
                <w:color w:val="auto"/>
                <w:sz w:val="24"/>
              </w:rPr>
              <w:t>环境质量底线：</w:t>
            </w:r>
            <w:r>
              <w:rPr>
                <w:rFonts w:hint="eastAsia"/>
                <w:snapToGrid w:val="0"/>
                <w:color w:val="auto"/>
                <w:kern w:val="32"/>
                <w:sz w:val="24"/>
              </w:rPr>
              <w:t>项目所在区域</w:t>
            </w:r>
            <w:r>
              <w:rPr>
                <w:rFonts w:hint="eastAsia"/>
                <w:color w:val="auto"/>
                <w:sz w:val="24"/>
              </w:rPr>
              <w:t>水</w:t>
            </w:r>
            <w:r>
              <w:rPr>
                <w:color w:val="auto"/>
                <w:sz w:val="24"/>
              </w:rPr>
              <w:t>环境质量执行《地表水环境质量标准》（GB3838-2002）中Ⅲ类水域水质标准；环境空气质量执行《环境空气质量标准》（GB3095-2012）中二级标准；项目厂界四周声环境执行《声环境质量标准》（GB3096-2008）</w:t>
            </w:r>
            <w:r>
              <w:rPr>
                <w:rFonts w:hint="eastAsia"/>
                <w:color w:val="auto"/>
                <w:sz w:val="24"/>
              </w:rPr>
              <w:t>2</w:t>
            </w:r>
            <w:r>
              <w:rPr>
                <w:color w:val="auto"/>
                <w:sz w:val="24"/>
              </w:rPr>
              <w:t>类标准。目前，项目所在区域环境质量均能达到相应环境质量标准要求。项目建成后，建设单位严格落实</w:t>
            </w:r>
            <w:r>
              <w:rPr>
                <w:rFonts w:hint="eastAsia"/>
                <w:color w:val="auto"/>
                <w:sz w:val="24"/>
              </w:rPr>
              <w:t>报告中</w:t>
            </w:r>
            <w:r>
              <w:rPr>
                <w:color w:val="auto"/>
                <w:sz w:val="24"/>
              </w:rPr>
              <w:t>各项环保措施，各污染物均能实现达标排放，因此，本项目的建设符合环境质量底线要求。</w:t>
            </w:r>
          </w:p>
          <w:p>
            <w:pPr>
              <w:keepNext w:val="0"/>
              <w:keepLines w:val="0"/>
              <w:pageBreakBefore w:val="0"/>
              <w:kinsoku/>
              <w:wordWrap/>
              <w:overflowPunct/>
              <w:topLinePunct w:val="0"/>
              <w:autoSpaceDE w:val="0"/>
              <w:autoSpaceDN w:val="0"/>
              <w:bidi w:val="0"/>
              <w:adjustRightInd w:val="0"/>
              <w:snapToGrid/>
              <w:spacing w:line="360" w:lineRule="auto"/>
              <w:ind w:firstLine="481" w:firstLineChars="200"/>
              <w:textAlignment w:val="auto"/>
              <w:rPr>
                <w:rFonts w:hint="default" w:eastAsia="宋体"/>
                <w:color w:val="0000FF"/>
                <w:sz w:val="24"/>
                <w:lang w:val="en-US" w:eastAsia="zh-CN"/>
              </w:rPr>
            </w:pPr>
            <w:r>
              <w:rPr>
                <w:rFonts w:hint="eastAsia"/>
                <w:b/>
                <w:bCs/>
                <w:color w:val="0000FF"/>
                <w:sz w:val="24"/>
                <w:lang w:val="en-US" w:eastAsia="zh-CN"/>
              </w:rPr>
              <w:t>生态环境准入清</w:t>
            </w:r>
            <w:r>
              <w:rPr>
                <w:rFonts w:hint="eastAsia"/>
                <w:b/>
                <w:bCs/>
                <w:color w:val="0000FF"/>
                <w:sz w:val="24"/>
              </w:rPr>
              <w:t>单：</w:t>
            </w:r>
            <w:r>
              <w:rPr>
                <w:color w:val="0000FF"/>
                <w:sz w:val="24"/>
              </w:rPr>
              <w:t>根据《江西省</w:t>
            </w:r>
            <w:r>
              <w:rPr>
                <w:rFonts w:hint="eastAsia"/>
                <w:color w:val="0000FF"/>
                <w:sz w:val="24"/>
                <w:lang w:val="en-US" w:eastAsia="zh-CN"/>
              </w:rPr>
              <w:t>生态环境厅</w:t>
            </w:r>
            <w:r>
              <w:rPr>
                <w:color w:val="0000FF"/>
                <w:sz w:val="24"/>
              </w:rPr>
              <w:t>关于</w:t>
            </w:r>
            <w:r>
              <w:rPr>
                <w:rFonts w:hint="eastAsia"/>
                <w:color w:val="0000FF"/>
                <w:sz w:val="24"/>
                <w:lang w:val="en-US" w:eastAsia="zh-CN"/>
              </w:rPr>
              <w:t>公布江西省生态环境分区管控成果（2023版）的函</w:t>
            </w:r>
            <w:r>
              <w:rPr>
                <w:rFonts w:hint="eastAsia"/>
                <w:color w:val="0000FF"/>
                <w:sz w:val="24"/>
              </w:rPr>
              <w:t>》（赣</w:t>
            </w:r>
            <w:r>
              <w:rPr>
                <w:rFonts w:hint="eastAsia"/>
                <w:color w:val="0000FF"/>
                <w:sz w:val="24"/>
                <w:lang w:val="en-US" w:eastAsia="zh-CN"/>
              </w:rPr>
              <w:t>环环评函</w:t>
            </w:r>
            <w:r>
              <w:rPr>
                <w:color w:val="0000FF"/>
                <w:sz w:val="24"/>
              </w:rPr>
              <w:t>[202</w:t>
            </w:r>
            <w:r>
              <w:rPr>
                <w:rFonts w:hint="eastAsia"/>
                <w:color w:val="0000FF"/>
                <w:sz w:val="24"/>
                <w:lang w:val="en-US" w:eastAsia="zh-CN"/>
              </w:rPr>
              <w:t>4</w:t>
            </w:r>
            <w:r>
              <w:rPr>
                <w:color w:val="0000FF"/>
                <w:sz w:val="24"/>
              </w:rPr>
              <w:t>]</w:t>
            </w:r>
            <w:r>
              <w:rPr>
                <w:rFonts w:hint="eastAsia"/>
                <w:color w:val="0000FF"/>
                <w:sz w:val="24"/>
                <w:lang w:val="en-US" w:eastAsia="zh-CN"/>
              </w:rPr>
              <w:t>8</w:t>
            </w:r>
            <w:r>
              <w:rPr>
                <w:color w:val="0000FF"/>
                <w:sz w:val="24"/>
              </w:rPr>
              <w:t>7</w:t>
            </w:r>
            <w:r>
              <w:rPr>
                <w:rFonts w:hint="eastAsia"/>
                <w:color w:val="0000FF"/>
                <w:sz w:val="24"/>
              </w:rPr>
              <w:t>号）要求，对</w:t>
            </w:r>
            <w:r>
              <w:rPr>
                <w:color w:val="0000FF"/>
                <w:sz w:val="24"/>
              </w:rPr>
              <w:t>照《九江市人民政府</w:t>
            </w:r>
            <w:r>
              <w:rPr>
                <w:rFonts w:hint="eastAsia"/>
                <w:color w:val="0000FF"/>
                <w:sz w:val="24"/>
                <w:lang w:val="en-US" w:eastAsia="zh-CN"/>
              </w:rPr>
              <w:t>办公室</w:t>
            </w:r>
            <w:r>
              <w:rPr>
                <w:color w:val="0000FF"/>
                <w:sz w:val="24"/>
              </w:rPr>
              <w:t>关于印</w:t>
            </w:r>
            <w:r>
              <w:rPr>
                <w:rFonts w:hint="eastAsia"/>
                <w:color w:val="0000FF"/>
                <w:sz w:val="24"/>
              </w:rPr>
              <w:t>发</w:t>
            </w:r>
            <w:r>
              <w:rPr>
                <w:rFonts w:hint="eastAsia"/>
                <w:color w:val="0000FF"/>
                <w:sz w:val="24"/>
                <w:lang w:val="en-US" w:eastAsia="zh-CN"/>
              </w:rPr>
              <w:t>2023年</w:t>
            </w:r>
            <w:r>
              <w:rPr>
                <w:rFonts w:hint="eastAsia"/>
                <w:color w:val="0000FF"/>
                <w:sz w:val="24"/>
              </w:rPr>
              <w:t>九江市生态环境分区管控</w:t>
            </w:r>
            <w:r>
              <w:rPr>
                <w:rFonts w:hint="eastAsia"/>
                <w:color w:val="0000FF"/>
                <w:sz w:val="24"/>
                <w:lang w:val="en-US" w:eastAsia="zh-CN"/>
              </w:rPr>
              <w:t>动态更新成果</w:t>
            </w:r>
            <w:r>
              <w:rPr>
                <w:rFonts w:hint="eastAsia"/>
                <w:color w:val="0000FF"/>
                <w:sz w:val="24"/>
              </w:rPr>
              <w:t>的通知》（九府</w:t>
            </w:r>
            <w:r>
              <w:rPr>
                <w:rFonts w:hint="eastAsia"/>
                <w:color w:val="0000FF"/>
                <w:sz w:val="24"/>
                <w:lang w:val="en-US" w:eastAsia="zh-CN"/>
              </w:rPr>
              <w:t>办字</w:t>
            </w:r>
            <w:r>
              <w:rPr>
                <w:color w:val="0000FF"/>
                <w:sz w:val="24"/>
              </w:rPr>
              <w:t>[202</w:t>
            </w:r>
            <w:r>
              <w:rPr>
                <w:rFonts w:hint="eastAsia"/>
                <w:color w:val="0000FF"/>
                <w:sz w:val="24"/>
                <w:lang w:val="en-US" w:eastAsia="zh-CN"/>
              </w:rPr>
              <w:t>4</w:t>
            </w:r>
            <w:r>
              <w:rPr>
                <w:color w:val="0000FF"/>
                <w:sz w:val="24"/>
              </w:rPr>
              <w:t>]</w:t>
            </w:r>
            <w:r>
              <w:rPr>
                <w:rFonts w:hint="eastAsia"/>
                <w:color w:val="0000FF"/>
                <w:sz w:val="24"/>
                <w:lang w:val="en-US" w:eastAsia="zh-CN"/>
              </w:rPr>
              <w:t>54</w:t>
            </w:r>
            <w:r>
              <w:rPr>
                <w:rFonts w:hint="eastAsia"/>
                <w:color w:val="0000FF"/>
                <w:sz w:val="24"/>
              </w:rPr>
              <w:t>号），全市共划定环境管控单元</w:t>
            </w:r>
            <w:r>
              <w:rPr>
                <w:color w:val="0000FF"/>
                <w:sz w:val="24"/>
              </w:rPr>
              <w:t>14</w:t>
            </w:r>
            <w:r>
              <w:rPr>
                <w:rFonts w:hint="eastAsia"/>
                <w:color w:val="0000FF"/>
                <w:sz w:val="24"/>
                <w:lang w:val="en-US" w:eastAsia="zh-CN"/>
              </w:rPr>
              <w:t>1</w:t>
            </w:r>
            <w:r>
              <w:rPr>
                <w:rFonts w:hint="eastAsia"/>
                <w:color w:val="0000FF"/>
                <w:sz w:val="24"/>
              </w:rPr>
              <w:t>个，分为优先保护单元、重点管控单元、一般管控单元三类。</w:t>
            </w:r>
            <w:r>
              <w:rPr>
                <w:rFonts w:hint="eastAsia"/>
                <w:color w:val="0000FF"/>
                <w:sz w:val="24"/>
                <w:lang w:val="en-US" w:eastAsia="zh-CN"/>
              </w:rPr>
              <w:t>本项目位于江西省九江市庐山市温泉镇，根据江西省生态环境分区管控信息平台选址分析可知，本项目所在地属于一般管控单元1，环境管控单元编码为ZH36048330001。</w:t>
            </w:r>
          </w:p>
          <w:p>
            <w:pPr>
              <w:keepNext w:val="0"/>
              <w:keepLines w:val="0"/>
              <w:pageBreakBefore w:val="0"/>
              <w:kinsoku/>
              <w:wordWrap/>
              <w:overflowPunct/>
              <w:topLinePunct w:val="0"/>
              <w:bidi w:val="0"/>
              <w:adjustRightInd w:val="0"/>
              <w:snapToGrid/>
              <w:spacing w:line="360" w:lineRule="auto"/>
              <w:ind w:firstLine="480" w:firstLineChars="200"/>
              <w:textAlignment w:val="auto"/>
              <w:rPr>
                <w:color w:val="0000FF"/>
                <w:sz w:val="24"/>
              </w:rPr>
            </w:pPr>
            <w:r>
              <w:rPr>
                <w:color w:val="0000FF"/>
                <w:sz w:val="24"/>
              </w:rPr>
              <w:t>根据《九江市生态环境分区管控</w:t>
            </w:r>
            <w:r>
              <w:rPr>
                <w:rFonts w:hint="eastAsia"/>
                <w:color w:val="0000FF"/>
                <w:sz w:val="24"/>
              </w:rPr>
              <w:t>动态更新成果</w:t>
            </w:r>
            <w:r>
              <w:rPr>
                <w:color w:val="0000FF"/>
                <w:sz w:val="24"/>
              </w:rPr>
              <w:t>》，本项目与“九江市生态环境总体准入</w:t>
            </w:r>
            <w:r>
              <w:rPr>
                <w:rFonts w:hint="eastAsia"/>
                <w:color w:val="0000FF"/>
                <w:sz w:val="24"/>
              </w:rPr>
              <w:t>要求</w:t>
            </w:r>
            <w:r>
              <w:rPr>
                <w:color w:val="0000FF"/>
                <w:sz w:val="24"/>
              </w:rPr>
              <w:t>”</w:t>
            </w:r>
            <w:r>
              <w:rPr>
                <w:rFonts w:hint="eastAsia"/>
                <w:color w:val="0000FF"/>
                <w:sz w:val="24"/>
              </w:rPr>
              <w:t>相符性分析见表</w:t>
            </w:r>
            <w:r>
              <w:rPr>
                <w:color w:val="0000FF"/>
                <w:sz w:val="24"/>
              </w:rPr>
              <w:t>1-</w:t>
            </w:r>
            <w:r>
              <w:rPr>
                <w:rFonts w:hint="eastAsia"/>
                <w:color w:val="0000FF"/>
                <w:sz w:val="24"/>
              </w:rPr>
              <w:t>2，与《</w:t>
            </w:r>
            <w:r>
              <w:rPr>
                <w:color w:val="0000FF"/>
                <w:sz w:val="24"/>
              </w:rPr>
              <w:t>九江市</w:t>
            </w:r>
            <w:r>
              <w:rPr>
                <w:rFonts w:hint="eastAsia"/>
                <w:color w:val="0000FF"/>
                <w:sz w:val="24"/>
              </w:rPr>
              <w:t>“三线一单”生态环境分区管控方案（2023年版）》相符性分析见表1-3。</w:t>
            </w:r>
          </w:p>
          <w:p>
            <w:pPr>
              <w:keepNext w:val="0"/>
              <w:keepLines w:val="0"/>
              <w:pageBreakBefore w:val="0"/>
              <w:widowControl w:val="0"/>
              <w:kinsoku/>
              <w:wordWrap/>
              <w:overflowPunct/>
              <w:topLinePunct w:val="0"/>
              <w:autoSpaceDE/>
              <w:autoSpaceDN/>
              <w:bidi w:val="0"/>
              <w:adjustRightInd w:val="0"/>
              <w:snapToGrid/>
              <w:jc w:val="center"/>
              <w:textAlignment w:val="auto"/>
              <w:rPr>
                <w:rFonts w:cs="宋体"/>
                <w:b/>
                <w:bCs/>
                <w:color w:val="auto"/>
                <w:szCs w:val="21"/>
              </w:rPr>
            </w:pPr>
            <w:r>
              <w:rPr>
                <w:rFonts w:hint="eastAsia" w:cs="宋体"/>
                <w:b/>
                <w:bCs/>
                <w:color w:val="auto"/>
                <w:szCs w:val="21"/>
              </w:rPr>
              <w:t>表1-2</w:t>
            </w:r>
            <w:r>
              <w:rPr>
                <w:rFonts w:hint="eastAsia" w:cs="宋体"/>
                <w:b/>
                <w:bCs/>
                <w:color w:val="auto"/>
                <w:szCs w:val="21"/>
                <w:lang w:val="en-US" w:eastAsia="zh-CN"/>
              </w:rPr>
              <w:t xml:space="preserve"> </w:t>
            </w:r>
            <w:r>
              <w:rPr>
                <w:rFonts w:hint="eastAsia" w:cs="宋体"/>
                <w:b/>
                <w:bCs/>
                <w:color w:val="auto"/>
                <w:szCs w:val="21"/>
              </w:rPr>
              <w:t>与</w:t>
            </w:r>
            <w:r>
              <w:rPr>
                <w:b/>
                <w:color w:val="auto"/>
              </w:rPr>
              <w:t>“九江市生态环境总体准入</w:t>
            </w:r>
            <w:r>
              <w:rPr>
                <w:rFonts w:hint="eastAsia"/>
                <w:b/>
                <w:color w:val="auto"/>
              </w:rPr>
              <w:t>要求动态更新变化情况说明</w:t>
            </w:r>
            <w:r>
              <w:rPr>
                <w:b/>
                <w:color w:val="auto"/>
              </w:rPr>
              <w:t>”</w:t>
            </w:r>
            <w:r>
              <w:rPr>
                <w:rFonts w:hint="eastAsia" w:cs="宋体"/>
                <w:b/>
                <w:bCs/>
                <w:color w:val="auto"/>
                <w:szCs w:val="21"/>
              </w:rPr>
              <w:t>符合性分析</w:t>
            </w:r>
          </w:p>
          <w:tbl>
            <w:tblPr>
              <w:tblStyle w:val="37"/>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57" w:type="dxa"/>
                <w:bottom w:w="28" w:type="dxa"/>
                <w:right w:w="57" w:type="dxa"/>
              </w:tblCellMar>
            </w:tblPr>
            <w:tblGrid>
              <w:gridCol w:w="667"/>
              <w:gridCol w:w="675"/>
              <w:gridCol w:w="498"/>
              <w:gridCol w:w="4181"/>
              <w:gridCol w:w="180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28" w:hRule="atLeast"/>
                <w:jc w:val="center"/>
              </w:trPr>
              <w:tc>
                <w:tcPr>
                  <w:tcW w:w="4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b/>
                      <w:bCs/>
                      <w:color w:val="auto"/>
                      <w:spacing w:val="-3"/>
                      <w:sz w:val="21"/>
                    </w:rPr>
                  </w:pPr>
                  <w:r>
                    <w:rPr>
                      <w:rFonts w:hint="eastAsia" w:ascii="Times New Roman" w:hAnsi="Times New Roman" w:eastAsia="宋体" w:cs="宋体"/>
                      <w:b/>
                      <w:bCs/>
                      <w:color w:val="auto"/>
                      <w:spacing w:val="-3"/>
                      <w:sz w:val="21"/>
                    </w:rPr>
                    <w:t>单元类别</w:t>
                  </w:r>
                </w:p>
              </w:tc>
              <w:tc>
                <w:tcPr>
                  <w:tcW w:w="43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b/>
                      <w:bCs/>
                      <w:color w:val="auto"/>
                      <w:spacing w:val="-5"/>
                      <w:sz w:val="21"/>
                    </w:rPr>
                  </w:pPr>
                  <w:r>
                    <w:rPr>
                      <w:rFonts w:hint="eastAsia" w:ascii="Times New Roman" w:hAnsi="Times New Roman" w:eastAsia="宋体" w:cs="宋体"/>
                      <w:b/>
                      <w:bCs/>
                      <w:color w:val="auto"/>
                      <w:spacing w:val="-5"/>
                      <w:sz w:val="21"/>
                    </w:rPr>
                    <w:t>维度</w:t>
                  </w: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b/>
                      <w:bCs/>
                      <w:color w:val="auto"/>
                      <w:sz w:val="21"/>
                    </w:rPr>
                  </w:pPr>
                  <w:r>
                    <w:rPr>
                      <w:rFonts w:hint="eastAsia" w:ascii="Times New Roman" w:hAnsi="Times New Roman" w:eastAsia="宋体" w:cs="宋体"/>
                      <w:b/>
                      <w:bCs/>
                      <w:color w:val="auto"/>
                      <w:sz w:val="21"/>
                    </w:rPr>
                    <w:t>序号</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b/>
                      <w:bCs/>
                      <w:color w:val="auto"/>
                      <w:spacing w:val="-2"/>
                      <w:sz w:val="21"/>
                    </w:rPr>
                  </w:pPr>
                  <w:r>
                    <w:rPr>
                      <w:rFonts w:hint="eastAsia" w:ascii="Times New Roman" w:hAnsi="Times New Roman" w:eastAsia="宋体" w:cs="宋体"/>
                      <w:b/>
                      <w:bCs/>
                      <w:color w:val="auto"/>
                      <w:spacing w:val="-2"/>
                      <w:sz w:val="21"/>
                    </w:rPr>
                    <w:t>动态更新情况</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b/>
                      <w:bCs/>
                      <w:color w:val="auto"/>
                      <w:spacing w:val="-2"/>
                      <w:sz w:val="21"/>
                    </w:rPr>
                  </w:pPr>
                  <w:r>
                    <w:rPr>
                      <w:rFonts w:hint="eastAsia" w:ascii="Times New Roman" w:hAnsi="Times New Roman" w:eastAsia="宋体" w:cs="宋体"/>
                      <w:b/>
                      <w:bCs/>
                      <w:color w:val="auto"/>
                      <w:spacing w:val="-2"/>
                      <w:sz w:val="21"/>
                    </w:rPr>
                    <w:t>符合性分析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660" w:hRule="atLeast"/>
                <w:jc w:val="center"/>
              </w:trPr>
              <w:tc>
                <w:tcPr>
                  <w:tcW w:w="42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z w:val="21"/>
                    </w:rPr>
                  </w:pPr>
                  <w:r>
                    <w:rPr>
                      <w:rFonts w:hint="eastAsia" w:ascii="Times New Roman" w:hAnsi="Times New Roman" w:eastAsia="宋体" w:cs="宋体"/>
                      <w:color w:val="auto"/>
                      <w:spacing w:val="-3"/>
                      <w:sz w:val="21"/>
                      <w:lang w:val="en-US" w:eastAsia="zh-CN"/>
                    </w:rPr>
                    <w:t>一般</w:t>
                  </w:r>
                  <w:r>
                    <w:rPr>
                      <w:rFonts w:hint="eastAsia" w:ascii="Times New Roman" w:hAnsi="Times New Roman" w:eastAsia="宋体" w:cs="宋体"/>
                      <w:color w:val="auto"/>
                      <w:spacing w:val="-2"/>
                      <w:sz w:val="21"/>
                    </w:rPr>
                    <w:t>管控单</w:t>
                  </w:r>
                  <w:r>
                    <w:rPr>
                      <w:rFonts w:hint="eastAsia" w:ascii="Times New Roman" w:hAnsi="Times New Roman" w:eastAsia="宋体" w:cs="宋体"/>
                      <w:color w:val="auto"/>
                      <w:sz w:val="21"/>
                    </w:rPr>
                    <w:t>元</w:t>
                  </w:r>
                </w:p>
              </w:tc>
              <w:tc>
                <w:tcPr>
                  <w:tcW w:w="43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z w:val="21"/>
                    </w:rPr>
                  </w:pPr>
                  <w:r>
                    <w:rPr>
                      <w:rFonts w:hint="eastAsia" w:ascii="Times New Roman" w:hAnsi="Times New Roman" w:eastAsia="宋体" w:cs="宋体"/>
                      <w:color w:val="auto"/>
                      <w:spacing w:val="-5"/>
                      <w:sz w:val="21"/>
                    </w:rPr>
                    <w:t>空</w:t>
                  </w:r>
                  <w:r>
                    <w:rPr>
                      <w:rFonts w:hint="eastAsia" w:ascii="Times New Roman" w:hAnsi="Times New Roman" w:eastAsia="宋体" w:cs="宋体"/>
                      <w:color w:val="auto"/>
                      <w:spacing w:val="-3"/>
                      <w:sz w:val="21"/>
                    </w:rPr>
                    <w:t>间布局约</w:t>
                  </w:r>
                  <w:r>
                    <w:rPr>
                      <w:rFonts w:hint="eastAsia" w:ascii="Times New Roman" w:hAnsi="Times New Roman" w:eastAsia="宋体" w:cs="宋体"/>
                      <w:color w:val="auto"/>
                      <w:sz w:val="21"/>
                    </w:rPr>
                    <w:t>束</w:t>
                  </w: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z w:val="21"/>
                    </w:rPr>
                  </w:pPr>
                  <w:r>
                    <w:rPr>
                      <w:rFonts w:hint="eastAsia" w:ascii="Times New Roman" w:hAnsi="Times New Roman" w:eastAsia="宋体" w:cs="宋体"/>
                      <w:color w:val="auto"/>
                      <w:sz w:val="21"/>
                    </w:rPr>
                    <w:t>1</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szCs w:val="24"/>
                    </w:rPr>
                    <w:t>严格执行畜禽养殖禁养区规定，根据区域用地和消纳水平合理确定养殖规模。</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hint="default" w:ascii="Times New Roman" w:hAnsi="Times New Roman" w:eastAsia="宋体" w:cs="宋体"/>
                      <w:color w:val="auto"/>
                      <w:spacing w:val="-2"/>
                      <w:sz w:val="21"/>
                      <w:lang w:val="en-US" w:eastAsia="zh-CN"/>
                    </w:rPr>
                  </w:pPr>
                  <w:r>
                    <w:rPr>
                      <w:rFonts w:hint="eastAsia" w:ascii="Times New Roman" w:hAnsi="Times New Roman" w:eastAsia="宋体" w:cs="宋体"/>
                      <w:color w:val="auto"/>
                      <w:spacing w:val="-2"/>
                      <w:sz w:val="21"/>
                    </w:rPr>
                    <w:t>本项目不</w:t>
                  </w:r>
                  <w:r>
                    <w:rPr>
                      <w:rFonts w:hint="eastAsia" w:ascii="Times New Roman" w:hAnsi="Times New Roman" w:eastAsia="宋体" w:cs="宋体"/>
                      <w:color w:val="auto"/>
                      <w:spacing w:val="-2"/>
                      <w:sz w:val="21"/>
                      <w:lang w:val="en-US" w:eastAsia="zh-CN"/>
                    </w:rPr>
                    <w:t>属于畜禽养殖，符合要求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558" w:hRule="atLeast"/>
                <w:jc w:val="center"/>
              </w:trPr>
              <w:tc>
                <w:tcPr>
                  <w:tcW w:w="42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43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z w:val="21"/>
                    </w:rPr>
                  </w:pPr>
                  <w:r>
                    <w:rPr>
                      <w:rFonts w:hint="eastAsia" w:ascii="Times New Roman" w:hAnsi="Times New Roman" w:eastAsia="宋体" w:cs="宋体"/>
                      <w:color w:val="auto"/>
                      <w:sz w:val="21"/>
                    </w:rPr>
                    <w:t>2</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szCs w:val="24"/>
                    </w:rPr>
                    <w:t>城镇开发边界外按照国家和江西省相关规定管控开发建设活动，原则上不得进行城镇集中建设，不得设立各类开发区。</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hint="default" w:ascii="Times New Roman" w:hAnsi="Times New Roman" w:eastAsia="宋体" w:cs="宋体"/>
                      <w:color w:val="auto"/>
                      <w:spacing w:val="-2"/>
                      <w:sz w:val="21"/>
                      <w:lang w:val="en-US" w:eastAsia="zh-CN"/>
                    </w:rPr>
                  </w:pPr>
                  <w:r>
                    <w:rPr>
                      <w:rFonts w:hint="eastAsia" w:ascii="Times New Roman" w:hAnsi="Times New Roman" w:eastAsia="宋体" w:cs="宋体"/>
                      <w:color w:val="auto"/>
                      <w:spacing w:val="-2"/>
                      <w:sz w:val="21"/>
                      <w:lang w:val="en-US" w:eastAsia="zh-CN"/>
                    </w:rPr>
                    <w:t>本项目为卫生院项目，</w:t>
                  </w:r>
                  <w:r>
                    <w:rPr>
                      <w:rFonts w:hint="eastAsia" w:cs="宋体"/>
                      <w:color w:val="auto"/>
                      <w:spacing w:val="-2"/>
                      <w:sz w:val="21"/>
                      <w:szCs w:val="24"/>
                      <w:lang w:val="en-US" w:eastAsia="zh-CN"/>
                    </w:rPr>
                    <w:t>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1540" w:hRule="atLeast"/>
                <w:jc w:val="center"/>
              </w:trPr>
              <w:tc>
                <w:tcPr>
                  <w:tcW w:w="42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43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z w:val="21"/>
                    </w:rPr>
                  </w:pPr>
                  <w:r>
                    <w:rPr>
                      <w:rFonts w:hint="eastAsia" w:ascii="Times New Roman" w:hAnsi="Times New Roman" w:eastAsia="宋体" w:cs="宋体"/>
                      <w:color w:val="auto"/>
                      <w:sz w:val="21"/>
                    </w:rPr>
                    <w:t>3</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szCs w:val="24"/>
                    </w:rPr>
                    <w:t>加强基本农田保护，严格限制非农项目占用耕地；严格控制在优先保护类耕地集中区域新建有色金属冶炼、石油加工、化工、焦化、电镀、制革等行业企业及新、改、扩建增加重金属污染物排放的项目。</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hint="default" w:ascii="Times New Roman" w:hAnsi="Times New Roman" w:eastAsia="宋体" w:cs="宋体"/>
                      <w:color w:val="auto"/>
                      <w:spacing w:val="-2"/>
                      <w:sz w:val="21"/>
                      <w:lang w:val="en-US" w:eastAsia="zh-CN"/>
                    </w:rPr>
                  </w:pPr>
                  <w:r>
                    <w:rPr>
                      <w:rFonts w:hint="eastAsia" w:ascii="Times New Roman" w:hAnsi="Times New Roman" w:eastAsia="宋体"/>
                      <w:color w:val="auto"/>
                      <w:sz w:val="21"/>
                    </w:rPr>
                    <w:t>本项目为卫生院项目，不属于</w:t>
                  </w:r>
                  <w:r>
                    <w:rPr>
                      <w:rFonts w:hint="eastAsia" w:ascii="Times New Roman" w:hAnsi="Times New Roman" w:eastAsia="宋体" w:cs="宋体"/>
                      <w:color w:val="auto"/>
                      <w:spacing w:val="-2"/>
                      <w:sz w:val="21"/>
                      <w:szCs w:val="24"/>
                    </w:rPr>
                    <w:t>冶炼、</w:t>
                  </w:r>
                  <w:r>
                    <w:rPr>
                      <w:rFonts w:hint="eastAsia" w:ascii="Times New Roman" w:hAnsi="Times New Roman" w:eastAsia="宋体" w:cs="宋体"/>
                      <w:color w:val="auto"/>
                      <w:spacing w:val="-2"/>
                      <w:sz w:val="21"/>
                    </w:rPr>
                    <w:t>化工、</w:t>
                  </w:r>
                  <w:r>
                    <w:rPr>
                      <w:rFonts w:hint="eastAsia" w:ascii="Times New Roman" w:hAnsi="Times New Roman" w:eastAsia="宋体" w:cs="宋体"/>
                      <w:color w:val="auto"/>
                      <w:spacing w:val="-2"/>
                      <w:sz w:val="21"/>
                      <w:szCs w:val="24"/>
                    </w:rPr>
                    <w:t>电镀</w:t>
                  </w:r>
                  <w:r>
                    <w:rPr>
                      <w:rFonts w:hint="eastAsia" w:ascii="Times New Roman" w:hAnsi="Times New Roman" w:eastAsia="宋体" w:cs="宋体"/>
                      <w:color w:val="auto"/>
                      <w:spacing w:val="-2"/>
                      <w:sz w:val="21"/>
                    </w:rPr>
                    <w:t>、制革等</w:t>
                  </w:r>
                  <w:r>
                    <w:rPr>
                      <w:rFonts w:hint="eastAsia" w:ascii="Times New Roman" w:hAnsi="Times New Roman" w:eastAsia="宋体"/>
                      <w:color w:val="auto"/>
                      <w:sz w:val="21"/>
                    </w:rPr>
                    <w:t>重污染项目</w:t>
                  </w:r>
                  <w:r>
                    <w:rPr>
                      <w:rFonts w:hint="eastAsia" w:ascii="Times New Roman" w:hAnsi="Times New Roman" w:eastAsia="宋体"/>
                      <w:color w:val="auto"/>
                      <w:sz w:val="21"/>
                      <w:lang w:eastAsia="zh-CN"/>
                    </w:rPr>
                    <w:t>，</w:t>
                  </w:r>
                  <w:r>
                    <w:rPr>
                      <w:rFonts w:hint="eastAsia" w:ascii="Times New Roman" w:hAnsi="Times New Roman" w:eastAsia="宋体"/>
                      <w:color w:val="auto"/>
                      <w:sz w:val="21"/>
                      <w:lang w:val="en-US" w:eastAsia="zh-CN"/>
                    </w:rPr>
                    <w:t>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1108" w:hRule="atLeast"/>
                <w:jc w:val="center"/>
              </w:trPr>
              <w:tc>
                <w:tcPr>
                  <w:tcW w:w="42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43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z w:val="21"/>
                    </w:rPr>
                  </w:pPr>
                  <w:r>
                    <w:rPr>
                      <w:rFonts w:hint="eastAsia" w:ascii="Times New Roman" w:hAnsi="Times New Roman" w:eastAsia="宋体" w:cs="宋体"/>
                      <w:color w:val="auto"/>
                      <w:spacing w:val="-4"/>
                      <w:sz w:val="21"/>
                    </w:rPr>
                    <w:t>污</w:t>
                  </w:r>
                  <w:r>
                    <w:rPr>
                      <w:rFonts w:hint="eastAsia" w:ascii="Times New Roman" w:hAnsi="Times New Roman" w:eastAsia="宋体" w:cs="宋体"/>
                      <w:color w:val="auto"/>
                      <w:spacing w:val="-2"/>
                      <w:sz w:val="21"/>
                    </w:rPr>
                    <w:t>染物排放</w:t>
                  </w:r>
                  <w:r>
                    <w:rPr>
                      <w:rFonts w:hint="eastAsia" w:ascii="Times New Roman" w:hAnsi="Times New Roman" w:eastAsia="宋体" w:cs="宋体"/>
                      <w:color w:val="auto"/>
                      <w:spacing w:val="-5"/>
                      <w:sz w:val="21"/>
                    </w:rPr>
                    <w:t>管</w:t>
                  </w:r>
                  <w:r>
                    <w:rPr>
                      <w:rFonts w:hint="eastAsia" w:ascii="Times New Roman" w:hAnsi="Times New Roman" w:eastAsia="宋体" w:cs="宋体"/>
                      <w:color w:val="auto"/>
                      <w:spacing w:val="-3"/>
                      <w:sz w:val="21"/>
                    </w:rPr>
                    <w:t>控</w:t>
                  </w: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hint="eastAsia" w:ascii="Times New Roman" w:hAnsi="Times New Roman" w:eastAsia="宋体" w:cs="宋体"/>
                      <w:color w:val="auto"/>
                      <w:sz w:val="21"/>
                      <w:lang w:eastAsia="zh-CN"/>
                    </w:rPr>
                  </w:pPr>
                  <w:r>
                    <w:rPr>
                      <w:rFonts w:hint="eastAsia" w:ascii="Times New Roman" w:hAnsi="Times New Roman" w:eastAsia="宋体" w:cs="宋体"/>
                      <w:color w:val="auto"/>
                      <w:sz w:val="21"/>
                      <w:lang w:val="en-US" w:eastAsia="zh-CN"/>
                    </w:rPr>
                    <w:t>4</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szCs w:val="24"/>
                    </w:rPr>
                    <w:t>提高农药利用率，开展农药使用安全风险评估，推广应用高效低毒低残留新型农药，逐步淘汰高毒高风险农药。提高农业废弃物资源化利用水平。</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olor w:val="auto"/>
                      <w:sz w:val="21"/>
                    </w:rPr>
                    <w:t>本项目为卫生院项目，</w:t>
                  </w:r>
                  <w:r>
                    <w:rPr>
                      <w:rFonts w:hint="eastAsia"/>
                      <w:color w:val="auto"/>
                      <w:sz w:val="21"/>
                      <w:lang w:val="en-US" w:eastAsia="zh-CN"/>
                    </w:rPr>
                    <w:t>不涉及农药使用，</w:t>
                  </w:r>
                  <w:r>
                    <w:rPr>
                      <w:rFonts w:hint="eastAsia" w:ascii="Times New Roman" w:hAnsi="Times New Roman" w:eastAsia="宋体"/>
                      <w:color w:val="auto"/>
                      <w:sz w:val="21"/>
                      <w:szCs w:val="21"/>
                    </w:rPr>
                    <w:t>项目符合要求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1479" w:hRule="atLeast"/>
                <w:jc w:val="center"/>
              </w:trPr>
              <w:tc>
                <w:tcPr>
                  <w:tcW w:w="42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43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hint="eastAsia" w:ascii="Times New Roman" w:hAnsi="Times New Roman" w:eastAsia="宋体" w:cs="宋体"/>
                      <w:color w:val="auto"/>
                      <w:sz w:val="21"/>
                      <w:lang w:eastAsia="zh-CN"/>
                    </w:rPr>
                  </w:pPr>
                  <w:r>
                    <w:rPr>
                      <w:rFonts w:hint="eastAsia" w:ascii="Times New Roman" w:hAnsi="Times New Roman" w:eastAsia="宋体" w:cs="宋体"/>
                      <w:color w:val="auto"/>
                      <w:sz w:val="21"/>
                      <w:lang w:val="en-US" w:eastAsia="zh-CN"/>
                    </w:rPr>
                    <w:t>5</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szCs w:val="24"/>
                    </w:rPr>
                    <w:t>加强规模养殖场粪污治理设施建设，推进粪污减量化、无害化、资源化利用。加强养殖规划管理，清理禁养区内“三网”养殖，已批准养殖的区域按照养殖容量等相关要求规范网围养殖。禁止河湖水库投肥养殖。</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rPr>
                    <w:t>本项目不</w:t>
                  </w:r>
                  <w:r>
                    <w:rPr>
                      <w:rFonts w:hint="eastAsia" w:ascii="Times New Roman" w:hAnsi="Times New Roman" w:eastAsia="宋体" w:cs="宋体"/>
                      <w:color w:val="auto"/>
                      <w:spacing w:val="-2"/>
                      <w:sz w:val="21"/>
                      <w:lang w:val="en-US" w:eastAsia="zh-CN"/>
                    </w:rPr>
                    <w:t>属于畜禽养殖</w:t>
                  </w:r>
                  <w:r>
                    <w:rPr>
                      <w:rFonts w:hint="eastAsia" w:cs="宋体"/>
                      <w:color w:val="auto"/>
                      <w:spacing w:val="-2"/>
                      <w:sz w:val="21"/>
                      <w:lang w:val="en-US" w:eastAsia="zh-CN"/>
                    </w:rPr>
                    <w:t>业</w:t>
                  </w:r>
                  <w:r>
                    <w:rPr>
                      <w:rFonts w:hint="eastAsia" w:ascii="Times New Roman" w:hAnsi="Times New Roman" w:eastAsia="宋体" w:cs="宋体"/>
                      <w:color w:val="auto"/>
                      <w:spacing w:val="-2"/>
                      <w:sz w:val="21"/>
                      <w:lang w:val="en-US" w:eastAsia="zh-CN"/>
                    </w:rPr>
                    <w:t>，符合要求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1161" w:hRule="atLeast"/>
                <w:jc w:val="center"/>
              </w:trPr>
              <w:tc>
                <w:tcPr>
                  <w:tcW w:w="42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43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olor w:val="auto"/>
                      <w:sz w:val="21"/>
                    </w:rPr>
                  </w:pPr>
                </w:p>
              </w:tc>
              <w:tc>
                <w:tcPr>
                  <w:tcW w:w="31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hint="eastAsia" w:ascii="Times New Roman" w:hAnsi="Times New Roman" w:eastAsia="宋体" w:cs="宋体"/>
                      <w:color w:val="auto"/>
                      <w:sz w:val="21"/>
                      <w:lang w:eastAsia="zh-CN"/>
                    </w:rPr>
                  </w:pPr>
                  <w:r>
                    <w:rPr>
                      <w:rFonts w:hint="eastAsia" w:ascii="Times New Roman" w:hAnsi="Times New Roman" w:eastAsia="宋体" w:cs="宋体"/>
                      <w:color w:val="auto"/>
                      <w:sz w:val="21"/>
                      <w:lang w:val="en-US" w:eastAsia="zh-CN"/>
                    </w:rPr>
                    <w:t>6</w:t>
                  </w:r>
                </w:p>
              </w:tc>
              <w:tc>
                <w:tcPr>
                  <w:tcW w:w="26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rPr>
                      <w:rFonts w:ascii="Times New Roman" w:hAnsi="Times New Roman" w:eastAsia="宋体" w:cs="宋体"/>
                      <w:color w:val="auto"/>
                      <w:spacing w:val="-2"/>
                      <w:sz w:val="21"/>
                    </w:rPr>
                  </w:pPr>
                  <w:r>
                    <w:rPr>
                      <w:rFonts w:hint="eastAsia" w:ascii="Times New Roman" w:hAnsi="Times New Roman" w:eastAsia="宋体" w:cs="宋体"/>
                      <w:color w:val="auto"/>
                      <w:spacing w:val="-2"/>
                      <w:sz w:val="21"/>
                      <w:szCs w:val="24"/>
                    </w:rPr>
                    <w:t>稳步推进，改造提升农村生活污水治理设施建设，2023年底前完成集中式（日处理规模20吨以上）设施改造，2025年底前基本完成现有设施改造。</w:t>
                  </w:r>
                </w:p>
              </w:tc>
              <w:tc>
                <w:tcPr>
                  <w:tcW w:w="115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center"/>
                    <w:rPr>
                      <w:rFonts w:ascii="Times New Roman" w:hAnsi="Times New Roman" w:eastAsia="宋体" w:cs="宋体"/>
                      <w:color w:val="auto"/>
                      <w:spacing w:val="-2"/>
                      <w:sz w:val="21"/>
                    </w:rPr>
                  </w:pPr>
                  <w:r>
                    <w:rPr>
                      <w:rFonts w:hint="eastAsia" w:ascii="Times New Roman" w:hAnsi="Times New Roman" w:eastAsia="宋体"/>
                      <w:color w:val="auto"/>
                      <w:sz w:val="21"/>
                      <w:szCs w:val="21"/>
                    </w:rPr>
                    <w:t>项目符合要求</w:t>
                  </w:r>
                </w:p>
              </w:tc>
            </w:tr>
          </w:tbl>
          <w:p>
            <w:pPr>
              <w:spacing w:line="360" w:lineRule="auto"/>
              <w:ind w:firstLine="480" w:firstLineChars="200"/>
              <w:rPr>
                <w:color w:val="auto"/>
                <w:sz w:val="24"/>
              </w:rPr>
            </w:pPr>
            <w:r>
              <w:rPr>
                <w:color w:val="auto"/>
                <w:sz w:val="24"/>
              </w:rPr>
              <w:t>综上所述，项目符合九江市生态环境总体准入</w:t>
            </w:r>
            <w:r>
              <w:rPr>
                <w:rFonts w:hint="eastAsia"/>
                <w:color w:val="auto"/>
                <w:sz w:val="24"/>
              </w:rPr>
              <w:t>要求</w:t>
            </w:r>
            <w:r>
              <w:rPr>
                <w:rFonts w:hint="eastAsia"/>
                <w:color w:val="auto"/>
                <w:sz w:val="24"/>
                <w:lang w:val="en-US" w:eastAsia="zh-CN"/>
              </w:rPr>
              <w:t>的</w:t>
            </w:r>
            <w:r>
              <w:rPr>
                <w:color w:val="auto"/>
                <w:sz w:val="24"/>
              </w:rPr>
              <w:t>所有条件</w:t>
            </w:r>
            <w:r>
              <w:rPr>
                <w:rFonts w:hint="eastAsia" w:cs="宋体"/>
                <w:color w:val="auto"/>
                <w:sz w:val="24"/>
                <w:szCs w:val="22"/>
              </w:rPr>
              <w:t>。</w:t>
            </w:r>
          </w:p>
          <w:p>
            <w:pPr>
              <w:autoSpaceDE w:val="0"/>
              <w:autoSpaceDN w:val="0"/>
              <w:spacing w:line="360" w:lineRule="auto"/>
              <w:ind w:firstLine="480" w:firstLineChars="200"/>
              <w:rPr>
                <w:color w:val="0000FF"/>
                <w:sz w:val="24"/>
              </w:rPr>
            </w:pPr>
            <w:r>
              <w:rPr>
                <w:rFonts w:hint="eastAsia"/>
                <w:color w:val="0000FF"/>
                <w:sz w:val="24"/>
              </w:rPr>
              <w:t>本项目位于江西省九江市庐山市温泉镇，属于</w:t>
            </w:r>
            <w:r>
              <w:rPr>
                <w:rFonts w:hint="eastAsia"/>
                <w:color w:val="0000FF"/>
                <w:sz w:val="24"/>
                <w:lang w:val="en-US" w:eastAsia="zh-CN"/>
              </w:rPr>
              <w:t>一般管控单元1</w:t>
            </w:r>
            <w:r>
              <w:rPr>
                <w:rFonts w:hint="eastAsia"/>
                <w:color w:val="0000FF"/>
                <w:sz w:val="24"/>
              </w:rPr>
              <w:t>（环境管控单元编码为</w:t>
            </w:r>
            <w:r>
              <w:rPr>
                <w:rFonts w:hint="eastAsia"/>
                <w:color w:val="0000FF"/>
                <w:sz w:val="24"/>
                <w:lang w:val="en-US" w:eastAsia="zh-CN"/>
              </w:rPr>
              <w:t>ZH36048330001</w:t>
            </w:r>
            <w:r>
              <w:rPr>
                <w:rFonts w:hint="eastAsia"/>
                <w:color w:val="0000FF"/>
                <w:sz w:val="24"/>
              </w:rPr>
              <w:t>），该单元主要为城镇建设区域和集中居住区，单元特征主要涉及城镇重点区域和受体敏感区；涉及岸线为优先保护岸线。</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b/>
                <w:bCs/>
                <w:color w:val="auto"/>
                <w:sz w:val="21"/>
                <w:szCs w:val="21"/>
              </w:rPr>
            </w:pPr>
            <w:r>
              <w:rPr>
                <w:rFonts w:hint="eastAsia"/>
                <w:b/>
                <w:bCs/>
                <w:color w:val="auto"/>
                <w:sz w:val="21"/>
                <w:szCs w:val="21"/>
              </w:rPr>
              <w:t>表1-3</w:t>
            </w:r>
            <w:r>
              <w:rPr>
                <w:rFonts w:hint="eastAsia"/>
                <w:b/>
                <w:bCs/>
                <w:color w:val="auto"/>
                <w:sz w:val="21"/>
                <w:szCs w:val="21"/>
                <w:lang w:val="en-US" w:eastAsia="zh-CN"/>
              </w:rPr>
              <w:t xml:space="preserve"> </w:t>
            </w:r>
            <w:r>
              <w:rPr>
                <w:rFonts w:hint="eastAsia" w:cs="宋体"/>
                <w:b/>
                <w:bCs/>
                <w:color w:val="auto"/>
                <w:sz w:val="21"/>
                <w:szCs w:val="21"/>
              </w:rPr>
              <w:t>与九江市环境管控单元生态环境准入清单符合性分析</w:t>
            </w:r>
          </w:p>
          <w:tbl>
            <w:tblPr>
              <w:tblStyle w:val="23"/>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57" w:type="dxa"/>
                <w:bottom w:w="28" w:type="dxa"/>
                <w:right w:w="57" w:type="dxa"/>
              </w:tblCellMar>
            </w:tblPr>
            <w:tblGrid>
              <w:gridCol w:w="759"/>
              <w:gridCol w:w="1388"/>
              <w:gridCol w:w="4447"/>
              <w:gridCol w:w="123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54" w:hRule="atLeast"/>
                <w:jc w:val="center"/>
              </w:trPr>
              <w:tc>
                <w:tcPr>
                  <w:tcW w:w="214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环境管控单元编码</w:t>
                  </w:r>
                </w:p>
              </w:tc>
              <w:tc>
                <w:tcPr>
                  <w:tcW w:w="567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color w:val="0000FF"/>
                      <w:sz w:val="21"/>
                      <w:lang w:val="en-US" w:eastAsia="zh-CN"/>
                    </w:rPr>
                    <w:t>ZH36048330001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54" w:hRule="atLeast"/>
                <w:jc w:val="center"/>
              </w:trPr>
              <w:tc>
                <w:tcPr>
                  <w:tcW w:w="214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环境管控单元名称</w:t>
                  </w:r>
                </w:p>
              </w:tc>
              <w:tc>
                <w:tcPr>
                  <w:tcW w:w="567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color w:val="0000FF"/>
                      <w:sz w:val="21"/>
                    </w:rPr>
                    <w:t>江西省九江市庐山市</w:t>
                  </w:r>
                  <w:r>
                    <w:rPr>
                      <w:rFonts w:hint="eastAsia" w:ascii="Times New Roman" w:hAnsi="Times New Roman" w:eastAsia="宋体"/>
                      <w:color w:val="0000FF"/>
                      <w:sz w:val="21"/>
                      <w:lang w:val="en-US" w:eastAsia="zh-CN"/>
                    </w:rPr>
                    <w:t>一般管控单元1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54" w:hRule="atLeast"/>
                <w:jc w:val="center"/>
              </w:trPr>
              <w:tc>
                <w:tcPr>
                  <w:tcW w:w="214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地理位置</w:t>
                  </w:r>
                </w:p>
              </w:tc>
              <w:tc>
                <w:tcPr>
                  <w:tcW w:w="567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color w:val="auto"/>
                      <w:sz w:val="21"/>
                    </w:rPr>
                    <w:t>庐山市温泉镇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54" w:hRule="atLeast"/>
                <w:jc w:val="center"/>
              </w:trPr>
              <w:tc>
                <w:tcPr>
                  <w:tcW w:w="2147" w:type="dxa"/>
                  <w:gridSpan w:val="2"/>
                  <w:vAlign w:val="center"/>
                </w:tcPr>
                <w:p>
                  <w:pPr>
                    <w:keepNext w:val="0"/>
                    <w:keepLines/>
                    <w:pageBreakBefore w:val="0"/>
                    <w:widowControl/>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单元特征</w:t>
                  </w:r>
                </w:p>
              </w:tc>
              <w:tc>
                <w:tcPr>
                  <w:tcW w:w="5677" w:type="dxa"/>
                  <w:gridSpan w:val="2"/>
                  <w:vAlign w:val="center"/>
                </w:tcPr>
                <w:p>
                  <w:pPr>
                    <w:keepNext w:val="0"/>
                    <w:pageBreakBefore w:val="0"/>
                    <w:widowControl/>
                    <w:kinsoku/>
                    <w:wordWrap/>
                    <w:overflowPunct/>
                    <w:topLinePunct w:val="0"/>
                    <w:autoSpaceDE/>
                    <w:autoSpaceDN/>
                    <w:bidi w:val="0"/>
                    <w:adjustRightInd w:val="0"/>
                    <w:snapToGrid/>
                    <w:jc w:val="center"/>
                    <w:textAlignment w:val="auto"/>
                    <w:rPr>
                      <w:rFonts w:hint="eastAsia" w:ascii="Times New Roman" w:hAnsi="Times New Roman" w:eastAsia="宋体"/>
                      <w:b/>
                      <w:bCs/>
                      <w:color w:val="auto"/>
                      <w:sz w:val="21"/>
                      <w:lang w:eastAsia="zh-CN"/>
                    </w:rPr>
                  </w:pPr>
                  <w:r>
                    <w:rPr>
                      <w:rFonts w:hint="eastAsia" w:ascii="Times New Roman" w:hAnsi="Times New Roman" w:eastAsia="宋体"/>
                      <w:color w:val="0000FF"/>
                      <w:sz w:val="21"/>
                    </w:rPr>
                    <w:t>该单元主要为</w:t>
                  </w:r>
                  <w:r>
                    <w:rPr>
                      <w:rFonts w:hint="eastAsia" w:ascii="Times New Roman" w:hAnsi="Times New Roman" w:eastAsia="宋体"/>
                      <w:color w:val="0000FF"/>
                      <w:sz w:val="21"/>
                      <w:lang w:val="en-US" w:eastAsia="zh-CN"/>
                    </w:rPr>
                    <w:t>一般农村区域1</w:t>
                  </w:r>
                  <w:r>
                    <w:rPr>
                      <w:rFonts w:hint="eastAsia" w:ascii="Times New Roman" w:hAnsi="Times New Roman" w:eastAsia="宋体"/>
                      <w:color w:val="0000FF"/>
                      <w:sz w:val="21"/>
                    </w:rPr>
                    <w:t>，单元特征</w:t>
                  </w:r>
                  <w:r>
                    <w:rPr>
                      <w:rFonts w:hint="eastAsia" w:ascii="Times New Roman" w:hAnsi="Times New Roman" w:eastAsia="宋体"/>
                      <w:color w:val="0000FF"/>
                      <w:sz w:val="21"/>
                      <w:lang w:val="en-US" w:eastAsia="zh-CN"/>
                    </w:rPr>
                    <w:t>为一般农村区域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54" w:hRule="atLeast"/>
                <w:jc w:val="center"/>
              </w:trPr>
              <w:tc>
                <w:tcPr>
                  <w:tcW w:w="485" w:type="pct"/>
                  <w:tcBorders>
                    <w:righ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维度</w:t>
                  </w: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清单编制要求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生态环境准入要求</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ascii="Times New Roman" w:hAnsi="Times New Roman" w:eastAsia="宋体"/>
                      <w:b/>
                      <w:bCs/>
                      <w:color w:val="auto"/>
                      <w:sz w:val="21"/>
                    </w:rPr>
                    <w:t>符合性分析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restart"/>
                  <w:tcBorders>
                    <w:righ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空间布局约束</w:t>
                  </w: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禁止开发建设活动的要求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lang w:val="zh-CN"/>
                    </w:rPr>
                    <w:t>畜禽养殖执行当地禁养区相关管理要求。</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w:t>
                  </w:r>
                  <w:r>
                    <w:rPr>
                      <w:rFonts w:ascii="Times New Roman" w:hAnsi="Times New Roman" w:eastAsia="宋体"/>
                      <w:color w:val="auto"/>
                      <w:sz w:val="21"/>
                    </w:rPr>
                    <w:t>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限制开发建设活动的要求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rPr>
                    <w:t>小（二）型及以上的山塘水库要科学确定养殖容量，不投放无机肥、有机肥和生物复合肥养殖，防止污染水环境；现有工业集聚区限制引入含磷废水排放量大的项目；畜禽养殖执行当地可养区相关管理要求。</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w:t>
                  </w:r>
                  <w:r>
                    <w:rPr>
                      <w:rFonts w:ascii="Times New Roman" w:hAnsi="Times New Roman" w:eastAsia="宋体"/>
                      <w:color w:val="auto"/>
                      <w:sz w:val="21"/>
                    </w:rPr>
                    <w:t>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允许开发建设活动的要求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允许符合规划或经批准的村镇建设、风力发电、光伏发电、矿山开采及配套加工、交通设施、生态旅游及康养设施等不影响主体功能项目的建设。涉及河湖（含水库）管理范围的按照相关法律法规执行。</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不属于此类</w:t>
                  </w:r>
                  <w:r>
                    <w:rPr>
                      <w:rFonts w:hint="eastAsia" w:ascii="Times New Roman" w:hAnsi="Times New Roman" w:eastAsia="宋体"/>
                      <w:color w:val="auto"/>
                      <w:sz w:val="21"/>
                    </w:rPr>
                    <w:t>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不符合空间布局要求活动的</w:t>
                  </w:r>
                  <w:r>
                    <w:rPr>
                      <w:rFonts w:hint="eastAsia" w:ascii="Times New Roman" w:hAnsi="Times New Roman" w:eastAsia="宋体"/>
                      <w:color w:val="auto"/>
                      <w:sz w:val="21"/>
                    </w:rPr>
                    <w:t>退</w:t>
                  </w:r>
                  <w:r>
                    <w:rPr>
                      <w:rFonts w:ascii="Times New Roman" w:hAnsi="Times New Roman" w:eastAsia="宋体"/>
                      <w:color w:val="auto"/>
                      <w:sz w:val="21"/>
                    </w:rPr>
                    <w:t>出要求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rPr>
                    <w:t>现有工业集聚区已有污染严重治理无望的企业限期退出</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其他空间布局约束要求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restart"/>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污染物排放管控</w:t>
                  </w: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现有源提标升级改造</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hint="eastAsia" w:ascii="Times New Roman" w:hAnsi="Times New Roman" w:eastAsia="宋体"/>
                      <w:color w:val="auto"/>
                      <w:sz w:val="21"/>
                      <w:lang w:val="zh-CN" w:eastAsia="zh-CN"/>
                    </w:rPr>
                  </w:pPr>
                  <w:r>
                    <w:rPr>
                      <w:rFonts w:hint="eastAsia" w:ascii="Times New Roman" w:hAnsi="Times New Roman" w:eastAsia="宋体"/>
                      <w:color w:val="auto"/>
                      <w:sz w:val="21"/>
                      <w:lang w:val="en-US" w:eastAsia="zh-CN"/>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keepNext w:val="0"/>
                    <w:pageBreakBefore w:val="0"/>
                    <w:tabs>
                      <w:tab w:val="left" w:pos="6660"/>
                    </w:tabs>
                    <w:kinsoku/>
                    <w:wordWrap/>
                    <w:overflowPunct/>
                    <w:topLinePunct w:val="0"/>
                    <w:autoSpaceDE/>
                    <w:autoSpaceDN/>
                    <w:bidi w:val="0"/>
                    <w:adjustRightInd w:val="0"/>
                    <w:snapToGrid/>
                    <w:jc w:val="center"/>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tabs>
                      <w:tab w:val="left" w:pos="6660"/>
                    </w:tabs>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新增源等量或倍量替代</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keepNext w:val="0"/>
                    <w:pageBreakBefore w:val="0"/>
                    <w:tabs>
                      <w:tab w:val="left" w:pos="6660"/>
                    </w:tabs>
                    <w:kinsoku/>
                    <w:wordWrap/>
                    <w:overflowPunct/>
                    <w:topLinePunct w:val="0"/>
                    <w:autoSpaceDE/>
                    <w:autoSpaceDN/>
                    <w:bidi w:val="0"/>
                    <w:adjustRightInd w:val="0"/>
                    <w:snapToGrid/>
                    <w:jc w:val="center"/>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tabs>
                      <w:tab w:val="left" w:pos="6660"/>
                    </w:tabs>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新增源排放标准限值</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达标排放</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keepNext w:val="0"/>
                    <w:pageBreakBefore w:val="0"/>
                    <w:tabs>
                      <w:tab w:val="left" w:pos="6660"/>
                    </w:tabs>
                    <w:kinsoku/>
                    <w:wordWrap/>
                    <w:overflowPunct/>
                    <w:topLinePunct w:val="0"/>
                    <w:autoSpaceDE/>
                    <w:autoSpaceDN/>
                    <w:bidi w:val="0"/>
                    <w:adjustRightInd w:val="0"/>
                    <w:snapToGrid/>
                    <w:jc w:val="center"/>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污染物排放绩效水平准入要求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rPr>
                    <w:t>污染物排放绩效水平达到相应行业准入要求和清洁生产相应水平</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项目符合要求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keepNext w:val="0"/>
                    <w:pageBreakBefore w:val="0"/>
                    <w:tabs>
                      <w:tab w:val="left" w:pos="6660"/>
                    </w:tabs>
                    <w:kinsoku/>
                    <w:wordWrap/>
                    <w:overflowPunct/>
                    <w:topLinePunct w:val="0"/>
                    <w:autoSpaceDE/>
                    <w:autoSpaceDN/>
                    <w:bidi w:val="0"/>
                    <w:adjustRightInd w:val="0"/>
                    <w:snapToGrid/>
                    <w:jc w:val="center"/>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其他污染物排放管控要求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restart"/>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环境风险防控</w:t>
                  </w: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严格管控类农用地管控要求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rPr>
                    <w:t>严格管控农用地，不得在污染地块种植食用农产品。</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项目用地不属于农用地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安全利用类农用地管控要求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hint="eastAsia" w:ascii="Times New Roman" w:hAnsi="Times New Roman" w:eastAsia="宋体"/>
                      <w:color w:val="auto"/>
                      <w:sz w:val="21"/>
                    </w:rPr>
                    <w:t>安全利用类农用地，应制定替代种植、轮耕休耕等安全利用方案，降低农产品超标风险。</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项目用地不属于农用地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污染地块管控要求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lang w:val="zh-CN"/>
                    </w:rPr>
                  </w:pPr>
                  <w:r>
                    <w:rPr>
                      <w:rFonts w:ascii="Times New Roman" w:hAnsi="Times New Roman" w:eastAsia="宋体"/>
                      <w:color w:val="auto"/>
                      <w:sz w:val="21"/>
                      <w:lang w:val="zh-CN"/>
                    </w:rPr>
                    <w:t>已污染地块，应当依法开展土壤污染状况调查、治理与修复，符合相应用地土壤环境质量要求后，方可进入用地程序。</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项目符合用地规划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lang w:val="en-US" w:eastAsia="zh-CN"/>
                    </w:rPr>
                    <w:t>园</w:t>
                  </w:r>
                  <w:r>
                    <w:rPr>
                      <w:rFonts w:ascii="Times New Roman" w:hAnsi="Times New Roman" w:eastAsia="宋体"/>
                      <w:color w:val="auto"/>
                      <w:sz w:val="21"/>
                    </w:rPr>
                    <w:t>区环境风险防控要求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企业环境风险防控要求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紧邻居住、科教、医院等环境敏感点的工业用地，禁止新建环境风险等级高的建设项目。</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rPr>
                    <w:t>项目符合</w:t>
                  </w:r>
                  <w:r>
                    <w:rPr>
                      <w:rFonts w:hint="eastAsia" w:ascii="Times New Roman" w:hAnsi="Times New Roman" w:eastAsia="宋体"/>
                      <w:color w:val="auto"/>
                      <w:sz w:val="21"/>
                      <w:lang w:val="en-US" w:eastAsia="zh-CN"/>
                    </w:rPr>
                    <w:t>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其他环境风险防控要求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restart"/>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资源利用效率要求</w:t>
                  </w: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水资源利用效率要求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地下水开采要求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ascii="Times New Roman" w:hAnsi="Times New Roman" w:eastAsia="宋体"/>
                      <w:color w:val="auto"/>
                      <w:sz w:val="21"/>
                    </w:rPr>
                    <w:t>按江西省水资源条例执行</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项目不涉及地下水的开采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能源利用效率要求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06" w:hRule="atLeast"/>
                <w:jc w:val="center"/>
              </w:trPr>
              <w:tc>
                <w:tcPr>
                  <w:tcW w:w="485" w:type="pct"/>
                  <w:vMerge w:val="continue"/>
                  <w:tcBorders>
                    <w:righ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p>
              </w:tc>
              <w:tc>
                <w:tcPr>
                  <w:tcW w:w="887" w:type="pct"/>
                  <w:tcBorders>
                    <w:left w:val="single" w:color="auto" w:sz="4" w:space="0"/>
                  </w:tcBorders>
                  <w:vAlign w:val="center"/>
                </w:tcPr>
                <w:p>
                  <w:pPr>
                    <w:pStyle w:val="39"/>
                    <w:keepNext w:val="0"/>
                    <w:pageBreakBefore w:val="0"/>
                    <w:kinsoku/>
                    <w:wordWrap/>
                    <w:overflowPunct/>
                    <w:topLinePunct w:val="0"/>
                    <w:autoSpaceDE/>
                    <w:autoSpaceDN/>
                    <w:bidi w:val="0"/>
                    <w:adjustRightInd w:val="0"/>
                    <w:snapToGrid/>
                    <w:spacing w:line="240" w:lineRule="auto"/>
                    <w:ind w:firstLine="0"/>
                    <w:textAlignment w:val="auto"/>
                    <w:rPr>
                      <w:rFonts w:ascii="Times New Roman" w:hAnsi="Times New Roman" w:eastAsia="宋体"/>
                      <w:color w:val="auto"/>
                      <w:sz w:val="21"/>
                    </w:rPr>
                  </w:pPr>
                  <w:r>
                    <w:rPr>
                      <w:rFonts w:ascii="Times New Roman" w:hAnsi="Times New Roman" w:eastAsia="宋体"/>
                      <w:color w:val="auto"/>
                      <w:sz w:val="21"/>
                    </w:rPr>
                    <w:t>其他资源利用效率要求</w:t>
                  </w:r>
                </w:p>
              </w:tc>
              <w:tc>
                <w:tcPr>
                  <w:tcW w:w="2841" w:type="pct"/>
                  <w:vAlign w:val="center"/>
                </w:tcPr>
                <w:p>
                  <w:pPr>
                    <w:keepNext w:val="0"/>
                    <w:pageBreakBefore w:val="0"/>
                    <w:kinsoku/>
                    <w:wordWrap/>
                    <w:overflowPunct/>
                    <w:topLinePunct w:val="0"/>
                    <w:autoSpaceDE/>
                    <w:autoSpaceDN/>
                    <w:bidi w:val="0"/>
                    <w:adjustRightInd w:val="0"/>
                    <w:snapToGrid/>
                    <w:jc w:val="center"/>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无</w:t>
                  </w:r>
                </w:p>
              </w:tc>
              <w:tc>
                <w:tcPr>
                  <w:tcW w:w="786" w:type="pct"/>
                  <w:vAlign w:val="center"/>
                </w:tcPr>
                <w:p>
                  <w:pPr>
                    <w:keepNext w:val="0"/>
                    <w:pageBreakBefore w:val="0"/>
                    <w:kinsoku/>
                    <w:wordWrap/>
                    <w:overflowPunct/>
                    <w:topLinePunct w:val="0"/>
                    <w:autoSpaceDE/>
                    <w:autoSpaceDN/>
                    <w:bidi w:val="0"/>
                    <w:adjustRightInd w:val="0"/>
                    <w:snapToGrid/>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综上所述，项目</w:t>
            </w:r>
            <w:r>
              <w:rPr>
                <w:rFonts w:hint="eastAsia"/>
                <w:color w:val="auto"/>
                <w:sz w:val="24"/>
              </w:rPr>
              <w:t>建设</w:t>
            </w:r>
            <w:r>
              <w:rPr>
                <w:color w:val="auto"/>
                <w:sz w:val="24"/>
              </w:rPr>
              <w:t>符合</w:t>
            </w:r>
            <w:r>
              <w:rPr>
                <w:rFonts w:hint="eastAsia"/>
                <w:color w:val="auto"/>
                <w:sz w:val="24"/>
              </w:rPr>
              <w:t>《</w:t>
            </w:r>
            <w:r>
              <w:rPr>
                <w:color w:val="auto"/>
                <w:sz w:val="24"/>
              </w:rPr>
              <w:t>九江市</w:t>
            </w:r>
            <w:r>
              <w:rPr>
                <w:rFonts w:hint="eastAsia"/>
                <w:color w:val="auto"/>
                <w:sz w:val="24"/>
              </w:rPr>
              <w:t>“三线一单”生态环境分区管控方案（2023年版）》。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本项目</w:t>
            </w:r>
            <w:r>
              <w:rPr>
                <w:color w:val="auto"/>
                <w:sz w:val="24"/>
              </w:rPr>
              <w:t>与《长江经济带发展负面清单指南（试行，2022年版）》</w:t>
            </w:r>
            <w:r>
              <w:rPr>
                <w:rFonts w:hint="eastAsia"/>
                <w:color w:val="auto"/>
                <w:sz w:val="24"/>
              </w:rPr>
              <w:t>相符性分析详见表1-4，与《江西省长江经济带发展负面清单实施细则（试行，2022年版）》（赣长江办〔2022〕7号）相符性分析见表1-5。</w:t>
            </w:r>
          </w:p>
          <w:p>
            <w:pPr>
              <w:keepNext w:val="0"/>
              <w:keepLines w:val="0"/>
              <w:pageBreakBefore w:val="0"/>
              <w:widowControl w:val="0"/>
              <w:kinsoku/>
              <w:wordWrap/>
              <w:overflowPunct/>
              <w:topLinePunct w:val="0"/>
              <w:autoSpaceDE/>
              <w:autoSpaceDN/>
              <w:bidi w:val="0"/>
              <w:adjustRightInd w:val="0"/>
              <w:snapToGrid/>
              <w:jc w:val="center"/>
              <w:textAlignment w:val="auto"/>
              <w:rPr>
                <w:color w:val="auto"/>
                <w:sz w:val="21"/>
              </w:rPr>
            </w:pPr>
            <w:r>
              <w:rPr>
                <w:rFonts w:hint="eastAsia" w:cs="宋体"/>
                <w:b/>
                <w:bCs/>
                <w:color w:val="auto"/>
                <w:sz w:val="21"/>
                <w:szCs w:val="21"/>
              </w:rPr>
              <w:t>表1-4</w:t>
            </w:r>
            <w:r>
              <w:rPr>
                <w:rFonts w:hint="eastAsia" w:cs="宋体"/>
                <w:b/>
                <w:bCs/>
                <w:color w:val="auto"/>
                <w:sz w:val="21"/>
                <w:szCs w:val="21"/>
                <w:lang w:val="en-US" w:eastAsia="zh-CN"/>
              </w:rPr>
              <w:t xml:space="preserve"> </w:t>
            </w:r>
            <w:r>
              <w:rPr>
                <w:b/>
                <w:bCs/>
                <w:color w:val="auto"/>
                <w:sz w:val="21"/>
                <w:szCs w:val="21"/>
              </w:rPr>
              <w:t>与《长江经济带发展负面清单指南（试行，2022年版）》</w:t>
            </w:r>
            <w:r>
              <w:rPr>
                <w:rFonts w:hint="eastAsia"/>
                <w:b/>
                <w:bCs/>
                <w:color w:val="auto"/>
                <w:sz w:val="21"/>
                <w:szCs w:val="21"/>
              </w:rPr>
              <w:t>相符性分析</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57" w:type="dxa"/>
                <w:bottom w:w="28" w:type="dxa"/>
                <w:right w:w="57" w:type="dxa"/>
              </w:tblCellMar>
            </w:tblPr>
            <w:tblGrid>
              <w:gridCol w:w="442"/>
              <w:gridCol w:w="4951"/>
              <w:gridCol w:w="243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b/>
                      <w:color w:val="auto"/>
                    </w:rPr>
                  </w:pPr>
                  <w:r>
                    <w:rPr>
                      <w:b/>
                      <w:color w:val="auto"/>
                    </w:rPr>
                    <w:t>序号</w:t>
                  </w:r>
                </w:p>
              </w:tc>
              <w:tc>
                <w:tcPr>
                  <w:tcW w:w="3161" w:type="pct"/>
                  <w:vAlign w:val="center"/>
                </w:tcPr>
                <w:p>
                  <w:pPr>
                    <w:jc w:val="center"/>
                    <w:rPr>
                      <w:b/>
                      <w:color w:val="auto"/>
                    </w:rPr>
                  </w:pPr>
                  <w:r>
                    <w:rPr>
                      <w:b/>
                      <w:color w:val="auto"/>
                    </w:rPr>
                    <w:t>内容</w:t>
                  </w:r>
                </w:p>
              </w:tc>
              <w:tc>
                <w:tcPr>
                  <w:tcW w:w="1556" w:type="pct"/>
                  <w:vAlign w:val="center"/>
                </w:tcPr>
                <w:p>
                  <w:pPr>
                    <w:jc w:val="center"/>
                    <w:rPr>
                      <w:b/>
                      <w:color w:val="auto"/>
                    </w:rPr>
                  </w:pPr>
                  <w:r>
                    <w:rPr>
                      <w:b/>
                      <w:color w:val="auto"/>
                    </w:rPr>
                    <w:t>符合性分析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1</w:t>
                  </w:r>
                </w:p>
              </w:tc>
              <w:tc>
                <w:tcPr>
                  <w:tcW w:w="3161" w:type="pct"/>
                  <w:vAlign w:val="center"/>
                </w:tcPr>
                <w:p>
                  <w:pPr>
                    <w:jc w:val="center"/>
                    <w:rPr>
                      <w:color w:val="auto"/>
                    </w:rPr>
                  </w:pPr>
                  <w:r>
                    <w:rPr>
                      <w:color w:val="auto"/>
                    </w:rPr>
                    <w:t>禁止建设不符合全国和省级港口布局规划以及港口总体规划的码头项目，禁止建设不符合《长江干线过江通道布局规划》的过长江通道项目。</w:t>
                  </w:r>
                </w:p>
              </w:tc>
              <w:tc>
                <w:tcPr>
                  <w:tcW w:w="1556" w:type="pct"/>
                  <w:vAlign w:val="center"/>
                </w:tcPr>
                <w:p>
                  <w:pPr>
                    <w:jc w:val="center"/>
                    <w:rPr>
                      <w:color w:val="auto"/>
                    </w:rPr>
                  </w:pPr>
                  <w:r>
                    <w:rPr>
                      <w:color w:val="auto"/>
                    </w:rPr>
                    <w:t>本项目不属于码头项目，不属于长江通道项目。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2</w:t>
                  </w:r>
                </w:p>
              </w:tc>
              <w:tc>
                <w:tcPr>
                  <w:tcW w:w="3161" w:type="pct"/>
                  <w:vAlign w:val="center"/>
                </w:tcPr>
                <w:p>
                  <w:pPr>
                    <w:jc w:val="center"/>
                    <w:rPr>
                      <w:color w:val="auto"/>
                    </w:rPr>
                  </w:pPr>
                  <w:r>
                    <w:rPr>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556" w:type="pct"/>
                  <w:vAlign w:val="center"/>
                </w:tcPr>
                <w:p>
                  <w:pPr>
                    <w:jc w:val="center"/>
                    <w:rPr>
                      <w:color w:val="auto"/>
                    </w:rPr>
                  </w:pPr>
                  <w:r>
                    <w:rPr>
                      <w:color w:val="auto"/>
                    </w:rPr>
                    <w:t>本项目不属于自然保护区和风景名胜区。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3</w:t>
                  </w:r>
                </w:p>
              </w:tc>
              <w:tc>
                <w:tcPr>
                  <w:tcW w:w="3161" w:type="pct"/>
                  <w:vAlign w:val="center"/>
                </w:tcPr>
                <w:p>
                  <w:pPr>
                    <w:jc w:val="center"/>
                    <w:rPr>
                      <w:color w:val="auto"/>
                    </w:rPr>
                  </w:pPr>
                  <w:r>
                    <w:rPr>
                      <w:color w:val="auto"/>
                    </w:rPr>
                    <w:t>禁止在引用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56" w:type="pct"/>
                  <w:vAlign w:val="center"/>
                </w:tcPr>
                <w:p>
                  <w:pPr>
                    <w:jc w:val="center"/>
                    <w:rPr>
                      <w:color w:val="auto"/>
                    </w:rPr>
                  </w:pPr>
                  <w:r>
                    <w:rPr>
                      <w:color w:val="auto"/>
                    </w:rPr>
                    <w:t>本项目选址不在水源保护区范围内。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4</w:t>
                  </w:r>
                </w:p>
              </w:tc>
              <w:tc>
                <w:tcPr>
                  <w:tcW w:w="3161" w:type="pct"/>
                  <w:vAlign w:val="center"/>
                </w:tcPr>
                <w:p>
                  <w:pPr>
                    <w:jc w:val="center"/>
                    <w:rPr>
                      <w:color w:val="auto"/>
                    </w:rPr>
                  </w:pPr>
                  <w:r>
                    <w:rPr>
                      <w:color w:val="auto"/>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56" w:type="pct"/>
                  <w:vAlign w:val="center"/>
                </w:tcPr>
                <w:p>
                  <w:pPr>
                    <w:jc w:val="center"/>
                    <w:rPr>
                      <w:color w:val="auto"/>
                    </w:rPr>
                  </w:pPr>
                  <w:r>
                    <w:rPr>
                      <w:color w:val="auto"/>
                    </w:rPr>
                    <w:t>本项目不涉及水产种质资源保护区和国家湿地公园。</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5</w:t>
                  </w:r>
                </w:p>
              </w:tc>
              <w:tc>
                <w:tcPr>
                  <w:tcW w:w="3161" w:type="pct"/>
                  <w:vAlign w:val="center"/>
                </w:tcPr>
                <w:p>
                  <w:pPr>
                    <w:jc w:val="center"/>
                    <w:rPr>
                      <w:color w:val="auto"/>
                    </w:rPr>
                  </w:pPr>
                  <w:r>
                    <w:rPr>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56" w:type="pct"/>
                  <w:vAlign w:val="center"/>
                </w:tcPr>
                <w:p>
                  <w:pPr>
                    <w:jc w:val="center"/>
                    <w:rPr>
                      <w:color w:val="auto"/>
                    </w:rPr>
                  </w:pPr>
                  <w:r>
                    <w:rPr>
                      <w:color w:val="auto"/>
                    </w:rPr>
                    <w:t>本项目不位于《长江岸线保护和开发利用总体规划》划定的岸线保护区内，不位于《全国重要江河湖泊水功能区划》划定的河段及湖泊保护区、保留区范围内。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6</w:t>
                  </w:r>
                </w:p>
              </w:tc>
              <w:tc>
                <w:tcPr>
                  <w:tcW w:w="3161" w:type="pct"/>
                  <w:vAlign w:val="center"/>
                </w:tcPr>
                <w:p>
                  <w:pPr>
                    <w:jc w:val="center"/>
                    <w:rPr>
                      <w:color w:val="auto"/>
                    </w:rPr>
                  </w:pPr>
                  <w:r>
                    <w:rPr>
                      <w:color w:val="auto"/>
                    </w:rPr>
                    <w:t>禁止未经许可在长江干支流及湖泊新设、改设或扩大排污口。</w:t>
                  </w:r>
                </w:p>
              </w:tc>
              <w:tc>
                <w:tcPr>
                  <w:tcW w:w="1556" w:type="pct"/>
                  <w:vAlign w:val="center"/>
                </w:tcPr>
                <w:p>
                  <w:pPr>
                    <w:jc w:val="center"/>
                    <w:rPr>
                      <w:color w:val="auto"/>
                    </w:rPr>
                  </w:pPr>
                  <w:r>
                    <w:rPr>
                      <w:color w:val="auto"/>
                    </w:rPr>
                    <w:t>项目不新设、改设或扩大排污口。</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7</w:t>
                  </w:r>
                </w:p>
              </w:tc>
              <w:tc>
                <w:tcPr>
                  <w:tcW w:w="3161" w:type="pct"/>
                  <w:vAlign w:val="center"/>
                </w:tcPr>
                <w:p>
                  <w:pPr>
                    <w:jc w:val="center"/>
                    <w:rPr>
                      <w:color w:val="auto"/>
                    </w:rPr>
                  </w:pPr>
                  <w:r>
                    <w:rPr>
                      <w:color w:val="auto"/>
                    </w:rPr>
                    <w:t>禁止在“一江一口两湖七河”和332个水生生物保护区开展生产性捕捞。</w:t>
                  </w:r>
                </w:p>
              </w:tc>
              <w:tc>
                <w:tcPr>
                  <w:tcW w:w="1556" w:type="pct"/>
                  <w:vAlign w:val="center"/>
                </w:tcPr>
                <w:p>
                  <w:pPr>
                    <w:jc w:val="center"/>
                    <w:rPr>
                      <w:color w:val="auto"/>
                    </w:rPr>
                  </w:pPr>
                  <w:r>
                    <w:rPr>
                      <w:color w:val="auto"/>
                    </w:rPr>
                    <w:t>项目不涉及生产性捕捞。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8</w:t>
                  </w:r>
                </w:p>
              </w:tc>
              <w:tc>
                <w:tcPr>
                  <w:tcW w:w="3161" w:type="pct"/>
                  <w:vAlign w:val="center"/>
                </w:tcPr>
                <w:p>
                  <w:pPr>
                    <w:jc w:val="center"/>
                    <w:rPr>
                      <w:color w:val="auto"/>
                    </w:rPr>
                  </w:pPr>
                  <w:r>
                    <w:rPr>
                      <w:color w:val="auto"/>
                    </w:rPr>
                    <w:t>禁止在长江干支流、重要湖泊岸线一公里范围内新建、扩建化工园区和化工项目。禁止在长江干流岸线三公里范围内和重要支流岸线―公里范围内新建、改建、扩建尾矿库、冶炼渣库和磷石膏库，以提升安全、生态环境保护水平为目的的改建除外。</w:t>
                  </w:r>
                </w:p>
              </w:tc>
              <w:tc>
                <w:tcPr>
                  <w:tcW w:w="1556" w:type="pct"/>
                  <w:vAlign w:val="center"/>
                </w:tcPr>
                <w:p>
                  <w:pPr>
                    <w:jc w:val="center"/>
                    <w:rPr>
                      <w:color w:val="auto"/>
                    </w:rPr>
                  </w:pPr>
                  <w:r>
                    <w:rPr>
                      <w:color w:val="auto"/>
                    </w:rPr>
                    <w:t>本项目为</w:t>
                  </w:r>
                  <w:r>
                    <w:rPr>
                      <w:rFonts w:hint="eastAsia"/>
                      <w:color w:val="auto"/>
                    </w:rPr>
                    <w:t>卫生院项目</w:t>
                  </w:r>
                  <w:r>
                    <w:rPr>
                      <w:color w:val="auto"/>
                    </w:rPr>
                    <w:t>，不属于化工项目，不涉及尾矿库、冶炼渣库和磷石膏库。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9</w:t>
                  </w:r>
                </w:p>
              </w:tc>
              <w:tc>
                <w:tcPr>
                  <w:tcW w:w="3161" w:type="pct"/>
                  <w:vAlign w:val="center"/>
                </w:tcPr>
                <w:p>
                  <w:pPr>
                    <w:jc w:val="center"/>
                    <w:rPr>
                      <w:color w:val="auto"/>
                    </w:rPr>
                  </w:pPr>
                  <w:r>
                    <w:rPr>
                      <w:color w:val="auto"/>
                    </w:rPr>
                    <w:t>禁止在合规园区外新建、扩建钢铁、石化、化工、焦化、建材、有色、制浆造纸等高污染项目。</w:t>
                  </w:r>
                </w:p>
              </w:tc>
              <w:tc>
                <w:tcPr>
                  <w:tcW w:w="1556" w:type="pct"/>
                  <w:vAlign w:val="center"/>
                </w:tcPr>
                <w:p>
                  <w:pPr>
                    <w:jc w:val="center"/>
                    <w:rPr>
                      <w:color w:val="auto"/>
                    </w:rPr>
                  </w:pPr>
                  <w:r>
                    <w:rPr>
                      <w:color w:val="auto"/>
                    </w:rPr>
                    <w:t>本项目为</w:t>
                  </w:r>
                  <w:r>
                    <w:rPr>
                      <w:rFonts w:hint="eastAsia"/>
                      <w:color w:val="auto"/>
                    </w:rPr>
                    <w:t>卫生院项目</w:t>
                  </w:r>
                  <w:r>
                    <w:rPr>
                      <w:color w:val="auto"/>
                    </w:rPr>
                    <w:t>，不属于高污染项目。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10</w:t>
                  </w:r>
                </w:p>
              </w:tc>
              <w:tc>
                <w:tcPr>
                  <w:tcW w:w="3161" w:type="pct"/>
                  <w:vAlign w:val="center"/>
                </w:tcPr>
                <w:p>
                  <w:pPr>
                    <w:pStyle w:val="41"/>
                    <w:jc w:val="center"/>
                    <w:rPr>
                      <w:rFonts w:ascii="Times New Roman" w:hAnsi="Times New Roman"/>
                      <w:color w:val="auto"/>
                      <w:sz w:val="21"/>
                      <w:szCs w:val="21"/>
                      <w:lang w:eastAsia="zh-CN"/>
                    </w:rPr>
                  </w:pPr>
                  <w:r>
                    <w:rPr>
                      <w:rFonts w:ascii="Times New Roman" w:hAnsi="Times New Roman"/>
                      <w:color w:val="auto"/>
                      <w:sz w:val="21"/>
                      <w:szCs w:val="21"/>
                      <w:lang w:eastAsia="zh-CN"/>
                    </w:rPr>
                    <w:t>禁止新建、扩建不符合国家石化、现代煤化工等产业布局的规划的项目。</w:t>
                  </w:r>
                </w:p>
              </w:tc>
              <w:tc>
                <w:tcPr>
                  <w:tcW w:w="1556" w:type="pct"/>
                  <w:vAlign w:val="center"/>
                </w:tcPr>
                <w:p>
                  <w:pPr>
                    <w:pStyle w:val="41"/>
                    <w:jc w:val="center"/>
                    <w:rPr>
                      <w:rFonts w:ascii="Times New Roman" w:hAnsi="Times New Roman"/>
                      <w:color w:val="auto"/>
                      <w:sz w:val="21"/>
                      <w:szCs w:val="21"/>
                      <w:lang w:eastAsia="zh-CN"/>
                    </w:rPr>
                  </w:pPr>
                  <w:r>
                    <w:rPr>
                      <w:rFonts w:ascii="Times New Roman" w:hAnsi="Times New Roman"/>
                      <w:color w:val="auto"/>
                      <w:sz w:val="21"/>
                      <w:szCs w:val="21"/>
                      <w:lang w:eastAsia="zh-CN"/>
                    </w:rPr>
                    <w:t>本项目不属于石化、现代煤化工产业。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vAlign w:val="center"/>
                </w:tcPr>
                <w:p>
                  <w:pPr>
                    <w:jc w:val="center"/>
                    <w:rPr>
                      <w:color w:val="auto"/>
                    </w:rPr>
                  </w:pPr>
                  <w:r>
                    <w:rPr>
                      <w:color w:val="auto"/>
                    </w:rPr>
                    <w:t>11</w:t>
                  </w:r>
                </w:p>
              </w:tc>
              <w:tc>
                <w:tcPr>
                  <w:tcW w:w="3161" w:type="pct"/>
                  <w:vAlign w:val="center"/>
                </w:tcPr>
                <w:p>
                  <w:pPr>
                    <w:pStyle w:val="41"/>
                    <w:jc w:val="center"/>
                    <w:rPr>
                      <w:rFonts w:ascii="Times New Roman" w:hAnsi="Times New Roman"/>
                      <w:color w:val="auto"/>
                      <w:sz w:val="21"/>
                      <w:szCs w:val="21"/>
                      <w:lang w:eastAsia="zh-CN"/>
                    </w:rPr>
                  </w:pPr>
                  <w:r>
                    <w:rPr>
                      <w:rFonts w:ascii="Times New Roman" w:hAnsi="Times New Roman"/>
                      <w:color w:val="auto"/>
                      <w:sz w:val="21"/>
                      <w:szCs w:val="21"/>
                      <w:lang w:eastAsia="zh-CN"/>
                    </w:rPr>
                    <w:t>禁止新建、扩建法律法规和相关政策命令禁止的落后产能项目。禁止新建、扩建不符合国家产能置换要求的严重过剩产能行业的项目。禁止新建、扩建不符合要求的高耗能高排放项目。</w:t>
                  </w:r>
                </w:p>
              </w:tc>
              <w:tc>
                <w:tcPr>
                  <w:tcW w:w="1556" w:type="pct"/>
                  <w:vAlign w:val="center"/>
                </w:tcPr>
                <w:p>
                  <w:pPr>
                    <w:pStyle w:val="41"/>
                    <w:jc w:val="center"/>
                    <w:rPr>
                      <w:rFonts w:ascii="Times New Roman" w:hAnsi="Times New Roman"/>
                      <w:color w:val="auto"/>
                      <w:sz w:val="21"/>
                      <w:szCs w:val="21"/>
                      <w:lang w:eastAsia="zh-CN"/>
                    </w:rPr>
                  </w:pPr>
                  <w:r>
                    <w:rPr>
                      <w:rFonts w:ascii="Times New Roman" w:hAnsi="Times New Roman"/>
                      <w:color w:val="auto"/>
                      <w:sz w:val="21"/>
                      <w:szCs w:val="21"/>
                      <w:lang w:eastAsia="zh-CN"/>
                    </w:rPr>
                    <w:t>根据《产业结构调整指导目录（</w:t>
                  </w:r>
                  <w:r>
                    <w:rPr>
                      <w:rFonts w:hint="eastAsia" w:ascii="Times New Roman" w:hAnsi="Times New Roman"/>
                      <w:color w:val="auto"/>
                      <w:sz w:val="21"/>
                      <w:szCs w:val="21"/>
                      <w:lang w:eastAsia="zh-CN"/>
                    </w:rPr>
                    <w:t>2024</w:t>
                  </w:r>
                  <w:r>
                    <w:rPr>
                      <w:rFonts w:ascii="Times New Roman" w:hAnsi="Times New Roman"/>
                      <w:color w:val="auto"/>
                      <w:sz w:val="21"/>
                      <w:szCs w:val="21"/>
                      <w:lang w:eastAsia="zh-CN"/>
                    </w:rPr>
                    <w:t>年本）》的有关规定，本项目不属于政策命令禁止的落后产能项目。本项目不属于过剩产能行业，不属于高耗能高排放项目。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20" w:hRule="atLeast"/>
                <w:jc w:val="center"/>
              </w:trPr>
              <w:tc>
                <w:tcPr>
                  <w:tcW w:w="282" w:type="pct"/>
                  <w:tcBorders>
                    <w:bottom w:val="single" w:color="000000" w:sz="12" w:space="0"/>
                  </w:tcBorders>
                  <w:vAlign w:val="center"/>
                </w:tcPr>
                <w:p>
                  <w:pPr>
                    <w:jc w:val="center"/>
                    <w:rPr>
                      <w:color w:val="auto"/>
                    </w:rPr>
                  </w:pPr>
                  <w:r>
                    <w:rPr>
                      <w:color w:val="auto"/>
                    </w:rPr>
                    <w:t>12</w:t>
                  </w:r>
                </w:p>
              </w:tc>
              <w:tc>
                <w:tcPr>
                  <w:tcW w:w="3161" w:type="pct"/>
                  <w:tcBorders>
                    <w:bottom w:val="single" w:color="000000" w:sz="12" w:space="0"/>
                  </w:tcBorders>
                  <w:vAlign w:val="center"/>
                </w:tcPr>
                <w:p>
                  <w:pPr>
                    <w:pStyle w:val="41"/>
                    <w:jc w:val="center"/>
                    <w:rPr>
                      <w:rFonts w:ascii="Times New Roman" w:hAnsi="Times New Roman"/>
                      <w:color w:val="auto"/>
                      <w:sz w:val="21"/>
                      <w:szCs w:val="21"/>
                      <w:lang w:eastAsia="zh-CN"/>
                    </w:rPr>
                  </w:pPr>
                  <w:r>
                    <w:rPr>
                      <w:rFonts w:ascii="Times New Roman" w:hAnsi="Times New Roman"/>
                      <w:color w:val="auto"/>
                      <w:sz w:val="21"/>
                      <w:szCs w:val="21"/>
                      <w:lang w:eastAsia="zh-CN"/>
                    </w:rPr>
                    <w:t>法律法规及相关政策文件有更加严格规定的从其规定。</w:t>
                  </w:r>
                </w:p>
              </w:tc>
              <w:tc>
                <w:tcPr>
                  <w:tcW w:w="1556" w:type="pct"/>
                  <w:tcBorders>
                    <w:bottom w:val="single" w:color="000000" w:sz="12" w:space="0"/>
                  </w:tcBorders>
                  <w:vAlign w:val="center"/>
                </w:tcPr>
                <w:p>
                  <w:pPr>
                    <w:pStyle w:val="41"/>
                    <w:jc w:val="center"/>
                    <w:rPr>
                      <w:rFonts w:ascii="Times New Roman" w:hAnsi="Times New Roman"/>
                      <w:color w:val="auto"/>
                      <w:sz w:val="21"/>
                      <w:szCs w:val="21"/>
                      <w:lang w:eastAsia="zh-CN"/>
                    </w:rPr>
                  </w:pPr>
                  <w:r>
                    <w:rPr>
                      <w:rFonts w:ascii="Times New Roman" w:hAnsi="Times New Roman"/>
                      <w:color w:val="auto"/>
                      <w:sz w:val="21"/>
                      <w:szCs w:val="21"/>
                      <w:lang w:eastAsia="zh-CN"/>
                    </w:rPr>
                    <w:t>满足相关行业要求。</w:t>
                  </w:r>
                </w:p>
              </w:tc>
            </w:tr>
          </w:tbl>
          <w:p>
            <w:pPr>
              <w:spacing w:line="360" w:lineRule="auto"/>
              <w:ind w:firstLine="480" w:firstLineChars="200"/>
              <w:rPr>
                <w:color w:val="auto"/>
                <w:sz w:val="24"/>
              </w:rPr>
            </w:pPr>
            <w:r>
              <w:rPr>
                <w:color w:val="auto"/>
                <w:sz w:val="24"/>
              </w:rPr>
              <w:t>综上所述，项目满足《长江经济带发展负面清单指南（试行，2022年版）》所有条件，本项目不在该负面清单范围内。</w:t>
            </w:r>
          </w:p>
          <w:p>
            <w:pPr>
              <w:jc w:val="center"/>
              <w:rPr>
                <w:b/>
                <w:bCs/>
                <w:color w:val="auto"/>
              </w:rPr>
            </w:pPr>
            <w:r>
              <w:rPr>
                <w:rFonts w:hint="eastAsia"/>
                <w:b/>
                <w:bCs/>
                <w:color w:val="auto"/>
              </w:rPr>
              <w:t>表1-5</w:t>
            </w:r>
            <w:r>
              <w:rPr>
                <w:rFonts w:hint="eastAsia"/>
                <w:b/>
                <w:bCs/>
                <w:color w:val="auto"/>
                <w:lang w:val="en-US" w:eastAsia="zh-CN"/>
              </w:rPr>
              <w:t xml:space="preserve"> </w:t>
            </w:r>
            <w:r>
              <w:rPr>
                <w:rFonts w:hint="eastAsia"/>
                <w:b/>
                <w:bCs/>
                <w:color w:val="auto"/>
              </w:rPr>
              <w:t>与《江西省长江经济带发展负面清单实施细则（试行，2022年版）》相符性分析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551"/>
              <w:gridCol w:w="4459"/>
              <w:gridCol w:w="2265"/>
              <w:gridCol w:w="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11" w:hRule="atLeast"/>
                <w:jc w:val="center"/>
              </w:trPr>
              <w:tc>
                <w:tcPr>
                  <w:tcW w:w="352" w:type="pct"/>
                  <w:tcBorders>
                    <w:top w:val="single" w:color="auto" w:sz="12" w:space="0"/>
                    <w:bottom w:val="single" w:color="auto" w:sz="6" w:space="0"/>
                    <w:right w:val="single" w:color="auto" w:sz="6" w:space="0"/>
                  </w:tcBorders>
                  <w:vAlign w:val="center"/>
                </w:tcPr>
                <w:p>
                  <w:pPr>
                    <w:snapToGrid w:val="0"/>
                    <w:jc w:val="center"/>
                    <w:rPr>
                      <w:b/>
                      <w:bCs/>
                      <w:color w:val="auto"/>
                      <w:spacing w:val="2"/>
                      <w:szCs w:val="21"/>
                    </w:rPr>
                  </w:pPr>
                  <w:r>
                    <w:rPr>
                      <w:rFonts w:hint="eastAsia"/>
                      <w:b/>
                      <w:bCs/>
                      <w:color w:val="auto"/>
                      <w:spacing w:val="2"/>
                      <w:szCs w:val="21"/>
                    </w:rPr>
                    <w:t>序号</w:t>
                  </w:r>
                </w:p>
              </w:tc>
              <w:tc>
                <w:tcPr>
                  <w:tcW w:w="2846" w:type="pct"/>
                  <w:tcBorders>
                    <w:top w:val="single" w:color="auto" w:sz="12" w:space="0"/>
                    <w:left w:val="single" w:color="auto" w:sz="6" w:space="0"/>
                    <w:bottom w:val="single" w:color="auto" w:sz="6" w:space="0"/>
                    <w:right w:val="single" w:color="auto" w:sz="6" w:space="0"/>
                  </w:tcBorders>
                  <w:vAlign w:val="center"/>
                </w:tcPr>
                <w:p>
                  <w:pPr>
                    <w:snapToGrid w:val="0"/>
                    <w:jc w:val="center"/>
                    <w:rPr>
                      <w:b/>
                      <w:bCs/>
                      <w:color w:val="auto"/>
                      <w:spacing w:val="2"/>
                      <w:szCs w:val="21"/>
                    </w:rPr>
                  </w:pPr>
                  <w:r>
                    <w:rPr>
                      <w:rFonts w:hint="eastAsia"/>
                      <w:b/>
                      <w:bCs/>
                      <w:color w:val="auto"/>
                      <w:spacing w:val="2"/>
                      <w:szCs w:val="21"/>
                    </w:rPr>
                    <w:t>内容</w:t>
                  </w:r>
                </w:p>
              </w:tc>
              <w:tc>
                <w:tcPr>
                  <w:tcW w:w="1446" w:type="pct"/>
                  <w:tcBorders>
                    <w:top w:val="single" w:color="auto" w:sz="12" w:space="0"/>
                    <w:left w:val="single" w:color="auto" w:sz="6" w:space="0"/>
                    <w:bottom w:val="single" w:color="auto" w:sz="6" w:space="0"/>
                    <w:right w:val="single" w:color="auto" w:sz="6" w:space="0"/>
                  </w:tcBorders>
                  <w:vAlign w:val="center"/>
                </w:tcPr>
                <w:p>
                  <w:pPr>
                    <w:snapToGrid w:val="0"/>
                    <w:jc w:val="center"/>
                    <w:rPr>
                      <w:b/>
                      <w:bCs/>
                      <w:color w:val="auto"/>
                      <w:spacing w:val="2"/>
                      <w:szCs w:val="21"/>
                    </w:rPr>
                  </w:pPr>
                  <w:r>
                    <w:rPr>
                      <w:rFonts w:hint="eastAsia"/>
                      <w:b/>
                      <w:bCs/>
                      <w:color w:val="auto"/>
                      <w:spacing w:val="2"/>
                      <w:szCs w:val="21"/>
                    </w:rPr>
                    <w:t>实际情况</w:t>
                  </w:r>
                </w:p>
              </w:tc>
              <w:tc>
                <w:tcPr>
                  <w:tcW w:w="354" w:type="pct"/>
                  <w:tcBorders>
                    <w:top w:val="single" w:color="auto" w:sz="12" w:space="0"/>
                    <w:left w:val="single" w:color="auto" w:sz="6" w:space="0"/>
                    <w:bottom w:val="single" w:color="auto" w:sz="6" w:space="0"/>
                  </w:tcBorders>
                  <w:vAlign w:val="center"/>
                </w:tcPr>
                <w:p>
                  <w:pPr>
                    <w:snapToGrid w:val="0"/>
                    <w:jc w:val="center"/>
                    <w:rPr>
                      <w:b/>
                      <w:bCs/>
                      <w:color w:val="auto"/>
                      <w:spacing w:val="2"/>
                      <w:szCs w:val="21"/>
                    </w:rPr>
                  </w:pPr>
                  <w:r>
                    <w:rPr>
                      <w:rFonts w:hint="eastAsia"/>
                      <w:b/>
                      <w:bCs/>
                      <w:color w:val="auto"/>
                      <w:spacing w:val="2"/>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821"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禁止建设不符合国家和省级港口布局规划以及港口总体规划的码头项目。禁止建设不符合《长江干线过江通道布局规划》的过长江通道项目。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本项目为</w:t>
                  </w:r>
                  <w:r>
                    <w:rPr>
                      <w:rFonts w:hint="eastAsia"/>
                      <w:color w:val="auto"/>
                    </w:rPr>
                    <w:t>卫生院</w:t>
                  </w:r>
                  <w:r>
                    <w:rPr>
                      <w:rFonts w:hint="eastAsia"/>
                      <w:color w:val="auto"/>
                      <w:szCs w:val="21"/>
                    </w:rPr>
                    <w:t>项目，不属于码头项目</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3"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2</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禁止在自然保护区核心区、缓冲区的岸线和河段范围内投资建设旅游和生产经营项目。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项目不在自然保护区核心区、缓冲区的岸线和河段范围内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336"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3</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禁止在风景名胜区核心景区的岸线和河段范围内开展以下行为：</w:t>
                  </w:r>
                </w:p>
                <w:p>
                  <w:pPr>
                    <w:snapToGrid w:val="0"/>
                    <w:jc w:val="center"/>
                    <w:rPr>
                      <w:color w:val="auto"/>
                      <w:spacing w:val="2"/>
                      <w:szCs w:val="21"/>
                    </w:rPr>
                  </w:pPr>
                  <w:r>
                    <w:rPr>
                      <w:rFonts w:hint="eastAsia"/>
                      <w:color w:val="auto"/>
                      <w:spacing w:val="2"/>
                      <w:szCs w:val="21"/>
                    </w:rPr>
                    <w:t>（一）开山、釆石、开矿、开荒、修坟立碑等破坏景观、植被和地形地貌的活动。</w:t>
                  </w:r>
                </w:p>
                <w:p>
                  <w:pPr>
                    <w:snapToGrid w:val="0"/>
                    <w:jc w:val="center"/>
                    <w:rPr>
                      <w:color w:val="auto"/>
                      <w:spacing w:val="2"/>
                      <w:szCs w:val="21"/>
                    </w:rPr>
                  </w:pPr>
                  <w:r>
                    <w:rPr>
                      <w:rFonts w:hint="eastAsia"/>
                      <w:color w:val="auto"/>
                      <w:spacing w:val="2"/>
                      <w:szCs w:val="21"/>
                    </w:rPr>
                    <w:t>（二）修建储存爆炸性、易燃性、放射性、毒害性、腐蚀性物品的设施。</w:t>
                  </w:r>
                </w:p>
                <w:p>
                  <w:pPr>
                    <w:snapToGrid w:val="0"/>
                    <w:jc w:val="center"/>
                    <w:rPr>
                      <w:color w:val="auto"/>
                      <w:spacing w:val="2"/>
                      <w:szCs w:val="21"/>
                    </w:rPr>
                  </w:pPr>
                  <w:r>
                    <w:rPr>
                      <w:rFonts w:hint="eastAsia"/>
                      <w:color w:val="auto"/>
                      <w:spacing w:val="2"/>
                      <w:szCs w:val="21"/>
                    </w:rPr>
                    <w:t>（三）违反风景名胜区规划，建设与风景名胜资源保护无关的设施。</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建项目不在风景名胜区的岸线和河段范围内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103"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4</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禁止在饮用水水源一级保护区的岸线和河段范围内开展下列行为：</w:t>
                  </w:r>
                </w:p>
                <w:p>
                  <w:pPr>
                    <w:snapToGrid w:val="0"/>
                    <w:jc w:val="center"/>
                    <w:rPr>
                      <w:color w:val="auto"/>
                      <w:spacing w:val="2"/>
                      <w:szCs w:val="21"/>
                    </w:rPr>
                  </w:pPr>
                  <w:r>
                    <w:rPr>
                      <w:rFonts w:hint="eastAsia"/>
                      <w:color w:val="auto"/>
                      <w:spacing w:val="2"/>
                      <w:szCs w:val="21"/>
                    </w:rPr>
                    <w:t>（一）新建、改建、扩建与供水设施和保护水源无关的建设项目；已建成的与供水设施和保护水源无关的建设项目，由县级以上人民政府责令拆除或者关闭。</w:t>
                  </w:r>
                </w:p>
                <w:p>
                  <w:pPr>
                    <w:snapToGrid w:val="0"/>
                    <w:jc w:val="center"/>
                    <w:rPr>
                      <w:color w:val="auto"/>
                      <w:spacing w:val="2"/>
                      <w:szCs w:val="21"/>
                    </w:rPr>
                  </w:pPr>
                  <w:r>
                    <w:rPr>
                      <w:rFonts w:hint="eastAsia"/>
                      <w:color w:val="auto"/>
                      <w:spacing w:val="2"/>
                      <w:szCs w:val="21"/>
                    </w:rPr>
                    <w:t>（二）禁止在饮用水水源一级保护区内从事网箱养殖、旅游、游泳、垂钓或者其他可能污染饮用水水体的活动</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项目不在饮用水水源一级保护区的岸线和河段范围内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42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5</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禁止在饮用水水源二级保护区的岸线和河段范围内开展下列行为：</w:t>
                  </w:r>
                </w:p>
                <w:p>
                  <w:pPr>
                    <w:snapToGrid w:val="0"/>
                    <w:jc w:val="center"/>
                    <w:rPr>
                      <w:color w:val="auto"/>
                      <w:spacing w:val="2"/>
                      <w:szCs w:val="21"/>
                    </w:rPr>
                  </w:pPr>
                  <w:r>
                    <w:rPr>
                      <w:rFonts w:hint="eastAsia"/>
                      <w:color w:val="auto"/>
                      <w:spacing w:val="2"/>
                      <w:szCs w:val="21"/>
                    </w:rPr>
                    <w:t>（一）新建、改建、扩建排放污染物的建设项目；已建成的排放污染物的建设项目，由县级以上人民政府责令拆除或者关闭。</w:t>
                  </w:r>
                </w:p>
                <w:p>
                  <w:pPr>
                    <w:snapToGrid w:val="0"/>
                    <w:jc w:val="center"/>
                    <w:rPr>
                      <w:color w:val="auto"/>
                      <w:spacing w:val="2"/>
                      <w:szCs w:val="21"/>
                    </w:rPr>
                  </w:pPr>
                  <w:r>
                    <w:rPr>
                      <w:rFonts w:hint="eastAsia"/>
                      <w:color w:val="auto"/>
                      <w:spacing w:val="2"/>
                      <w:szCs w:val="21"/>
                    </w:rPr>
                    <w:t>（二）在饮用水水源二级保护区内从事网箱养殖、旅游等活动的，应当按照规定采取措施，防止污染饮用水水体。</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项目不在饮用水水源二级保护区的岸线和河段范围内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4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6</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禁止在水产种质资源保护区的岸线和河段范围内新建围湖（河）造田（地）等投资建设项目。</w:t>
                  </w:r>
                </w:p>
                <w:p>
                  <w:pPr>
                    <w:snapToGrid w:val="0"/>
                    <w:jc w:val="center"/>
                    <w:rPr>
                      <w:color w:val="auto"/>
                      <w:spacing w:val="2"/>
                      <w:szCs w:val="21"/>
                    </w:rPr>
                  </w:pPr>
                  <w:r>
                    <w:rPr>
                      <w:rFonts w:hint="eastAsia"/>
                      <w:color w:val="auto"/>
                      <w:spacing w:val="2"/>
                      <w:szCs w:val="21"/>
                    </w:rPr>
                    <w:t>单位和个人在水产种质资源保护区内从事水生生物资源调査、科学研究、教学实习、参观游览、影视拍摄等活动，应当遵守有关法律法规和保护区管理制度，不得损害水产种质资源及其生存环境.。</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项目不在水产种质资源保护区的岸线和河段范围内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7</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除国家规定的外，禁止在国家湿地公园的岸线和河段范围内挖沙、釆矿以及任何不符合主体功能定位的投资建设项目。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项目不在国家湿地公园的岸线和河段范围内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47"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8</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项目不在《长江岸线保护和开发利用总体规划》划定的岸线保护区和保留区内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47"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9</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禁止在《长江岸线保护和开发利用总体规划》划定的岸线保留区内投资建设除保障防洪安全、河势稳定、供水安全、航道稳定以及保护生态环境以外的项目。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项目不在《长江岸线保护和开发利用总体规划》划定的岸线保护区内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10</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禁止在《全国重要江河湖泊水功能区划》划定的河段及湖泊保护区、保留区内投资建设不利于水资源及自然生态保护的项目。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项目不在《全国重要江河湖泊水功能区划》划定的河段及湖泊保护区、保留区内</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11</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禁止未经许可在长江干支流及湖泊新设、改设或扩大排污口。</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项目不在长江干支流及湖泊设置排污口</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12</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禁止在长江干流江西段、鄱阳湖和《率先全面禁捕的长江流域水生生物保护区名录》中的水生生物保护区开展生产性捕捞。</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项目不开展</w:t>
                  </w:r>
                </w:p>
                <w:p>
                  <w:pPr>
                    <w:snapToGrid w:val="0"/>
                    <w:jc w:val="center"/>
                    <w:rPr>
                      <w:color w:val="auto"/>
                      <w:spacing w:val="2"/>
                      <w:szCs w:val="21"/>
                    </w:rPr>
                  </w:pPr>
                  <w:r>
                    <w:rPr>
                      <w:rFonts w:hint="eastAsia"/>
                      <w:color w:val="auto"/>
                      <w:spacing w:val="2"/>
                      <w:szCs w:val="21"/>
                    </w:rPr>
                    <w:t>生产性捕捞</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13</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禁止在长江干支流、重要湖泊岸线一公里范围内新建、扩建化工园区和化工项目。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项目不属于化工园区和化工项目</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14</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禁止在长江干流岸线三公里范围内和重要支流岸线一公里范围内新建、改建、扩建尾矿库、冶炼渣库和磷石膏库，以提升安全、生态环境保护水平为目的的改建除外。</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项目不属于尾矿库、冶炼渣库和磷石膏库</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15</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禁止在合规园区外新建、扩建钢铁、石化、化工、焦化、建材、有色、制浆造纸等高污染项目。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项目不属于高污染项目</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16</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禁止新建、扩建不符合国家石化、现代煤化工等产业布局规划的项目</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项目不属于国家石化、现代煤化工等产业布局规划的项目</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59"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17</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项目为</w:t>
                  </w:r>
                  <w:r>
                    <w:rPr>
                      <w:rFonts w:hint="eastAsia"/>
                      <w:color w:val="auto"/>
                    </w:rPr>
                    <w:t>卫生院</w:t>
                  </w:r>
                  <w:r>
                    <w:rPr>
                      <w:rFonts w:hint="eastAsia"/>
                      <w:color w:val="auto"/>
                      <w:szCs w:val="21"/>
                    </w:rPr>
                    <w:t>项目</w:t>
                  </w:r>
                  <w:r>
                    <w:rPr>
                      <w:rFonts w:hint="eastAsia"/>
                      <w:color w:val="auto"/>
                      <w:spacing w:val="2"/>
                      <w:szCs w:val="21"/>
                    </w:rPr>
                    <w:t>，不属于落后产能项目</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18</w:t>
                  </w:r>
                </w:p>
              </w:tc>
              <w:tc>
                <w:tcPr>
                  <w:tcW w:w="28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446" w:type="pct"/>
                  <w:tcBorders>
                    <w:top w:val="single" w:color="auto" w:sz="6" w:space="0"/>
                    <w:left w:val="single" w:color="auto" w:sz="6" w:space="0"/>
                    <w:bottom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项目为</w:t>
                  </w:r>
                  <w:r>
                    <w:rPr>
                      <w:rFonts w:hint="eastAsia"/>
                      <w:color w:val="auto"/>
                    </w:rPr>
                    <w:t>卫生院项目</w:t>
                  </w:r>
                  <w:r>
                    <w:rPr>
                      <w:rFonts w:hint="eastAsia"/>
                      <w:color w:val="auto"/>
                      <w:szCs w:val="21"/>
                    </w:rPr>
                    <w:t>，不属于严重过剩产能行业的项目</w:t>
                  </w:r>
                </w:p>
              </w:tc>
              <w:tc>
                <w:tcPr>
                  <w:tcW w:w="354" w:type="pct"/>
                  <w:tcBorders>
                    <w:top w:val="single" w:color="auto" w:sz="6" w:space="0"/>
                    <w:left w:val="single" w:color="auto" w:sz="6" w:space="0"/>
                    <w:bottom w:val="single" w:color="auto" w:sz="6" w:space="0"/>
                  </w:tcBorders>
                  <w:vAlign w:val="center"/>
                </w:tcPr>
                <w:p>
                  <w:pPr>
                    <w:snapToGrid w:val="0"/>
                    <w:jc w:val="center"/>
                    <w:rPr>
                      <w:color w:val="auto"/>
                      <w:spacing w:val="2"/>
                      <w:szCs w:val="21"/>
                    </w:rPr>
                  </w:pPr>
                  <w:r>
                    <w:rPr>
                      <w:rFonts w:hint="eastAsia"/>
                      <w:color w:val="auto"/>
                      <w:spacing w:val="2"/>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94" w:hRule="atLeast"/>
                <w:jc w:val="center"/>
              </w:trPr>
              <w:tc>
                <w:tcPr>
                  <w:tcW w:w="352" w:type="pct"/>
                  <w:tcBorders>
                    <w:top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19</w:t>
                  </w:r>
                </w:p>
              </w:tc>
              <w:tc>
                <w:tcPr>
                  <w:tcW w:w="2846" w:type="pct"/>
                  <w:tcBorders>
                    <w:top w:val="single" w:color="auto" w:sz="6" w:space="0"/>
                    <w:left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446" w:type="pct"/>
                  <w:tcBorders>
                    <w:top w:val="single" w:color="auto" w:sz="6" w:space="0"/>
                    <w:left w:val="single" w:color="auto" w:sz="6" w:space="0"/>
                    <w:right w:val="single" w:color="auto" w:sz="6" w:space="0"/>
                  </w:tcBorders>
                  <w:vAlign w:val="center"/>
                </w:tcPr>
                <w:p>
                  <w:pPr>
                    <w:snapToGrid w:val="0"/>
                    <w:jc w:val="center"/>
                    <w:rPr>
                      <w:color w:val="auto"/>
                      <w:spacing w:val="2"/>
                      <w:szCs w:val="21"/>
                    </w:rPr>
                  </w:pPr>
                  <w:r>
                    <w:rPr>
                      <w:rFonts w:hint="eastAsia"/>
                      <w:color w:val="auto"/>
                      <w:spacing w:val="2"/>
                      <w:szCs w:val="21"/>
                    </w:rPr>
                    <w:t>项目为</w:t>
                  </w:r>
                  <w:r>
                    <w:rPr>
                      <w:rFonts w:hint="eastAsia"/>
                      <w:color w:val="auto"/>
                    </w:rPr>
                    <w:t>卫生院</w:t>
                  </w:r>
                  <w:r>
                    <w:rPr>
                      <w:rFonts w:hint="eastAsia"/>
                      <w:color w:val="auto"/>
                      <w:szCs w:val="21"/>
                    </w:rPr>
                    <w:t>项目</w:t>
                  </w:r>
                  <w:r>
                    <w:rPr>
                      <w:rFonts w:hint="eastAsia"/>
                      <w:color w:val="auto"/>
                      <w:spacing w:val="2"/>
                      <w:szCs w:val="21"/>
                    </w:rPr>
                    <w:t>，不属于高耗能高排放项目</w:t>
                  </w:r>
                </w:p>
              </w:tc>
              <w:tc>
                <w:tcPr>
                  <w:tcW w:w="354" w:type="pct"/>
                  <w:tcBorders>
                    <w:top w:val="single" w:color="auto" w:sz="6" w:space="0"/>
                    <w:left w:val="single" w:color="auto" w:sz="6" w:space="0"/>
                  </w:tcBorders>
                  <w:vAlign w:val="center"/>
                </w:tcPr>
                <w:p>
                  <w:pPr>
                    <w:snapToGrid w:val="0"/>
                    <w:jc w:val="center"/>
                    <w:rPr>
                      <w:color w:val="auto"/>
                      <w:spacing w:val="2"/>
                      <w:szCs w:val="21"/>
                    </w:rPr>
                  </w:pPr>
                  <w:r>
                    <w:rPr>
                      <w:rFonts w:hint="eastAsia"/>
                      <w:color w:val="auto"/>
                      <w:spacing w:val="2"/>
                      <w:szCs w:val="21"/>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szCs w:val="21"/>
              </w:rPr>
            </w:pPr>
            <w:r>
              <w:rPr>
                <w:rFonts w:hint="eastAsia"/>
                <w:color w:val="auto"/>
                <w:sz w:val="24"/>
                <w:szCs w:val="21"/>
              </w:rPr>
              <w:t>综上所述，本项目符合《江西省长江经济带发展负面清单实施细则（试行，2022年版）》（赣长江办〔2022〕7号）相关要求。</w:t>
            </w:r>
          </w:p>
          <w:p>
            <w:pPr>
              <w:keepNext w:val="0"/>
              <w:keepLines w:val="0"/>
              <w:pageBreakBefore w:val="0"/>
              <w:widowControl w:val="0"/>
              <w:kinsoku/>
              <w:wordWrap/>
              <w:overflowPunct/>
              <w:topLinePunct w:val="0"/>
              <w:bidi w:val="0"/>
              <w:adjustRightInd w:val="0"/>
              <w:snapToGrid/>
              <w:spacing w:line="360" w:lineRule="auto"/>
              <w:ind w:firstLine="481" w:firstLineChars="200"/>
              <w:textAlignment w:val="auto"/>
              <w:rPr>
                <w:snapToGrid w:val="0"/>
                <w:color w:val="auto"/>
                <w:kern w:val="32"/>
                <w:sz w:val="24"/>
              </w:rPr>
            </w:pPr>
            <w:r>
              <w:rPr>
                <w:rFonts w:hint="eastAsia"/>
                <w:b/>
                <w:bCs/>
                <w:color w:val="auto"/>
                <w:sz w:val="24"/>
              </w:rPr>
              <w:t>4、</w:t>
            </w:r>
            <w:r>
              <w:rPr>
                <w:rFonts w:hint="eastAsia"/>
                <w:b/>
                <w:color w:val="auto"/>
                <w:kern w:val="0"/>
                <w:sz w:val="24"/>
              </w:rPr>
              <w:t>与《鄱阳湖生态经济区环境保护条例》（2019年修正）的相符性分析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kern w:val="0"/>
                <w:sz w:val="24"/>
              </w:rPr>
            </w:pPr>
            <w:r>
              <w:rPr>
                <w:rFonts w:hint="eastAsia"/>
                <w:color w:val="auto"/>
                <w:kern w:val="0"/>
                <w:sz w:val="24"/>
              </w:rPr>
              <w:t>本项目位于九江市庐山市，属于</w:t>
            </w:r>
            <w:r>
              <w:rPr>
                <w:color w:val="auto"/>
                <w:kern w:val="0"/>
                <w:sz w:val="24"/>
              </w:rPr>
              <w:t>鄱阳湖高效集约发展区</w:t>
            </w:r>
            <w:r>
              <w:rPr>
                <w:rFonts w:hint="eastAsia"/>
                <w:color w:val="auto"/>
                <w:kern w:val="0"/>
                <w:sz w:val="24"/>
              </w:rPr>
              <w:t>。</w:t>
            </w:r>
            <w:r>
              <w:rPr>
                <w:rFonts w:hint="eastAsia" w:cs="宋体"/>
                <w:color w:val="auto"/>
                <w:sz w:val="24"/>
              </w:rPr>
              <w:t>鄱阳湖生态经济区分为湖体核心保护区、湖滨控制开发带和高效集约发展区；湖体核心保护区范围为鄱阳湖水体和湿地，湖滨控制开发带范围为沿湖岸线邻水区域。湖滨控制开发带，禁止新建、改建、扩建化学制浆造纸、印染、制革、电镀等排放含磷、氮、重金属等污染物的企业和项目。高效集约发展区范围为湖体核心保护区和湖滨控制开发带以外的鄱阳湖生态经济区内其他区域。</w:t>
            </w:r>
            <w:r>
              <w:rPr>
                <w:rFonts w:hint="eastAsia"/>
                <w:color w:val="auto"/>
                <w:kern w:val="0"/>
                <w:sz w:val="24"/>
              </w:rPr>
              <w:t>根据《</w:t>
            </w:r>
            <w:r>
              <w:rPr>
                <w:color w:val="auto"/>
                <w:kern w:val="0"/>
                <w:sz w:val="24"/>
              </w:rPr>
              <w:t>鄱阳湖生态经济区环境保护条例</w:t>
            </w:r>
            <w:r>
              <w:rPr>
                <w:rFonts w:hint="eastAsia"/>
                <w:color w:val="auto"/>
                <w:kern w:val="0"/>
                <w:sz w:val="24"/>
              </w:rPr>
              <w:t>》：“在高效集约发展区内，县级以上人民政府应当根据鄱阳湖生态经济区规划和国家的产业政策，将节能、节水、节地、节材、资源综合利用、可再生能源、可循环利用项目列为重点投资领域；鼓励发展低能耗、高附加值的高新技术产业，控制高耗能、高污染、资源性项目；鼓励对废水、废气、固体废弃物等的循环利用，推进传统产业升级改造，优化产业结构。”、“新建工业项目应当进入工业园区。工业园区应当加强环境保护设施建设及绿化工程建设。”、“</w:t>
            </w:r>
            <w:r>
              <w:rPr>
                <w:color w:val="auto"/>
                <w:kern w:val="0"/>
                <w:sz w:val="24"/>
              </w:rPr>
              <w:t>建设项目需要配套建设的环境保护设施，必须与主体工程同时设计、同时施工、同时投入使用。</w:t>
            </w:r>
            <w:r>
              <w:rPr>
                <w:rFonts w:hint="eastAsia"/>
                <w:color w:val="auto"/>
                <w:kern w:val="0"/>
                <w:sz w:val="24"/>
              </w:rPr>
              <w:t>”</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sz w:val="24"/>
                <w:szCs w:val="22"/>
              </w:rPr>
            </w:pPr>
            <w:r>
              <w:rPr>
                <w:rFonts w:hint="eastAsia" w:cs="宋体"/>
                <w:color w:val="auto"/>
                <w:sz w:val="24"/>
              </w:rPr>
              <w:t>本项目选址位于</w:t>
            </w:r>
            <w:r>
              <w:rPr>
                <w:rFonts w:hint="eastAsia" w:cs="宋体"/>
                <w:color w:val="auto"/>
                <w:kern w:val="18"/>
                <w:sz w:val="24"/>
              </w:rPr>
              <w:t>庐山市</w:t>
            </w:r>
            <w:r>
              <w:rPr>
                <w:rFonts w:hint="eastAsia"/>
                <w:color w:val="auto"/>
                <w:sz w:val="24"/>
              </w:rPr>
              <w:t>温泉镇212省道（环南山公路老隘口村旁）</w:t>
            </w:r>
            <w:r>
              <w:rPr>
                <w:rFonts w:hint="eastAsia" w:cs="宋体"/>
                <w:color w:val="auto"/>
                <w:sz w:val="24"/>
              </w:rPr>
              <w:t>，</w:t>
            </w:r>
            <w:r>
              <w:rPr>
                <w:rFonts w:hint="eastAsia"/>
                <w:color w:val="auto"/>
                <w:sz w:val="24"/>
                <w:szCs w:val="22"/>
              </w:rPr>
              <w:t>不属于鄱阳湖生态经济区中划分的湖体核心保护区、滨湖控制开发带，为鄱阳湖生态经济区中划分的高效集约发展区。</w:t>
            </w:r>
            <w:r>
              <w:rPr>
                <w:rFonts w:hint="eastAsia"/>
                <w:color w:val="auto"/>
                <w:kern w:val="0"/>
                <w:sz w:val="24"/>
              </w:rPr>
              <w:t>不属于高耗能、高污染、资源性项目，</w:t>
            </w:r>
            <w:r>
              <w:rPr>
                <w:rFonts w:hint="eastAsia"/>
                <w:color w:val="auto"/>
                <w:sz w:val="24"/>
                <w:szCs w:val="22"/>
              </w:rPr>
              <w:t>建设及运营期产生的污染物经过报告提出的环保措施治理后，均能做到达标排放，对周边环境的影响不大，故本项目符合《鄱阳湖生态经济区环境保护条例》中的相关要求。</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b/>
                <w:bCs/>
                <w:color w:val="auto"/>
                <w:sz w:val="24"/>
              </w:rPr>
              <w:t>5、与《中华人民共和国长江保护法》相符性分析</w:t>
            </w:r>
          </w:p>
          <w:p>
            <w:pPr>
              <w:keepNext w:val="0"/>
              <w:keepLines w:val="0"/>
              <w:pageBreakBefore w:val="0"/>
              <w:widowControl w:val="0"/>
              <w:kinsoku/>
              <w:wordWrap/>
              <w:overflowPunct/>
              <w:topLinePunct w:val="0"/>
              <w:autoSpaceDE/>
              <w:autoSpaceDN/>
              <w:bidi w:val="0"/>
              <w:adjustRightInd w:val="0"/>
              <w:snapToGrid/>
              <w:jc w:val="center"/>
              <w:textAlignment w:val="auto"/>
              <w:rPr>
                <w:rFonts w:cs="宋体"/>
                <w:b/>
                <w:bCs/>
                <w:color w:val="auto"/>
                <w:szCs w:val="21"/>
              </w:rPr>
            </w:pPr>
            <w:r>
              <w:rPr>
                <w:rFonts w:cs="宋体"/>
                <w:b/>
                <w:bCs/>
                <w:color w:val="auto"/>
                <w:szCs w:val="21"/>
              </w:rPr>
              <w:t>表1-</w:t>
            </w:r>
            <w:r>
              <w:rPr>
                <w:rFonts w:hint="eastAsia" w:cs="宋体"/>
                <w:b/>
                <w:bCs/>
                <w:color w:val="auto"/>
                <w:szCs w:val="21"/>
              </w:rPr>
              <w:t>6</w:t>
            </w:r>
            <w:r>
              <w:rPr>
                <w:rFonts w:hint="eastAsia" w:cs="宋体"/>
                <w:b/>
                <w:bCs/>
                <w:color w:val="auto"/>
                <w:szCs w:val="21"/>
                <w:lang w:val="en-US" w:eastAsia="zh-CN"/>
              </w:rPr>
              <w:t xml:space="preserve"> </w:t>
            </w:r>
            <w:r>
              <w:rPr>
                <w:rFonts w:cs="宋体"/>
                <w:b/>
                <w:bCs/>
                <w:color w:val="auto"/>
                <w:szCs w:val="21"/>
              </w:rPr>
              <w:t>与《长江保护法》相符性分析一览表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742"/>
              <w:gridCol w:w="4642"/>
              <w:gridCol w:w="1483"/>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54" w:hRule="atLeast"/>
                <w:jc w:val="center"/>
              </w:trPr>
              <w:tc>
                <w:tcPr>
                  <w:tcW w:w="4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重点</w:t>
                  </w: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相关要求</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项目情况</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08" w:hRule="atLeast"/>
                <w:jc w:val="center"/>
              </w:trPr>
              <w:tc>
                <w:tcPr>
                  <w:tcW w:w="4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Style w:val="26"/>
                      <w:color w:val="auto"/>
                    </w:rPr>
                    <w:t>树立绿色发展规矩</w:t>
                  </w: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一是确立绿色发展理念。《长江法》在第三条中明确要求，长江流域经济社会发展，应当坚持生态优先、绿色发展，共抓大保护、不搞大开发；长江保护应当坚持统筹协调、科学规划、创新驱动、系统治理。将“共抓大保护、不搞大开发”写入法律，成为长江流域各地区经济发展必须共同遵守的法律制度。</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建设单位遵守环保相关法律法规</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013" w:hRule="atLeast"/>
                <w:jc w:val="center"/>
              </w:trPr>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二是统筹绿色发展规划。《长江法》第十八条明确要求，国务院发展改革部门会同国务院有关部门编制长江流域发展规划，科学统筹长江流域上下游、左右岸、干支流生态环境保护和绿色发展，报国务院批准后实施。并在第二十二条中明确要求，长江流域产业结构和布局应当与长江流域生态系统和资源环境承载能力相适应；禁止在长江流域重点生态功能区布局对生态系统有严重影响的产业；禁止重污染企业和项目向长江中上游转移。</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本项目为卫生院项目，</w:t>
                  </w:r>
                  <w:r>
                    <w:rPr>
                      <w:color w:val="auto"/>
                    </w:rPr>
                    <w:t>不属于重污染企业</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三是制定绿色发展红线。《长江法》第二十六条明确要求，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本项目不属于化工项目、无尾矿库</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256" w:hRule="atLeast"/>
                <w:jc w:val="center"/>
              </w:trPr>
              <w:tc>
                <w:tcPr>
                  <w:tcW w:w="4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rStyle w:val="26"/>
                      <w:color w:val="auto"/>
                    </w:rPr>
                    <w:t>完善污染防治措施</w:t>
                  </w: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控制总磷排放总量。第四十六条明确要求长江流域省级政府，要制定本行政区域的总磷污染控制方案，并组织实施。对磷矿、磷肥生产集中的长江干支流，有关省级人民政府应当制定更加严格的总磷排放管控要求，有效控制总磷排放总量；磷矿开采加工、磷肥和含磷农药制造等企业，应当按照排污许可要求，采取有效措施控制总磷排放浓度和排放总量；对排污口和周边环境进行总磷监测，依法公开监测信息。</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本项目</w:t>
                  </w:r>
                  <w:r>
                    <w:rPr>
                      <w:rFonts w:hint="eastAsia"/>
                      <w:color w:val="auto"/>
                    </w:rPr>
                    <w:t>废水排放符合要求</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844" w:hRule="atLeast"/>
                <w:jc w:val="center"/>
              </w:trPr>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加强对固废的监管。第四十九条明确禁止在长江流域河湖管理范围内倾倒、填埋、堆放、弃置、处理固体废物，并要求长江流域县级以上地方人民政府应当加强对固体废物非法转移和倾倒的联防联控。</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本项目固体废物妥善处理，</w:t>
                  </w:r>
                  <w:r>
                    <w:rPr>
                      <w:rFonts w:hint="eastAsia"/>
                      <w:color w:val="auto"/>
                    </w:rPr>
                    <w:t>定期外运</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7" w:hRule="atLeast"/>
                <w:jc w:val="center"/>
              </w:trPr>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开展地下水重点污染源和环境风险隐患调查评估。第五十条要求长江流域县级以上地方人民政府，应当组织对沿河湖垃圾填埋场、加油站、矿山、尾矿库、危险废物处置场、化工园区和化工项目等地下水重点污染源及周边地下水环境风险隐患开展调查评估，并采取相应风险防范和整治措施。</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本项目属于</w:t>
                  </w:r>
                  <w:r>
                    <w:rPr>
                      <w:rFonts w:hint="eastAsia"/>
                      <w:color w:val="auto"/>
                    </w:rPr>
                    <w:t>卫生院项目</w:t>
                  </w:r>
                  <w:r>
                    <w:rPr>
                      <w:color w:val="auto"/>
                    </w:rPr>
                    <w:t>，对地下水影响不大</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185" w:hRule="atLeast"/>
                <w:jc w:val="center"/>
              </w:trPr>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严格危化品运输的管控。第五十一条明确禁止在长江流域水上运输剧毒化学品和国家规定禁止通过内河运输的其他危险化学品，要求长江流域县级以上地方政府交通运输主管部门会同本级政府有关部门，加强对长江流域危险化学品运输的管控；并授权国务院交通运输主管部门会同国务院有关部门，制定建立长江流域危险货物运输船舶污染责任保险与财务担保相结合机制。</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本项目</w:t>
                  </w:r>
                  <w:r>
                    <w:rPr>
                      <w:rFonts w:hint="eastAsia"/>
                      <w:color w:val="auto"/>
                    </w:rPr>
                    <w:t>符合要求</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p>
              </w:tc>
              <w:tc>
                <w:tcPr>
                  <w:tcW w:w="2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加快搬迁改造重点地区危化品企业。第六十六条要求长江流域县级以上地方政府，应当加快重点地区危险化学品生产企业搬迁改造，推动钢铁、石油、化工、有色金属、建材、船舶等产业升级改造，推动造纸、制革、电镀、印染、有色金属、农药、氮肥、焦化、原料药制造等企业实施清洁化改造。</w:t>
                  </w:r>
                </w:p>
              </w:tc>
              <w:tc>
                <w:tcPr>
                  <w:tcW w:w="9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本项目不属于重点地区危化品企业</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符合</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综上所述，本项目的建设符合《中华人民共和国长江保护法》的相关规定。</w:t>
            </w:r>
          </w:p>
          <w:p>
            <w:pPr>
              <w:spacing w:line="360" w:lineRule="auto"/>
              <w:ind w:firstLine="481" w:firstLineChars="200"/>
              <w:rPr>
                <w:b/>
                <w:bCs/>
                <w:color w:val="auto"/>
                <w:sz w:val="24"/>
              </w:rPr>
            </w:pPr>
            <w:r>
              <w:rPr>
                <w:b/>
                <w:bCs/>
                <w:color w:val="auto"/>
                <w:sz w:val="24"/>
              </w:rPr>
              <w:t>6、</w:t>
            </w:r>
            <w:r>
              <w:rPr>
                <w:rFonts w:hint="eastAsia"/>
                <w:b/>
                <w:bCs/>
                <w:color w:val="auto"/>
                <w:sz w:val="24"/>
              </w:rPr>
              <w:t>与《长江经济带生态环境保护规划》相符性分析</w:t>
            </w:r>
          </w:p>
          <w:p>
            <w:pPr>
              <w:keepNext w:val="0"/>
              <w:keepLines w:val="0"/>
              <w:pageBreakBefore w:val="0"/>
              <w:widowControl w:val="0"/>
              <w:kinsoku/>
              <w:wordWrap/>
              <w:overflowPunct/>
              <w:topLinePunct w:val="0"/>
              <w:autoSpaceDE w:val="0"/>
              <w:autoSpaceDN w:val="0"/>
              <w:bidi w:val="0"/>
              <w:adjustRightInd w:val="0"/>
              <w:snapToGrid/>
              <w:jc w:val="center"/>
              <w:textAlignment w:val="auto"/>
              <w:rPr>
                <w:b/>
                <w:bCs/>
                <w:color w:val="auto"/>
                <w:kern w:val="0"/>
                <w:szCs w:val="21"/>
              </w:rPr>
            </w:pPr>
            <w:r>
              <w:rPr>
                <w:rFonts w:hint="eastAsia"/>
                <w:b/>
                <w:bCs/>
                <w:color w:val="auto"/>
                <w:kern w:val="0"/>
                <w:szCs w:val="21"/>
              </w:rPr>
              <w:t>表1</w:t>
            </w:r>
            <w:r>
              <w:rPr>
                <w:b/>
                <w:bCs/>
                <w:color w:val="auto"/>
                <w:kern w:val="0"/>
                <w:szCs w:val="21"/>
              </w:rPr>
              <w:t>-</w:t>
            </w:r>
            <w:r>
              <w:rPr>
                <w:rFonts w:hint="eastAsia"/>
                <w:b/>
                <w:bCs/>
                <w:color w:val="auto"/>
                <w:kern w:val="0"/>
                <w:szCs w:val="21"/>
              </w:rPr>
              <w:t>7</w:t>
            </w:r>
            <w:r>
              <w:rPr>
                <w:rFonts w:hint="eastAsia"/>
                <w:b/>
                <w:bCs/>
                <w:color w:val="auto"/>
                <w:kern w:val="0"/>
                <w:szCs w:val="21"/>
                <w:lang w:val="en-US" w:eastAsia="zh-CN"/>
              </w:rPr>
              <w:t xml:space="preserve"> </w:t>
            </w:r>
            <w:r>
              <w:rPr>
                <w:rFonts w:hint="eastAsia"/>
                <w:b/>
                <w:bCs/>
                <w:color w:val="auto"/>
                <w:kern w:val="0"/>
                <w:szCs w:val="21"/>
              </w:rPr>
              <w:t>与《长江经济带生态环境保护规划》相符性分析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1070"/>
              <w:gridCol w:w="4541"/>
              <w:gridCol w:w="1364"/>
              <w:gridCol w:w="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trPr>
              <w:tc>
                <w:tcPr>
                  <w:tcW w:w="1070"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b/>
                      <w:bCs/>
                      <w:color w:val="auto"/>
                      <w:szCs w:val="21"/>
                    </w:rPr>
                  </w:pPr>
                  <w:r>
                    <w:rPr>
                      <w:b/>
                      <w:bCs/>
                      <w:color w:val="auto"/>
                      <w:szCs w:val="21"/>
                    </w:rPr>
                    <w:t>条例名称</w:t>
                  </w:r>
                </w:p>
              </w:tc>
              <w:tc>
                <w:tcPr>
                  <w:tcW w:w="4541"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b/>
                      <w:bCs/>
                      <w:color w:val="auto"/>
                      <w:szCs w:val="21"/>
                    </w:rPr>
                  </w:pPr>
                  <w:r>
                    <w:rPr>
                      <w:b/>
                      <w:bCs/>
                      <w:color w:val="auto"/>
                      <w:szCs w:val="21"/>
                    </w:rPr>
                    <w:t>相关要求</w:t>
                  </w:r>
                </w:p>
              </w:tc>
              <w:tc>
                <w:tcPr>
                  <w:tcW w:w="1364"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b/>
                      <w:bCs/>
                      <w:color w:val="auto"/>
                      <w:szCs w:val="21"/>
                    </w:rPr>
                  </w:pPr>
                  <w:r>
                    <w:rPr>
                      <w:b/>
                      <w:bCs/>
                      <w:color w:val="auto"/>
                      <w:szCs w:val="21"/>
                    </w:rPr>
                    <w:t>项目情况</w:t>
                  </w:r>
                </w:p>
              </w:tc>
              <w:tc>
                <w:tcPr>
                  <w:tcW w:w="855"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b/>
                      <w:bCs/>
                      <w:color w:val="auto"/>
                      <w:szCs w:val="21"/>
                    </w:rPr>
                  </w:pPr>
                  <w:r>
                    <w:rPr>
                      <w:b/>
                      <w:bCs/>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trPr>
              <w:tc>
                <w:tcPr>
                  <w:tcW w:w="1070" w:type="dxa"/>
                  <w:vMerge w:val="restart"/>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《长江经济带生态环境保护规划》（环规财〔2017〕88号）</w:t>
                  </w:r>
                </w:p>
              </w:tc>
              <w:tc>
                <w:tcPr>
                  <w:tcW w:w="4541"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分区保护重点：中游区包括江西、湖北、湖南等省，区域湖泊、湿地生态功能退化，江湖关系复杂，沿江重化工高密度布局，污染重、风险隐患大，部分地区总磷、重金属污染较重。要加强丹江口库区及上游地区、湘资沅中游、赣江中上游等区域的水土流失治理与生态修复，重点协调江湖关系，保护水生生态系统，维护生物多样性，恢复沿江沿岸湿地，确保水质安全，优化和规范沿江产业发展，管控土壤环境风险，引导湖北磷矿、湖南有色金属、江西稀土等资源合理开发。</w:t>
                  </w:r>
                </w:p>
              </w:tc>
              <w:tc>
                <w:tcPr>
                  <w:tcW w:w="1364"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本项目位于江西省九江市</w:t>
                  </w:r>
                  <w:r>
                    <w:rPr>
                      <w:rFonts w:hint="eastAsia"/>
                      <w:color w:val="auto"/>
                      <w:szCs w:val="21"/>
                    </w:rPr>
                    <w:t>庐山市温泉镇</w:t>
                  </w:r>
                  <w:r>
                    <w:rPr>
                      <w:color w:val="auto"/>
                      <w:szCs w:val="21"/>
                    </w:rPr>
                    <w:t>，不属于沿江重化工行业</w:t>
                  </w:r>
                </w:p>
              </w:tc>
              <w:tc>
                <w:tcPr>
                  <w:tcW w:w="855"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trPr>
              <w:tc>
                <w:tcPr>
                  <w:tcW w:w="1070" w:type="dxa"/>
                  <w:vMerge w:val="continue"/>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p>
              </w:tc>
              <w:tc>
                <w:tcPr>
                  <w:tcW w:w="4541"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严格控制高耗水行业发展。以供给侧结构性改革为契机，倒逼钢铁、造纸、纺织、火电等高耗水行业化过剩产能，严禁新增产能。加强高耗水行业用水定额管理，严格控制高耗水项目建设。限制上海、马鞍山、南京等地钢铁行业，杭州、成都、南昌等地造纸行业，宁波、苏州等地纺织行业，铜陵、淮南、武汉、黄石、六盘水、遵义等地区火电行业规模。严格控制上海、南京、武汉、九江等地区的老石化基地以及岳阳化工产业园、淮北煤化工产业园的工业用水总量。鼓励沿海城市在电力、化工、石化等行业直接利用海水作为循环冷却水。</w:t>
                  </w:r>
                </w:p>
              </w:tc>
              <w:tc>
                <w:tcPr>
                  <w:tcW w:w="1364"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本项目位于江西省九江市</w:t>
                  </w:r>
                  <w:r>
                    <w:rPr>
                      <w:rFonts w:hint="eastAsia"/>
                      <w:color w:val="auto"/>
                      <w:szCs w:val="21"/>
                    </w:rPr>
                    <w:t>庐山市温泉镇</w:t>
                  </w:r>
                  <w:r>
                    <w:rPr>
                      <w:color w:val="auto"/>
                      <w:szCs w:val="21"/>
                    </w:rPr>
                    <w:t>，项目不属于高耗水行业</w:t>
                  </w:r>
                </w:p>
              </w:tc>
              <w:tc>
                <w:tcPr>
                  <w:tcW w:w="855"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trPr>
              <w:tc>
                <w:tcPr>
                  <w:tcW w:w="1070" w:type="dxa"/>
                  <w:vMerge w:val="continue"/>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p>
              </w:tc>
              <w:tc>
                <w:tcPr>
                  <w:tcW w:w="4541"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严守生态保护红线。要将生态保护红线作为空间规划编制的重要基础，相关规划要符合生态保护红线空间管控要求，不符合的要及时进行调整。生态保护红线原则上按禁止开发区域的要求进行管理，严禁不符合主体功能定位的各类开发活动，严禁任意改变用途。对国家重大战略资源勘查，在不影响主体功能定位的前提下，经国务院有关部门批准后予以安排。对生态保护红线保护成效进行考核，结果纳入生态文明建设目标评价考核体系，作为党政领导班子和领导干部综合评价及责任追究、离任审计的重要参考。建立生态保护红线监管平台，加强监测数据集成分析与综合应用，强化生态状况监测，实时监控人类干扰活动、生态系统状况与服务功能变化，预警生态风险。</w:t>
                  </w:r>
                </w:p>
              </w:tc>
              <w:tc>
                <w:tcPr>
                  <w:tcW w:w="1364"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本项目不位于划定的生态红线范围内</w:t>
                  </w:r>
                </w:p>
              </w:tc>
              <w:tc>
                <w:tcPr>
                  <w:tcW w:w="855"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trPr>
              <w:tc>
                <w:tcPr>
                  <w:tcW w:w="1070" w:type="dxa"/>
                  <w:vMerge w:val="continue"/>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p>
              </w:tc>
              <w:tc>
                <w:tcPr>
                  <w:tcW w:w="4541"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坚守环境质量底线，推进流域水污染统防统治：建立水环境质量底线管理制度，坚持点源、面源和流动源综合防治策略，突出抓好良好水体保护和严重污染水体治理，强化总磷污染控制，解决长江经济带突出水环境问题，切实维护和改善长江水质。</w:t>
                  </w:r>
                </w:p>
              </w:tc>
              <w:tc>
                <w:tcPr>
                  <w:tcW w:w="1364"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rFonts w:hint="eastAsia"/>
                      <w:color w:val="auto"/>
                      <w:szCs w:val="21"/>
                    </w:rPr>
                    <w:t>本项目污废水经院内污水处理站处理后，通过市政污水管网排入温泉污水处理厂进一步处理后排放</w:t>
                  </w:r>
                </w:p>
              </w:tc>
              <w:tc>
                <w:tcPr>
                  <w:tcW w:w="855" w:type="dxa"/>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color w:val="auto"/>
                      <w:szCs w:val="21"/>
                    </w:rPr>
                  </w:pPr>
                  <w:r>
                    <w:rPr>
                      <w:color w:val="auto"/>
                      <w:szCs w:val="21"/>
                    </w:rPr>
                    <w:t>符合</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rFonts w:hint="eastAsia"/>
                <w:color w:val="auto"/>
                <w:kern w:val="0"/>
                <w:sz w:val="24"/>
              </w:rPr>
              <w:t>综上，拟建项目符合《长江经济带生态环境保护规划》（环规财[2017]88号）的相要关求。</w:t>
            </w:r>
          </w:p>
          <w:p>
            <w:pPr>
              <w:keepNext w:val="0"/>
              <w:keepLines w:val="0"/>
              <w:pageBreakBefore w:val="0"/>
              <w:widowControl w:val="0"/>
              <w:kinsoku/>
              <w:wordWrap/>
              <w:overflowPunct/>
              <w:topLinePunct w:val="0"/>
              <w:bidi w:val="0"/>
              <w:adjustRightInd w:val="0"/>
              <w:snapToGrid/>
              <w:spacing w:line="360" w:lineRule="auto"/>
              <w:ind w:firstLine="481" w:firstLineChars="200"/>
              <w:textAlignment w:val="auto"/>
              <w:rPr>
                <w:b/>
                <w:bCs/>
                <w:color w:val="auto"/>
                <w:sz w:val="24"/>
              </w:rPr>
            </w:pPr>
            <w:r>
              <w:rPr>
                <w:b/>
                <w:bCs/>
                <w:color w:val="auto"/>
                <w:sz w:val="24"/>
              </w:rPr>
              <w:t>7、本项目与《中共中央国务院关于深入打好污染防治攻坚战的意见》（2021年11月2日）、《九江市关于深入打好污染防治攻坚战的实施意见》相符性分析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根据《中共中央国务院关于深入打好污染防治攻坚战的意见》，“（九）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p>
            <w:pPr>
              <w:pStyle w:val="42"/>
              <w:keepNext w:val="0"/>
              <w:keepLines w:val="0"/>
              <w:pageBreakBefore w:val="0"/>
              <w:widowControl w:val="0"/>
              <w:kinsoku/>
              <w:wordWrap/>
              <w:overflowPunct/>
              <w:topLinePunct w:val="0"/>
              <w:bidi w:val="0"/>
              <w:adjustRightInd w:val="0"/>
              <w:snapToGrid/>
              <w:textAlignment w:val="auto"/>
              <w:rPr>
                <w:color w:val="auto"/>
                <w:sz w:val="24"/>
              </w:rPr>
            </w:pPr>
            <w:r>
              <w:rPr>
                <w:color w:val="auto"/>
                <w:sz w:val="24"/>
              </w:rPr>
              <w:t>根据《九江市关于深入打好污染防治攻坚战的实施意见》，意见提出的主要目标是，到2025年，生态环境持续改善，主要污染物排放总量持续下降，单位国内生产总值二氧化碳排放比2020年下降18%，地级及以上城市细颗粒物（PM</w:t>
            </w:r>
            <w:r>
              <w:rPr>
                <w:color w:val="auto"/>
                <w:sz w:val="24"/>
                <w:vertAlign w:val="subscript"/>
              </w:rPr>
              <w:t>2.5</w:t>
            </w:r>
            <w:r>
              <w:rPr>
                <w:color w:val="auto"/>
                <w:sz w:val="24"/>
              </w:rPr>
              <w:t>）浓度下降10%，空气质量优良天数比率达到87.5%，地表水Ⅰ</w:t>
            </w:r>
            <w:r>
              <w:rPr>
                <w:rFonts w:hint="eastAsia"/>
                <w:color w:val="auto"/>
                <w:sz w:val="24"/>
              </w:rPr>
              <w:t>-</w:t>
            </w:r>
            <w:r>
              <w:rPr>
                <w:color w:val="auto"/>
                <w:sz w:val="24"/>
              </w:rPr>
              <w:t>Ⅲ类水体比例达到85%，近岸海域水质优良（一、二类）比例达到79%左右，重污染天气、城市黑臭水体基本消除，土壤污染风险得到有效管控，固体废物和新污染物治理能力明显增强，生态系统质量和稳定性持续提升，生态环境治理体系更加完善，生态文明建设实现新进步</w:t>
            </w:r>
          </w:p>
          <w:p>
            <w:pPr>
              <w:pStyle w:val="42"/>
              <w:keepNext w:val="0"/>
              <w:keepLines w:val="0"/>
              <w:pageBreakBefore w:val="0"/>
              <w:widowControl w:val="0"/>
              <w:kinsoku/>
              <w:wordWrap/>
              <w:overflowPunct/>
              <w:topLinePunct w:val="0"/>
              <w:bidi w:val="0"/>
              <w:adjustRightInd w:val="0"/>
              <w:snapToGrid/>
              <w:textAlignment w:val="auto"/>
              <w:rPr>
                <w:color w:val="auto"/>
                <w:sz w:val="24"/>
              </w:rPr>
            </w:pPr>
            <w:r>
              <w:rPr>
                <w:color w:val="auto"/>
                <w:sz w:val="24"/>
              </w:rPr>
              <w:t>本项目</w:t>
            </w:r>
            <w:r>
              <w:rPr>
                <w:rFonts w:hint="eastAsia"/>
                <w:color w:val="auto"/>
                <w:sz w:val="24"/>
              </w:rPr>
              <w:t>为卫生院</w:t>
            </w:r>
            <w:r>
              <w:rPr>
                <w:color w:val="auto"/>
                <w:sz w:val="24"/>
              </w:rPr>
              <w:t>项目，</w:t>
            </w:r>
            <w:r>
              <w:rPr>
                <w:rFonts w:hint="eastAsia"/>
                <w:color w:val="auto"/>
                <w:sz w:val="24"/>
              </w:rPr>
              <w:t>项目运营期间废气主要为厨房油烟和污水处理设备产生的臭气，食堂油烟通过油烟净化器处理后能够达标排放，项目污水处理设施采用地埋式一体化设备，周边种植绿化，对周边环境影响较小。项目产生的污废水经院内污水处理设施处理后，</w:t>
            </w:r>
            <w:r>
              <w:rPr>
                <w:rFonts w:hint="eastAsia"/>
                <w:color w:val="auto"/>
                <w:sz w:val="24"/>
                <w:szCs w:val="21"/>
              </w:rPr>
              <w:t>通过市政污水管网排入温泉污水处理厂进一步处理后排放，尾水最终排入鄱阳湖</w:t>
            </w:r>
            <w:r>
              <w:rPr>
                <w:rFonts w:hint="eastAsia"/>
                <w:color w:val="auto"/>
                <w:sz w:val="24"/>
              </w:rPr>
              <w:t>。项目水泵、备用发电机等噪声较大设备布置在地下室，同时辅以减噪隔振等措施，对环境影响较小。</w:t>
            </w:r>
            <w:r>
              <w:rPr>
                <w:color w:val="auto"/>
                <w:sz w:val="24"/>
              </w:rPr>
              <w:t>故本项目符合《中共中央国务院关于深入打好污染防治攻坚战的意见》</w:t>
            </w:r>
            <w:r>
              <w:rPr>
                <w:rFonts w:hint="eastAsia"/>
                <w:color w:val="auto"/>
                <w:sz w:val="24"/>
              </w:rPr>
              <w:t>和</w:t>
            </w:r>
            <w:r>
              <w:rPr>
                <w:color w:val="auto"/>
                <w:sz w:val="24"/>
              </w:rPr>
              <w:t>《九江市关于深入打好污染防治攻坚战的实施意见》</w:t>
            </w:r>
            <w:r>
              <w:rPr>
                <w:rFonts w:hint="eastAsia"/>
                <w:color w:val="auto"/>
                <w:sz w:val="24"/>
              </w:rPr>
              <w:t>相关要求</w:t>
            </w:r>
            <w:r>
              <w:rPr>
                <w:color w:val="auto"/>
                <w:sz w:val="24"/>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textAlignment w:val="auto"/>
              <w:rPr>
                <w:snapToGrid w:val="0"/>
                <w:color w:val="auto"/>
                <w:kern w:val="32"/>
                <w:sz w:val="24"/>
              </w:rPr>
            </w:pPr>
            <w:r>
              <w:rPr>
                <w:rFonts w:hint="eastAsia"/>
                <w:b/>
                <w:color w:val="auto"/>
                <w:kern w:val="0"/>
                <w:sz w:val="24"/>
              </w:rPr>
              <w:t>8、与《医疗废物管理条例》的相符性分析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kern w:val="0"/>
                <w:sz w:val="24"/>
              </w:rPr>
            </w:pPr>
            <w:r>
              <w:rPr>
                <w:rFonts w:hint="eastAsia"/>
                <w:color w:val="auto"/>
                <w:kern w:val="0"/>
                <w:sz w:val="24"/>
              </w:rPr>
              <w:t>本项目与《医疗废物管理条例》符合性分析见下表。</w:t>
            </w:r>
          </w:p>
          <w:p>
            <w:pPr>
              <w:keepNext w:val="0"/>
              <w:keepLines w:val="0"/>
              <w:pageBreakBefore w:val="0"/>
              <w:widowControl w:val="0"/>
              <w:kinsoku/>
              <w:wordWrap/>
              <w:overflowPunct/>
              <w:topLinePunct w:val="0"/>
              <w:autoSpaceDE/>
              <w:autoSpaceDN/>
              <w:bidi w:val="0"/>
              <w:adjustRightInd w:val="0"/>
              <w:snapToGrid/>
              <w:jc w:val="center"/>
              <w:textAlignment w:val="auto"/>
              <w:rPr>
                <w:b/>
                <w:bCs/>
                <w:color w:val="auto"/>
                <w:szCs w:val="21"/>
                <w:lang w:val="zh-CN"/>
              </w:rPr>
            </w:pPr>
            <w:r>
              <w:rPr>
                <w:rFonts w:hint="eastAsia"/>
                <w:b/>
                <w:bCs/>
                <w:color w:val="auto"/>
                <w:szCs w:val="21"/>
                <w:lang w:val="zh-CN"/>
              </w:rPr>
              <w:t>表1-</w:t>
            </w:r>
            <w:r>
              <w:rPr>
                <w:rFonts w:hint="eastAsia"/>
                <w:b/>
                <w:bCs/>
                <w:color w:val="auto"/>
                <w:szCs w:val="21"/>
              </w:rPr>
              <w:t>8</w:t>
            </w:r>
            <w:r>
              <w:rPr>
                <w:rFonts w:hint="eastAsia"/>
                <w:b/>
                <w:bCs/>
                <w:color w:val="auto"/>
                <w:szCs w:val="21"/>
                <w:lang w:val="zh-CN"/>
              </w:rPr>
              <w:t xml:space="preserve"> 与《医疗废物管理条例》符合性分析一览表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57" w:type="dxa"/>
                <w:bottom w:w="28" w:type="dxa"/>
                <w:right w:w="57" w:type="dxa"/>
              </w:tblCellMar>
            </w:tblPr>
            <w:tblGrid>
              <w:gridCol w:w="582"/>
              <w:gridCol w:w="4225"/>
              <w:gridCol w:w="2306"/>
              <w:gridCol w:w="7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trPr>
              <w:tc>
                <w:tcPr>
                  <w:tcW w:w="58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color w:val="auto"/>
                      <w:sz w:val="21"/>
                      <w:szCs w:val="21"/>
                    </w:rPr>
                  </w:pPr>
                  <w:r>
                    <w:rPr>
                      <w:rFonts w:hint="eastAsia" w:ascii="Times New Roman" w:hAnsi="Times New Roman" w:eastAsia="宋体"/>
                      <w:b/>
                      <w:color w:val="auto"/>
                      <w:sz w:val="21"/>
                      <w:szCs w:val="21"/>
                    </w:rPr>
                    <w:t>序号</w:t>
                  </w:r>
                </w:p>
              </w:tc>
              <w:tc>
                <w:tcPr>
                  <w:tcW w:w="422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color w:val="auto"/>
                      <w:sz w:val="21"/>
                      <w:szCs w:val="21"/>
                    </w:rPr>
                  </w:pPr>
                  <w:r>
                    <w:rPr>
                      <w:rFonts w:hint="eastAsia" w:ascii="Times New Roman" w:hAnsi="Times New Roman" w:eastAsia="宋体"/>
                      <w:b/>
                      <w:color w:val="auto"/>
                      <w:sz w:val="21"/>
                      <w:szCs w:val="21"/>
                    </w:rPr>
                    <w:t>《医疗废物管理条例》要求</w:t>
                  </w:r>
                </w:p>
              </w:tc>
              <w:tc>
                <w:tcPr>
                  <w:tcW w:w="23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本项目</w:t>
                  </w:r>
                  <w:r>
                    <w:rPr>
                      <w:rFonts w:hint="eastAsia" w:ascii="Times New Roman" w:hAnsi="Times New Roman" w:eastAsia="宋体"/>
                      <w:b/>
                      <w:color w:val="auto"/>
                      <w:sz w:val="21"/>
                      <w:szCs w:val="21"/>
                    </w:rPr>
                    <w:t>实际情况</w:t>
                  </w:r>
                </w:p>
              </w:tc>
              <w:tc>
                <w:tcPr>
                  <w:tcW w:w="71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trPr>
              <w:tc>
                <w:tcPr>
                  <w:tcW w:w="582" w:type="dxa"/>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4225" w:type="dxa"/>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第十一条医疗卫生机构和医疗废物集中处置单位，应当依照《中华人民共和国固体废物污染环境防治法》的规定，执行危险废物转移联单管理制度。</w:t>
                  </w:r>
                </w:p>
              </w:tc>
              <w:tc>
                <w:tcPr>
                  <w:tcW w:w="2306" w:type="dxa"/>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本项目执行危险废物转移联单管理制度，制度上墙，每次进行医疗固废转移均填写转移联单。</w:t>
                  </w:r>
                </w:p>
              </w:tc>
              <w:tc>
                <w:tcPr>
                  <w:tcW w:w="714" w:type="dxa"/>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trPr>
              <w:tc>
                <w:tcPr>
                  <w:tcW w:w="582"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4225"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第十二条 医疗卫生机构和医疗废物集中处置单位，应当对医疗废物进行登记，登记内容应当包括医疗废物的来源、种类、重量或者数量、交接时间、处置方法、最终去向以及经办人签名等项目。登记资料至少保存3年。</w:t>
                  </w:r>
                </w:p>
              </w:tc>
              <w:tc>
                <w:tcPr>
                  <w:tcW w:w="2306"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按照要求对医疗废物进行登记，登记资料保存五年。</w:t>
                  </w:r>
                </w:p>
              </w:tc>
              <w:tc>
                <w:tcPr>
                  <w:tcW w:w="714"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trPr>
              <w:tc>
                <w:tcPr>
                  <w:tcW w:w="582"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225"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第十三条 医疗卫生机构和医疗废物集中处置单位，应当采取有效措施，防止医疗废物流失、泄漏、扩散。</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tc>
              <w:tc>
                <w:tcPr>
                  <w:tcW w:w="2306"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按照要求对医废暂存间进行重点防渗，可做到防止医疗废物的流失、泄漏、扩散。</w:t>
                  </w:r>
                </w:p>
              </w:tc>
              <w:tc>
                <w:tcPr>
                  <w:tcW w:w="714"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1752" w:hRule="atLeast"/>
              </w:trPr>
              <w:tc>
                <w:tcPr>
                  <w:tcW w:w="582"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4225"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第十六条 医疗卫生机构应当及时收集本单位产生的医疗废物，并按照类别分置于防渗漏、防锐器穿透的专用包装物或者密闭的容器内。</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医疗废物专用包装物、容器，应当有明显的警示标识和警示说明。</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医疗废物专用包装物、容器的标准和警示标识的规定，由国务院卫生行政主管部门和环境保护行政主管部门共同制定。</w:t>
                  </w:r>
                </w:p>
              </w:tc>
              <w:tc>
                <w:tcPr>
                  <w:tcW w:w="2306"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项目内医疗废物随产随收，并按感染性废物、损伤性废物、化学、药物性废物用专用容器分类收集，并且收集容器应按相关规定规范设置标识。</w:t>
                  </w:r>
                </w:p>
              </w:tc>
              <w:tc>
                <w:tcPr>
                  <w:tcW w:w="714" w:type="dxa"/>
                  <w:tcBorders>
                    <w:top w:val="single" w:color="auto" w:sz="2" w:space="0"/>
                    <w:bottom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1632" w:hRule="atLeast"/>
              </w:trPr>
              <w:tc>
                <w:tcPr>
                  <w:tcW w:w="582" w:type="dxa"/>
                  <w:tcBorders>
                    <w:top w:val="single" w:color="auto" w:sz="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4225" w:type="dxa"/>
                  <w:tcBorders>
                    <w:top w:val="single" w:color="auto" w:sz="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第十七条 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tc>
              <w:tc>
                <w:tcPr>
                  <w:tcW w:w="2306" w:type="dxa"/>
                  <w:tcBorders>
                    <w:top w:val="single" w:color="auto" w:sz="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项目内设置有独立医废暂存间及暂存设施，医疗废物密闭保存，并定期进行消毒和清洁，设置明显的警示标识。医疗废物暂时贮存的时间不超过2天。远离医疗区、食品加工区和人员活动区以及生活垃圾存放场所，医疗废物委托有资质单位清运处置。</w:t>
                  </w:r>
                </w:p>
              </w:tc>
              <w:tc>
                <w:tcPr>
                  <w:tcW w:w="714" w:type="dxa"/>
                  <w:tcBorders>
                    <w:top w:val="single" w:color="auto" w:sz="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b/>
                <w:bCs/>
                <w:color w:val="auto"/>
                <w:sz w:val="24"/>
              </w:rPr>
            </w:pPr>
            <w:r>
              <w:rPr>
                <w:rFonts w:hint="eastAsia"/>
                <w:color w:val="auto"/>
                <w:kern w:val="0"/>
                <w:sz w:val="24"/>
              </w:rPr>
              <w:t>综上所述，项目医疗固废的管理、处置符合《医疗废物管理条例》的相关要求，项目医疗固废管理、处置合理。</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9、与《医疗机构废弃物综合整治方案的通知（国卫医办</w:t>
            </w:r>
            <w:r>
              <w:rPr>
                <w:b/>
                <w:bCs/>
                <w:color w:val="auto"/>
                <w:sz w:val="24"/>
              </w:rPr>
              <w:t>【2020】）3</w:t>
            </w:r>
            <w:r>
              <w:rPr>
                <w:rFonts w:hint="eastAsia"/>
                <w:b/>
                <w:bCs/>
                <w:color w:val="auto"/>
                <w:sz w:val="24"/>
              </w:rPr>
              <w:t>号》符合性分析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《医疗机构废弃物综合整治方案的通知（国卫医办</w:t>
            </w:r>
            <w:r>
              <w:rPr>
                <w:color w:val="auto"/>
                <w:sz w:val="24"/>
              </w:rPr>
              <w:t>【2020】）3</w:t>
            </w:r>
            <w:r>
              <w:rPr>
                <w:rFonts w:hint="eastAsia" w:cs="宋体"/>
                <w:color w:val="auto"/>
                <w:sz w:val="24"/>
              </w:rPr>
              <w:t>号》要求如下：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（一）做好医疗机构内部废弃物分类和管理；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（二）做好医疗废物处置；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（三）做好生活垃圾管理；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（四）做好输液瓶（袋）回收利用；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（五）开展医疗机构废弃物专项整治；</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（六）落实各项保障措施；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（七）做好宣传引导；</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（八）开展总结评估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医疗机构须按照《医疗废物分类目录》等要求制定具体的分类收集清单。严格落实危险废物申报登记和管理计划备案要求，依法向生态环境部门申报医疗废物的种类、产生量、流向、贮存和处置等情况。严禁混合医疗废物、生活垃圾，严禁混放各类医疗废物。规范医疗废物贮存场所（设施）管理，不得露天存放。及时告知并将医疗废物交由持有危险废物经营许可证的集中处置单位，执行转移联单并做好交接登记，资料保存不少于</w:t>
            </w:r>
            <w:r>
              <w:rPr>
                <w:color w:val="auto"/>
                <w:sz w:val="24"/>
              </w:rPr>
              <w:t>3</w:t>
            </w:r>
            <w:r>
              <w:rPr>
                <w:rFonts w:hint="eastAsia" w:cs="宋体"/>
                <w:color w:val="auto"/>
                <w:sz w:val="24"/>
              </w:rPr>
              <w:t>年。医疗机构要严格落实生活垃圾分类管理有关政策，将非传染病患者或家属在就诊过程中产生的生活垃圾，以及医疗机构职工非医疗活动产生的生活垃圾，与医疗活动中产生的医疗废物、输液瓶（袋）等区别管理。做好医疗机构生活垃圾的接收、运输和处理工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cs="宋体"/>
                <w:color w:val="auto"/>
                <w:sz w:val="24"/>
              </w:rPr>
            </w:pPr>
            <w:r>
              <w:rPr>
                <w:rFonts w:hint="eastAsia" w:cs="宋体"/>
                <w:color w:val="auto"/>
                <w:sz w:val="24"/>
              </w:rPr>
              <w:t>本项目为卫生院项目，建设单位需将各类废物妥善分类收集，生活垃圾由市政环卫部门定期统一清运处理，危险废物按规定收集、贮存后，由具有相应危废处置资质单位运走处置，避免二次污染、交叉感染，严格执行转移清单，做好交接登记，资料保存时间为</w:t>
            </w:r>
            <w:r>
              <w:rPr>
                <w:color w:val="auto"/>
                <w:sz w:val="24"/>
              </w:rPr>
              <w:t>3</w:t>
            </w:r>
            <w:r>
              <w:rPr>
                <w:rFonts w:hint="eastAsia" w:cs="宋体"/>
                <w:color w:val="auto"/>
                <w:sz w:val="24"/>
              </w:rPr>
              <w:t>年。本项目建设符合《医疗机构废弃物综合整治方案的通知（国卫医办</w:t>
            </w:r>
            <w:r>
              <w:rPr>
                <w:color w:val="auto"/>
                <w:sz w:val="24"/>
              </w:rPr>
              <w:t>【2020】）3</w:t>
            </w:r>
            <w:r>
              <w:rPr>
                <w:rFonts w:hint="eastAsia" w:cs="宋体"/>
                <w:color w:val="auto"/>
                <w:sz w:val="24"/>
              </w:rPr>
              <w:t>号》相关要求。</w:t>
            </w:r>
          </w:p>
          <w:p>
            <w:pPr>
              <w:pStyle w:val="57"/>
              <w:keepNext w:val="0"/>
              <w:keepLines w:val="0"/>
              <w:pageBreakBefore w:val="0"/>
              <w:kinsoku/>
              <w:wordWrap/>
              <w:overflowPunct/>
              <w:topLinePunct w:val="0"/>
              <w:autoSpaceDE/>
              <w:autoSpaceDN/>
              <w:bidi w:val="0"/>
              <w:adjustRightInd w:val="0"/>
              <w:snapToGrid/>
              <w:ind w:firstLine="497" w:firstLineChars="200"/>
              <w:jc w:val="both"/>
              <w:textAlignment w:val="auto"/>
              <w:outlineLvl w:val="9"/>
              <w:rPr>
                <w:rFonts w:ascii="Times New Roman" w:hAnsi="Times New Roman" w:cs="宋体"/>
                <w:b/>
                <w:color w:val="auto"/>
              </w:rPr>
            </w:pPr>
            <w:r>
              <w:rPr>
                <w:rFonts w:hint="eastAsia" w:ascii="Times New Roman" w:hAnsi="Times New Roman" w:cs="宋体"/>
                <w:b/>
                <w:color w:val="auto"/>
              </w:rPr>
              <w:t>10、与《关于在医疗机构推进生活垃圾分类管理的通知》（国卫办医发[</w:t>
            </w:r>
            <w:r>
              <w:rPr>
                <w:rFonts w:ascii="Times New Roman" w:hAnsi="Times New Roman"/>
                <w:b/>
                <w:color w:val="auto"/>
              </w:rPr>
              <w:t>2017]30</w:t>
            </w:r>
            <w:r>
              <w:rPr>
                <w:rFonts w:hint="eastAsia" w:ascii="Times New Roman" w:hAnsi="Times New Roman" w:cs="宋体"/>
                <w:b/>
                <w:color w:val="auto"/>
              </w:rPr>
              <w:t>号）符合性分析</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《关于在医疗机构推进生活垃圾分类管理的通知》要求所有医疗机构应当实施生活垃圾分类管理。</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医疗机构应当按照《医疗废物管理条例》等相关规定严格医疗废物的源头分类管理，规范收集暂存，严禁将医疗废物混入生活垃圾。医疗机构内产生的生活垃圾按照属性分为有害垃圾、易腐垃圾、可回收物和其他垃圾四类。</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有害垃圾：主要包括废电池（镉镍电池、氧化汞电池、铅蓄电池等）、废荧光灯管（日光灯管、节能灯等）、废胶片及废相纸等。</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易腐垃圾：主要包括食堂、办公楼等区域产生的餐厨垃圾、瓜果垃圾、花卉垃圾等。</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可回收物：主要包括塑料类包装袋、包装盒、包装箱，纸张，纸质外包装物，废弃电器电子产品。</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（一）有害垃圾：</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color w:val="auto"/>
                <w:sz w:val="24"/>
              </w:rPr>
              <w:t>1、</w:t>
            </w:r>
            <w:r>
              <w:rPr>
                <w:rFonts w:hint="eastAsia" w:cs="宋体"/>
                <w:color w:val="auto"/>
                <w:sz w:val="24"/>
              </w:rPr>
              <w:t>投放要求：医疗机构应当按照安全、便利、快捷的原则，集中或定点设立容器对不同品种的有害垃圾收集、暂存，并在醒目位置设置有害垃圾标志。</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color w:val="auto"/>
                <w:sz w:val="24"/>
              </w:rPr>
              <w:t>2、</w:t>
            </w:r>
            <w:r>
              <w:rPr>
                <w:rFonts w:hint="eastAsia" w:cs="宋体"/>
                <w:color w:val="auto"/>
                <w:sz w:val="24"/>
              </w:rPr>
              <w:t>处置要求：医疗机构应当与有资质的危险废物处置单位签订合同，根据有害垃圾的品种和产生数量合理确定或约定收运频率。</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sz w:val="24"/>
              </w:rPr>
              <w:t>（二）易腐垃圾：</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color w:val="auto"/>
                <w:kern w:val="0"/>
                <w:sz w:val="24"/>
                <w:lang w:bidi="ar"/>
              </w:rPr>
              <w:t>1、</w:t>
            </w:r>
            <w:r>
              <w:rPr>
                <w:rFonts w:hint="eastAsia" w:cs="宋体"/>
                <w:color w:val="auto"/>
                <w:kern w:val="0"/>
                <w:sz w:val="24"/>
                <w:lang w:bidi="ar"/>
              </w:rPr>
              <w:t>投放要求：医疗机构应当在易腐垃圾主要产生区域设置专门容器单独投放易腐垃圾，原则上应采用密闭容器存放。</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kern w:val="0"/>
                <w:sz w:val="24"/>
                <w:lang w:bidi="ar"/>
              </w:rPr>
            </w:pPr>
            <w:r>
              <w:rPr>
                <w:color w:val="auto"/>
                <w:kern w:val="0"/>
                <w:sz w:val="24"/>
                <w:lang w:bidi="ar"/>
              </w:rPr>
              <w:t>2、</w:t>
            </w:r>
            <w:r>
              <w:rPr>
                <w:rFonts w:hint="eastAsia" w:cs="宋体"/>
                <w:color w:val="auto"/>
                <w:kern w:val="0"/>
                <w:sz w:val="24"/>
                <w:lang w:bidi="ar"/>
              </w:rPr>
              <w:t>处置要求：医疗机构可与易腐垃圾专业处置单位签订合同，每日产生的易腐垃圾由易腐垃圾专业处置单位上门收集并处理。有条件的医疗机构可采用生物转化有机肥等技术就地处置易腐垃圾。</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rFonts w:hint="eastAsia" w:cs="宋体"/>
                <w:color w:val="auto"/>
                <w:kern w:val="0"/>
                <w:sz w:val="24"/>
                <w:lang w:bidi="ar"/>
              </w:rPr>
              <w:t>（三）可回收物：</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sz w:val="24"/>
              </w:rPr>
            </w:pPr>
            <w:r>
              <w:rPr>
                <w:color w:val="auto"/>
                <w:kern w:val="0"/>
                <w:sz w:val="24"/>
                <w:lang w:bidi="ar"/>
              </w:rPr>
              <w:t>1、</w:t>
            </w:r>
            <w:r>
              <w:rPr>
                <w:rFonts w:hint="eastAsia" w:cs="宋体"/>
                <w:color w:val="auto"/>
                <w:kern w:val="0"/>
                <w:sz w:val="24"/>
                <w:lang w:bidi="ar"/>
              </w:rPr>
              <w:t>投放要求：医疗机构应当根据可回收物的种类和产生量，设置专门容器和临时存储空间，定点投放和暂存，必要时可设专人分拣打包，做到标识明显。</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kern w:val="0"/>
                <w:sz w:val="24"/>
                <w:lang w:bidi="ar"/>
              </w:rPr>
            </w:pPr>
            <w:r>
              <w:rPr>
                <w:color w:val="auto"/>
                <w:kern w:val="0"/>
                <w:sz w:val="24"/>
                <w:lang w:bidi="ar"/>
              </w:rPr>
              <w:t>2、</w:t>
            </w:r>
            <w:r>
              <w:rPr>
                <w:rFonts w:hint="eastAsia" w:cs="宋体"/>
                <w:color w:val="auto"/>
                <w:kern w:val="0"/>
                <w:sz w:val="24"/>
                <w:lang w:bidi="ar"/>
              </w:rPr>
              <w:t>处置要求：医疗机构应当统一处置本单位产生的可回收物，与再生资源回收单位做好交接、登记和统计工作，实现可回收物的可追溯。再生资源回收单位向再生资源利用单位提供可回收物时，应当说明来源并做好交接登记，确保可追溯。再生资源利用单位利用这类可回收物时不得用于原用途，用于其他用途时不应危害人体健康。</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cs="宋体"/>
                <w:color w:val="auto"/>
                <w:kern w:val="0"/>
                <w:sz w:val="24"/>
                <w:lang w:bidi="ar"/>
              </w:rPr>
            </w:pPr>
            <w:r>
              <w:rPr>
                <w:rFonts w:hint="eastAsia" w:cs="宋体"/>
                <w:color w:val="auto"/>
                <w:kern w:val="0"/>
                <w:sz w:val="24"/>
                <w:lang w:bidi="ar"/>
              </w:rPr>
              <w:t>本项目产生的生活垃圾按要求分类收集，产生的有害垃圾交由有相应危废处置资质单位处置，易腐垃圾交由易腐垃圾专业处置单位处置，可回收物交由相应的物资回收单位回收处理，其他垃圾统一交由环卫部门处置。</w:t>
            </w:r>
          </w:p>
          <w:p>
            <w:pPr>
              <w:pStyle w:val="57"/>
              <w:keepNext w:val="0"/>
              <w:keepLines w:val="0"/>
              <w:pageBreakBefore w:val="0"/>
              <w:kinsoku/>
              <w:wordWrap/>
              <w:overflowPunct/>
              <w:topLinePunct w:val="0"/>
              <w:autoSpaceDE/>
              <w:autoSpaceDN/>
              <w:bidi w:val="0"/>
              <w:adjustRightInd w:val="0"/>
              <w:snapToGrid/>
              <w:ind w:firstLine="497" w:firstLineChars="200"/>
              <w:jc w:val="both"/>
              <w:textAlignment w:val="auto"/>
              <w:outlineLvl w:val="9"/>
              <w:rPr>
                <w:rFonts w:ascii="Times New Roman" w:hAnsi="Times New Roman" w:cs="宋体"/>
                <w:b/>
                <w:color w:val="auto"/>
              </w:rPr>
            </w:pPr>
            <w:r>
              <w:rPr>
                <w:rFonts w:hint="eastAsia" w:ascii="Times New Roman" w:hAnsi="Times New Roman" w:cs="宋体"/>
                <w:b/>
                <w:color w:val="auto"/>
              </w:rPr>
              <w:t>11、与《卫办医发</w:t>
            </w:r>
            <w:r>
              <w:rPr>
                <w:rFonts w:ascii="Times New Roman" w:hAnsi="Times New Roman" w:cs="宋体"/>
                <w:b/>
                <w:color w:val="auto"/>
              </w:rPr>
              <w:t>(2005)292</w:t>
            </w:r>
            <w:r>
              <w:rPr>
                <w:rFonts w:hint="eastAsia" w:ascii="Times New Roman" w:hAnsi="Times New Roman" w:cs="宋体"/>
                <w:b/>
                <w:color w:val="auto"/>
              </w:rPr>
              <w:t>号》相符性分析</w:t>
            </w:r>
          </w:p>
          <w:p>
            <w:pPr>
              <w:pStyle w:val="15"/>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outlineLvl w:val="9"/>
              <w:rPr>
                <w:rFonts w:ascii="Times New Roman" w:hAnsi="Times New Roman" w:cs="宋体"/>
                <w:color w:val="auto"/>
                <w:kern w:val="2"/>
                <w:sz w:val="24"/>
                <w:szCs w:val="24"/>
              </w:rPr>
            </w:pPr>
            <w:r>
              <w:rPr>
                <w:rFonts w:hint="eastAsia" w:ascii="Times New Roman" w:hAnsi="Times New Roman" w:cs="宋体"/>
                <w:color w:val="auto"/>
                <w:kern w:val="2"/>
                <w:sz w:val="24"/>
                <w:szCs w:val="24"/>
              </w:rPr>
              <w:t>根据原卫生部联合环境保护部印发的《关于明确医疗废物分类有关问题的通知》（卫办医发[2005]292号）规定：使用后的一次性医疗器械属于医疗废物，使用后的一次性医疗器械，不论是否剪除针头，是否被病人体液、血液、排泄物污染，均属医疗废物，均应当作为医疗废物进行管理。使用后的输液瓶不属于医疗废物，使用后的各种玻璃（一次性塑料）输液瓶（袋），未被病人血液、体液、排泄物污染的，不属于医疗废物，不必按照医疗废物进行管理，但这类废物回收利用时不能用于原用途，用于其他用途时应当符合不危害人体健康的原则。</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outlineLvl w:val="9"/>
              <w:rPr>
                <w:rFonts w:hint="eastAsia" w:cs="宋体"/>
                <w:color w:val="auto"/>
              </w:rPr>
            </w:pPr>
            <w:r>
              <w:rPr>
                <w:rFonts w:hint="eastAsia" w:cs="宋体"/>
                <w:color w:val="auto"/>
              </w:rPr>
              <w:t>本项目产生的医疗废物采用医院废物专用垃圾袋密封后放置于医疗垃圾桶内暂存于危险废物暂存库，定期交由有医疗废物处置资质的单位集中处置。使用后的输液瓶不属于医疗废物。医院对于未被患者血液、体液和排泄物等污染的输液瓶（袋）和残留少量经稀释的普通药液的输液瓶（袋），应当在其与输液管连接处去除输液管后单独集中回收、存放，本项目存放于可回收物</w:t>
            </w:r>
            <w:r>
              <w:rPr>
                <w:rFonts w:hint="eastAsia" w:cs="宋体"/>
                <w:color w:val="auto"/>
                <w:lang w:val="en-US" w:eastAsia="zh-CN"/>
              </w:rPr>
              <w:t>品</w:t>
            </w:r>
            <w:r>
              <w:rPr>
                <w:rFonts w:hint="eastAsia" w:cs="宋体"/>
                <w:color w:val="auto"/>
              </w:rPr>
              <w:t>间。去除后的输液管、针头等应当严格按照医疗废物处理。废输液瓶（袋）、包装纸盒、包装塑料盒等医药包装材料属于一般固体废物，由废旧资源回收单位回收利用。故本项目的建设符合《卫办医发</w:t>
            </w:r>
            <w:r>
              <w:rPr>
                <w:color w:val="auto"/>
              </w:rPr>
              <w:t>(2005)292</w:t>
            </w:r>
            <w:r>
              <w:rPr>
                <w:rFonts w:hint="eastAsia" w:cs="宋体"/>
                <w:color w:val="auto"/>
              </w:rPr>
              <w:t>号卫生部关于明确医疗废物分类有关问题通知》的相关规定。</w:t>
            </w:r>
          </w:p>
          <w:p>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cs="宋体"/>
                <w:color w:val="auto"/>
              </w:rPr>
            </w:pPr>
          </w:p>
          <w:p>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cs="宋体"/>
                <w:color w:val="auto"/>
              </w:rPr>
            </w:pPr>
          </w:p>
          <w:p>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jc w:val="both"/>
              <w:textAlignment w:val="auto"/>
              <w:rPr>
                <w:rFonts w:hint="eastAsia" w:cs="宋体"/>
                <w:color w:val="auto"/>
              </w:rPr>
            </w:pPr>
          </w:p>
          <w:p>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cs="宋体"/>
                <w:color w:val="auto"/>
              </w:rPr>
            </w:pPr>
          </w:p>
          <w:p>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cs="宋体"/>
                <w:color w:val="auto"/>
              </w:rPr>
            </w:pPr>
          </w:p>
          <w:p>
            <w:pPr>
              <w:pStyle w:val="3"/>
              <w:numPr>
                <w:ilvl w:val="0"/>
                <w:numId w:val="0"/>
              </w:numPr>
              <w:rPr>
                <w:rFonts w:hint="eastAsia"/>
                <w:color w:val="auto"/>
                <w:lang w:val="en-US"/>
              </w:rPr>
            </w:pPr>
          </w:p>
        </w:tc>
      </w:tr>
    </w:tbl>
    <w:p>
      <w:pPr>
        <w:rPr>
          <w:color w:val="auto"/>
        </w:rPr>
        <w:sectPr>
          <w:footerReference r:id="rId7"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0" w:num="1"/>
          <w:docGrid w:type="lines" w:linePitch="312" w:charSpace="0"/>
        </w:sectPr>
      </w:pPr>
    </w:p>
    <w:p>
      <w:pPr>
        <w:pStyle w:val="31"/>
        <w:keepNext/>
        <w:keepLines w:val="0"/>
        <w:pageBreakBefore w:val="0"/>
        <w:widowControl/>
        <w:numPr>
          <w:ilvl w:val="0"/>
          <w:numId w:val="3"/>
        </w:numPr>
        <w:kinsoku/>
        <w:wordWrap/>
        <w:overflowPunct/>
        <w:topLinePunct w:val="0"/>
        <w:autoSpaceDE/>
        <w:autoSpaceDN/>
        <w:bidi w:val="0"/>
        <w:adjustRightInd/>
        <w:snapToGrid/>
        <w:ind w:left="0" w:leftChars="0" w:firstLine="0" w:firstLineChars="0"/>
        <w:textAlignment w:val="auto"/>
        <w:rPr>
          <w:color w:val="auto"/>
        </w:rPr>
      </w:pPr>
      <w:bookmarkStart w:id="4" w:name="_Toc1612"/>
      <w:r>
        <w:rPr>
          <w:rFonts w:hint="eastAsia"/>
          <w:color w:val="auto"/>
        </w:rPr>
        <w:t>建设项目工程分析</w:t>
      </w:r>
      <w:bookmarkEnd w:id="4"/>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3"/>
        <w:gridCol w:w="86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7" w:hRule="atLeast"/>
        </w:trPr>
        <w:tc>
          <w:tcPr>
            <w:tcW w:w="927" w:type="dxa"/>
            <w:tcBorders>
              <w:tl2br w:val="nil"/>
              <w:tr2bl w:val="nil"/>
            </w:tcBorders>
            <w:vAlign w:val="center"/>
          </w:tcPr>
          <w:p>
            <w:pPr>
              <w:jc w:val="center"/>
              <w:rPr>
                <w:b/>
                <w:color w:val="auto"/>
                <w:sz w:val="24"/>
              </w:rPr>
            </w:pPr>
            <w:r>
              <w:rPr>
                <w:rFonts w:hint="eastAsia"/>
                <w:b/>
                <w:color w:val="auto"/>
                <w:sz w:val="24"/>
              </w:rPr>
              <w:t>建设内容</w:t>
            </w:r>
          </w:p>
        </w:tc>
        <w:tc>
          <w:tcPr>
            <w:tcW w:w="7595" w:type="dxa"/>
            <w:tcBorders>
              <w:tl2br w:val="nil"/>
              <w:tr2bl w:val="nil"/>
            </w:tcBorders>
          </w:tcPr>
          <w:p>
            <w:pPr>
              <w:spacing w:line="360" w:lineRule="auto"/>
              <w:ind w:firstLine="481" w:firstLineChars="200"/>
              <w:rPr>
                <w:b/>
                <w:color w:val="auto"/>
                <w:sz w:val="24"/>
              </w:rPr>
            </w:pPr>
            <w:r>
              <w:rPr>
                <w:rFonts w:hint="eastAsia"/>
                <w:b/>
                <w:bCs/>
                <w:color w:val="auto"/>
                <w:sz w:val="24"/>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rPr>
              <w:t>为进一步优化庐山市医疗卫生资源配置，建立优质高效的医疗卫生服务体系，促进庐山市医疗卫生事业的可持续发展。庐山市温泉镇人民政府拟在庐山市温泉镇建设庐山市温泉景区急救中心大楼，建设地点位于庐山市温泉镇212省道（环南山公路老隘口村旁），占地面积</w:t>
            </w:r>
            <w:r>
              <w:rPr>
                <w:rFonts w:hint="eastAsia" w:cs="宋体"/>
                <w:color w:val="auto"/>
                <w:sz w:val="24"/>
                <w:szCs w:val="22"/>
              </w:rPr>
              <w:t>2586.5m</w:t>
            </w:r>
            <w:r>
              <w:rPr>
                <w:rFonts w:hint="eastAsia" w:cs="宋体"/>
                <w:color w:val="auto"/>
                <w:sz w:val="24"/>
                <w:szCs w:val="22"/>
                <w:vertAlign w:val="superscript"/>
              </w:rPr>
              <w:t>2</w:t>
            </w:r>
            <w:r>
              <w:rPr>
                <w:rFonts w:hint="eastAsia" w:cs="宋体"/>
                <w:color w:val="auto"/>
                <w:sz w:val="24"/>
                <w:szCs w:val="22"/>
              </w:rPr>
              <w:t>，</w:t>
            </w:r>
            <w:r>
              <w:rPr>
                <w:rFonts w:hint="eastAsia"/>
                <w:color w:val="auto"/>
                <w:sz w:val="24"/>
              </w:rPr>
              <w:t>建筑面积约4602m</w:t>
            </w:r>
            <w:r>
              <w:rPr>
                <w:rFonts w:hint="eastAsia"/>
                <w:color w:val="auto"/>
                <w:sz w:val="24"/>
                <w:vertAlign w:val="superscript"/>
              </w:rPr>
              <w:t>2</w:t>
            </w:r>
            <w:r>
              <w:rPr>
                <w:rFonts w:hint="eastAsia"/>
                <w:color w:val="auto"/>
                <w:sz w:val="24"/>
              </w:rPr>
              <w:t>，但该大楼建设时未办理相应的环评手续，因此当2021年11月急救中心大楼主体结构建设完成后，不再进行后续建设，如图2-1所示，同时大楼一直空置，不进行任何生产性活动，不存在原有污染问题。</w:t>
            </w:r>
          </w:p>
          <w:tbl>
            <w:tblPr>
              <w:tblStyle w:val="24"/>
              <w:tblW w:w="4998"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3"/>
              <w:gridCol w:w="41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pStyle w:val="14"/>
                    <w:pBdr>
                      <w:top w:val="none" w:color="auto" w:sz="0" w:space="0"/>
                      <w:left w:val="none" w:color="auto" w:sz="0" w:space="0"/>
                      <w:bottom w:val="none" w:color="auto" w:sz="0" w:space="0"/>
                      <w:right w:val="none" w:color="auto" w:sz="0" w:space="0"/>
                    </w:pBdr>
                    <w:jc w:val="center"/>
                    <w:rPr>
                      <w:color w:val="auto"/>
                    </w:rPr>
                  </w:pPr>
                  <w:r>
                    <w:rPr>
                      <w:color w:val="auto"/>
                    </w:rPr>
                    <w:drawing>
                      <wp:inline distT="0" distB="0" distL="114300" distR="114300">
                        <wp:extent cx="2520315" cy="1654175"/>
                        <wp:effectExtent l="0" t="0" r="13335"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rcRect l="2646" t="2814" r="1029" b="2595"/>
                                <a:stretch>
                                  <a:fillRect/>
                                </a:stretch>
                              </pic:blipFill>
                              <pic:spPr>
                                <a:xfrm>
                                  <a:off x="0" y="0"/>
                                  <a:ext cx="2520315" cy="1654175"/>
                                </a:xfrm>
                                <a:prstGeom prst="rect">
                                  <a:avLst/>
                                </a:prstGeom>
                                <a:noFill/>
                                <a:ln>
                                  <a:noFill/>
                                </a:ln>
                              </pic:spPr>
                            </pic:pic>
                          </a:graphicData>
                        </a:graphic>
                      </wp:inline>
                    </w:drawing>
                  </w:r>
                </w:p>
              </w:tc>
              <w:tc>
                <w:tcPr>
                  <w:tcW w:w="2500" w:type="pct"/>
                  <w:vAlign w:val="center"/>
                </w:tcPr>
                <w:p>
                  <w:pPr>
                    <w:pStyle w:val="14"/>
                    <w:pBdr>
                      <w:top w:val="none" w:color="auto" w:sz="0" w:space="0"/>
                      <w:left w:val="none" w:color="auto" w:sz="0" w:space="0"/>
                      <w:bottom w:val="none" w:color="auto" w:sz="0" w:space="0"/>
                      <w:right w:val="none" w:color="auto" w:sz="0" w:space="0"/>
                    </w:pBdr>
                    <w:jc w:val="center"/>
                    <w:rPr>
                      <w:color w:val="auto"/>
                    </w:rPr>
                  </w:pPr>
                  <w:r>
                    <w:rPr>
                      <w:color w:val="auto"/>
                    </w:rPr>
                    <w:drawing>
                      <wp:inline distT="0" distB="0" distL="114300" distR="114300">
                        <wp:extent cx="2520315" cy="1644015"/>
                        <wp:effectExtent l="0" t="0" r="13335" b="133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rcRect l="1058" t="2402" r="1285" b="2703"/>
                                <a:stretch>
                                  <a:fillRect/>
                                </a:stretch>
                              </pic:blipFill>
                              <pic:spPr>
                                <a:xfrm>
                                  <a:off x="0" y="0"/>
                                  <a:ext cx="2520315" cy="16440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pStyle w:val="14"/>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157" w:beforeLines="50"/>
                    <w:jc w:val="center"/>
                    <w:textAlignment w:val="auto"/>
                    <w:rPr>
                      <w:b/>
                      <w:color w:val="auto"/>
                      <w:sz w:val="21"/>
                    </w:rPr>
                  </w:pPr>
                  <w:r>
                    <w:rPr>
                      <w:rFonts w:hint="eastAsia"/>
                      <w:b/>
                      <w:color w:val="auto"/>
                      <w:sz w:val="21"/>
                    </w:rPr>
                    <w:t>图2-1 急救大楼建设图</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温泉镇中心卫生院始建于2003年，建设地址位于庐山市温泉镇隘口街（庐山市隘口中学旁），是一所集医疗、预防、保健为一体的综合性非营利性公立卫生院，承担着辖区内3万多群众的基本医疗、基本公共卫生服务及突发公共卫生事件等任务，因建设时间较早，卫生院建设时未办理过相关环评手续。随着医疗技术的不断发展及医疗卫生服务体</w:t>
            </w:r>
            <w:r>
              <w:rPr>
                <w:rFonts w:hint="eastAsia"/>
                <w:color w:val="auto"/>
                <w:sz w:val="24"/>
                <w:lang w:val="en-US" w:eastAsia="zh-CN"/>
              </w:rPr>
              <w:t>系</w:t>
            </w:r>
            <w:r>
              <w:rPr>
                <w:rFonts w:hint="eastAsia"/>
                <w:color w:val="auto"/>
                <w:sz w:val="24"/>
              </w:rPr>
              <w:t>的不断完善，卫生院业务用房不足及科室布局不合理等问题日益突出，不能满足的当地医疗需求。现庐山市要进行乡镇卫生院整体提升改造项目，因此温泉镇人民政府将急救中心大楼无偿给予温泉镇中心卫生院作为新院使用，温泉镇中心卫生院利用原有的急救中心大楼，进行内部装修设计、设备安装后作为温泉镇中心卫生院新院使用。新院建成后，温泉镇中心卫生院从老院址（庐山市温泉镇隘口街（庐山市隘口中学旁））整体搬迁至急救中心大楼（庐山市温泉镇212省道（环南山公路老隘口村旁）），老院的人员设备全部迁至新大楼，老院不再使用，同时老院用地由政府收回。</w:t>
            </w:r>
          </w:p>
          <w:p>
            <w:pPr>
              <w:pStyle w:val="14"/>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温泉镇中心卫生院核定床位20张，新院建成后，将开设急诊科、内科、外科、妇科、儿科、发热门诊、肠道门诊、检验科、B超室、心电图室、五官科、中医科、预防接种等科室，配备彩超、DR、全自动生化仪、血液分析仪、十二导联心电图机等辅助设备。</w:t>
            </w:r>
            <w:r>
              <w:rPr>
                <w:color w:val="auto"/>
                <w:sz w:val="24"/>
              </w:rPr>
              <w:t>新院的建成将</w:t>
            </w:r>
            <w:r>
              <w:rPr>
                <w:rFonts w:hint="eastAsia"/>
                <w:color w:val="auto"/>
                <w:sz w:val="24"/>
              </w:rPr>
              <w:t>大</w:t>
            </w:r>
            <w:r>
              <w:rPr>
                <w:color w:val="auto"/>
                <w:sz w:val="24"/>
              </w:rPr>
              <w:t>大改善</w:t>
            </w:r>
            <w:r>
              <w:rPr>
                <w:rFonts w:hint="eastAsia"/>
                <w:color w:val="auto"/>
                <w:sz w:val="24"/>
              </w:rPr>
              <w:t>卫生院的就医环境，</w:t>
            </w:r>
            <w:r>
              <w:rPr>
                <w:color w:val="auto"/>
                <w:sz w:val="24"/>
              </w:rPr>
              <w:t>解决</w:t>
            </w:r>
            <w:r>
              <w:rPr>
                <w:rFonts w:hint="eastAsia"/>
                <w:color w:val="auto"/>
                <w:sz w:val="24"/>
              </w:rPr>
              <w:t>卫生院</w:t>
            </w:r>
            <w:r>
              <w:rPr>
                <w:color w:val="auto"/>
                <w:sz w:val="24"/>
              </w:rPr>
              <w:t>业务用房不足及科室布局不合理等突出问题</w:t>
            </w:r>
            <w:r>
              <w:rPr>
                <w:rFonts w:hint="eastAsia"/>
                <w:color w:val="auto"/>
                <w:sz w:val="24"/>
              </w:rPr>
              <w:t>，同时</w:t>
            </w:r>
            <w:r>
              <w:rPr>
                <w:color w:val="auto"/>
                <w:sz w:val="24"/>
              </w:rPr>
              <w:t>进一步提升</w:t>
            </w:r>
            <w:r>
              <w:rPr>
                <w:rFonts w:hint="eastAsia"/>
                <w:color w:val="auto"/>
                <w:sz w:val="24"/>
              </w:rPr>
              <w:t>了医院</w:t>
            </w:r>
            <w:r>
              <w:rPr>
                <w:color w:val="auto"/>
                <w:sz w:val="24"/>
              </w:rPr>
              <w:t>服务能力</w:t>
            </w:r>
            <w:r>
              <w:rPr>
                <w:rFonts w:hint="eastAsia"/>
                <w:color w:val="auto"/>
                <w:sz w:val="24"/>
              </w:rPr>
              <w:t>，解决了辖区居民基本医疗需求。</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2022年8月25日庐山市卫生健康委员会上报至庐山市发展和改革委员会的《庐山市乡镇卫生院整体改造提升项目初步设计审查的报告》及《庐山市乡镇卫生院整体改造提升项目初步设计》文本得到批复，由《关于庐山市乡镇卫生院整体改造提升项目初步设计的批复》（庐发改审批字(2022)291号），批复的建设规模及主要建设内容</w:t>
            </w:r>
            <w:r>
              <w:rPr>
                <w:rFonts w:hint="eastAsia"/>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1、庐山市蛟塘镇中心卫生院</w:t>
            </w:r>
            <w:r>
              <w:rPr>
                <w:rFonts w:hint="eastAsia"/>
                <w:color w:val="auto"/>
                <w:sz w:val="24"/>
              </w:rPr>
              <w:t>（</w:t>
            </w:r>
            <w:r>
              <w:rPr>
                <w:color w:val="auto"/>
                <w:sz w:val="24"/>
              </w:rPr>
              <w:t>新建1800平方米门诊住院综合大楼，新建医疗废物暂存间30平方米及预检分诊点</w:t>
            </w:r>
            <w:r>
              <w:rPr>
                <w:rFonts w:hint="eastAsia"/>
                <w:color w:val="auto"/>
                <w:sz w:val="24"/>
              </w:rPr>
              <w:t>；</w:t>
            </w:r>
            <w:r>
              <w:rPr>
                <w:color w:val="auto"/>
                <w:sz w:val="24"/>
              </w:rPr>
              <w:t>原医技楼改造装修，地硬化、铺设沥青</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2、星子镇中心卫生院</w:t>
            </w:r>
            <w:r>
              <w:rPr>
                <w:rFonts w:hint="eastAsia"/>
                <w:color w:val="auto"/>
                <w:sz w:val="24"/>
              </w:rPr>
              <w:t>（</w:t>
            </w:r>
            <w:r>
              <w:rPr>
                <w:color w:val="auto"/>
                <w:sz w:val="24"/>
              </w:rPr>
              <w:t>新建业务用房约900平方米</w:t>
            </w:r>
            <w:r>
              <w:rPr>
                <w:rFonts w:hint="eastAsia"/>
                <w:color w:val="auto"/>
                <w:sz w:val="24"/>
              </w:rPr>
              <w:t>：</w:t>
            </w:r>
            <w:r>
              <w:rPr>
                <w:color w:val="auto"/>
                <w:sz w:val="24"/>
              </w:rPr>
              <w:t>占地约280平方米，三层</w:t>
            </w:r>
            <w:r>
              <w:rPr>
                <w:rFonts w:hint="eastAsia"/>
                <w:color w:val="auto"/>
                <w:sz w:val="24"/>
              </w:rPr>
              <w:t>；</w:t>
            </w:r>
            <w:r>
              <w:rPr>
                <w:color w:val="auto"/>
                <w:sz w:val="24"/>
              </w:rPr>
              <w:t>完善周围场地环境，及医疗废物、水处理工程项目，拆除原建部分大楼满足消防通道，钢屋面拆除重建</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3、蛟塘镇沙湖山卫生院</w:t>
            </w:r>
            <w:r>
              <w:rPr>
                <w:rFonts w:hint="eastAsia"/>
                <w:color w:val="auto"/>
                <w:sz w:val="24"/>
              </w:rPr>
              <w:t>（</w:t>
            </w:r>
            <w:r>
              <w:rPr>
                <w:color w:val="auto"/>
                <w:sz w:val="24"/>
              </w:rPr>
              <w:t>新建占地面积200平方米总建筑面积600平方米医技大楼及医疗废物暂存间、场地硬化、新建围墙门卫、废水处理系统</w:t>
            </w:r>
            <w:r>
              <w:rPr>
                <w:rFonts w:hint="eastAsia"/>
                <w:color w:val="auto"/>
                <w:sz w:val="24"/>
              </w:rPr>
              <w:t>；</w:t>
            </w:r>
            <w:r>
              <w:rPr>
                <w:color w:val="auto"/>
                <w:sz w:val="24"/>
              </w:rPr>
              <w:t>原门诊楼线路改修隔热</w:t>
            </w:r>
            <w:r>
              <w:rPr>
                <w:rFonts w:hint="eastAsia"/>
                <w:color w:val="auto"/>
                <w:sz w:val="24"/>
              </w:rPr>
              <w:t>（</w:t>
            </w:r>
            <w:r>
              <w:rPr>
                <w:color w:val="auto"/>
                <w:sz w:val="24"/>
              </w:rPr>
              <w:t>新增钢屋面</w:t>
            </w:r>
            <w:r>
              <w:rPr>
                <w:rFonts w:hint="eastAsia"/>
                <w:color w:val="auto"/>
                <w:sz w:val="24"/>
              </w:rPr>
              <w:t>）</w:t>
            </w:r>
            <w:r>
              <w:rPr>
                <w:color w:val="auto"/>
                <w:sz w:val="24"/>
              </w:rPr>
              <w:t>、一、二楼装修、外墙翻新</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4、华林镇卫生院</w:t>
            </w:r>
            <w:r>
              <w:rPr>
                <w:rFonts w:hint="eastAsia"/>
                <w:color w:val="auto"/>
                <w:sz w:val="24"/>
              </w:rPr>
              <w:t>（</w:t>
            </w:r>
            <w:r>
              <w:rPr>
                <w:color w:val="auto"/>
                <w:sz w:val="24"/>
              </w:rPr>
              <w:t>1200平方米场地硬化、铺设沥青围墙粉刷改造，新建围墙50米及门楼，新门诊综合楼内部及老周转房翻新改造，化验室改造装修，医疗废物、水处理工程项目，计免门诊提升改造，钢屋面拆除重建</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5、温泉镇中心卫生院</w:t>
            </w:r>
            <w:r>
              <w:rPr>
                <w:rFonts w:hint="eastAsia"/>
                <w:color w:val="auto"/>
                <w:sz w:val="24"/>
              </w:rPr>
              <w:t>（</w:t>
            </w:r>
            <w:r>
              <w:rPr>
                <w:color w:val="auto"/>
                <w:sz w:val="24"/>
              </w:rPr>
              <w:t>新建4602平方米急救大楼装修设计，室外场地硬化、新建围墙门卫，废水处理系统，污水处理</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6、牯岭镇镇卫生院</w:t>
            </w:r>
            <w:r>
              <w:rPr>
                <w:rFonts w:hint="eastAsia"/>
                <w:color w:val="auto"/>
                <w:sz w:val="24"/>
              </w:rPr>
              <w:t>（</w:t>
            </w:r>
            <w:r>
              <w:rPr>
                <w:color w:val="auto"/>
                <w:sz w:val="24"/>
              </w:rPr>
              <w:t>门诊楼外墙外侧污水改造，挡土墙修建</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7、海会镇中心卫生院</w:t>
            </w:r>
            <w:r>
              <w:rPr>
                <w:rFonts w:hint="eastAsia"/>
                <w:color w:val="auto"/>
                <w:sz w:val="24"/>
              </w:rPr>
              <w:t>（</w:t>
            </w:r>
            <w:r>
              <w:rPr>
                <w:color w:val="auto"/>
                <w:sz w:val="24"/>
              </w:rPr>
              <w:t>内部局部装修及卫生间改造</w:t>
            </w:r>
            <w:r>
              <w:rPr>
                <w:rFonts w:hint="eastAsia"/>
                <w:color w:val="auto"/>
                <w:sz w:val="24"/>
              </w:rPr>
              <w:t>，</w:t>
            </w:r>
            <w:r>
              <w:rPr>
                <w:color w:val="auto"/>
                <w:sz w:val="24"/>
              </w:rPr>
              <w:t>外墙翻新</w:t>
            </w:r>
            <w:r>
              <w:rPr>
                <w:rFonts w:hint="eastAsia"/>
                <w:color w:val="auto"/>
                <w:sz w:val="24"/>
              </w:rPr>
              <w:t>）</w:t>
            </w:r>
            <w:r>
              <w:rPr>
                <w:color w:val="auto"/>
                <w:sz w:val="24"/>
              </w:rPr>
              <w:t>。</w:t>
            </w:r>
          </w:p>
          <w:p>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8、白鹿镇卫生院</w:t>
            </w:r>
            <w:r>
              <w:rPr>
                <w:rFonts w:hint="eastAsia"/>
                <w:color w:val="auto"/>
                <w:sz w:val="24"/>
              </w:rPr>
              <w:t>（</w:t>
            </w:r>
            <w:r>
              <w:rPr>
                <w:color w:val="auto"/>
                <w:sz w:val="24"/>
              </w:rPr>
              <w:t>老门诊楼改造、一、二楼装修、屋顶隔热、外墙刷新</w:t>
            </w:r>
            <w:r>
              <w:rPr>
                <w:rFonts w:hint="eastAsia"/>
                <w:color w:val="auto"/>
                <w:sz w:val="24"/>
              </w:rPr>
              <w:t>；</w:t>
            </w:r>
            <w:r>
              <w:rPr>
                <w:color w:val="auto"/>
                <w:sz w:val="24"/>
              </w:rPr>
              <w:t>医疗废物、废水处理工程项目</w:t>
            </w:r>
            <w:r>
              <w:rPr>
                <w:rFonts w:hint="eastAsia"/>
                <w:color w:val="auto"/>
                <w:sz w:val="24"/>
              </w:rPr>
              <w:t>）</w:t>
            </w:r>
          </w:p>
          <w:p>
            <w:pPr>
              <w:pStyle w:val="9"/>
              <w:keepNext w:val="0"/>
              <w:keepLines w:val="0"/>
              <w:pageBreakBefore w:val="0"/>
              <w:kinsoku/>
              <w:wordWrap/>
              <w:overflowPunct/>
              <w:topLinePunct w:val="0"/>
              <w:bidi w:val="0"/>
              <w:adjustRightInd w:val="0"/>
              <w:snapToGrid/>
              <w:spacing w:after="0" w:line="360" w:lineRule="auto"/>
              <w:ind w:left="0" w:leftChars="0" w:firstLine="480" w:firstLineChars="200"/>
              <w:textAlignment w:val="auto"/>
              <w:rPr>
                <w:color w:val="auto"/>
                <w:sz w:val="24"/>
              </w:rPr>
            </w:pPr>
            <w:r>
              <w:rPr>
                <w:color w:val="auto"/>
                <w:sz w:val="24"/>
              </w:rPr>
              <w:t>9、南康镇卫生院</w:t>
            </w:r>
            <w:r>
              <w:rPr>
                <w:rFonts w:hint="eastAsia"/>
                <w:color w:val="auto"/>
                <w:sz w:val="24"/>
              </w:rPr>
              <w:t>（</w:t>
            </w:r>
            <w:r>
              <w:rPr>
                <w:color w:val="auto"/>
                <w:sz w:val="24"/>
              </w:rPr>
              <w:t>手术室、检验科、供应室二次医疗装修、CT、DR、彩超等设备采购</w:t>
            </w:r>
            <w:r>
              <w:rPr>
                <w:rFonts w:hint="eastAsia"/>
                <w:color w:val="auto"/>
                <w:sz w:val="24"/>
              </w:rPr>
              <w:t>）</w:t>
            </w:r>
            <w:r>
              <w:rPr>
                <w:color w:val="auto"/>
                <w:sz w:val="24"/>
              </w:rPr>
              <w:t>。</w:t>
            </w:r>
          </w:p>
          <w:p>
            <w:pPr>
              <w:pStyle w:val="9"/>
              <w:keepNext w:val="0"/>
              <w:keepLines w:val="0"/>
              <w:pageBreakBefore w:val="0"/>
              <w:kinsoku/>
              <w:wordWrap/>
              <w:overflowPunct/>
              <w:topLinePunct w:val="0"/>
              <w:bidi w:val="0"/>
              <w:adjustRightInd w:val="0"/>
              <w:snapToGrid/>
              <w:spacing w:after="0" w:line="360" w:lineRule="auto"/>
              <w:ind w:left="0" w:leftChars="0" w:firstLine="480" w:firstLineChars="200"/>
              <w:textAlignment w:val="auto"/>
              <w:rPr>
                <w:color w:val="auto"/>
                <w:sz w:val="24"/>
              </w:rPr>
            </w:pPr>
            <w:r>
              <w:rPr>
                <w:color w:val="auto"/>
                <w:sz w:val="24"/>
              </w:rPr>
              <w:t>10、牯岭镇正街社区卫生服务中心</w:t>
            </w:r>
            <w:r>
              <w:rPr>
                <w:rFonts w:hint="eastAsia"/>
                <w:color w:val="auto"/>
                <w:sz w:val="24"/>
              </w:rPr>
              <w:t>（</w:t>
            </w:r>
            <w:r>
              <w:rPr>
                <w:color w:val="auto"/>
                <w:sz w:val="24"/>
              </w:rPr>
              <w:t>门急诊大楼装修改造、职工宿舍改造、医疗废物暂存间改造、车库用于改造预防接种办公场地、完善消防和污水处理系统工程项目</w:t>
            </w:r>
            <w:r>
              <w:rPr>
                <w:rFonts w:hint="eastAsia"/>
                <w:color w:val="auto"/>
                <w:sz w:val="24"/>
              </w:rPr>
              <w:t>）</w:t>
            </w:r>
          </w:p>
          <w:p>
            <w:pPr>
              <w:pStyle w:val="8"/>
              <w:keepNext w:val="0"/>
              <w:keepLines w:val="0"/>
              <w:pageBreakBefore w:val="0"/>
              <w:kinsoku/>
              <w:wordWrap/>
              <w:overflowPunct/>
              <w:topLinePunct w:val="0"/>
              <w:bidi w:val="0"/>
              <w:adjustRightInd w:val="0"/>
              <w:snapToGrid/>
              <w:ind w:firstLine="480"/>
              <w:textAlignment w:val="auto"/>
              <w:rPr>
                <w:color w:val="auto"/>
                <w:sz w:val="24"/>
              </w:rPr>
            </w:pPr>
            <w:r>
              <w:rPr>
                <w:rFonts w:hint="eastAsia"/>
                <w:color w:val="auto"/>
                <w:sz w:val="24"/>
              </w:rPr>
              <w:t>本环评针对其中庐山市温泉镇中心卫生院（</w:t>
            </w:r>
            <w:r>
              <w:rPr>
                <w:color w:val="auto"/>
                <w:sz w:val="24"/>
              </w:rPr>
              <w:t>新建4602平方米急救大楼装修设计，室外场地硬化、新建围墙门卫，废水处理系统，污水处理</w:t>
            </w:r>
            <w:r>
              <w:rPr>
                <w:rFonts w:hint="eastAsia"/>
                <w:color w:val="auto"/>
                <w:sz w:val="24"/>
              </w:rPr>
              <w:t>）进行环境影响评价。现场调查发现，温泉镇中心卫生院目前已完成新院</w:t>
            </w:r>
            <w:r>
              <w:rPr>
                <w:rFonts w:hint="eastAsia"/>
                <w:color w:val="auto"/>
                <w:sz w:val="24"/>
                <w:lang w:val="en-US" w:eastAsia="zh-CN"/>
              </w:rPr>
              <w:t>的建设，并投入运营</w:t>
            </w:r>
            <w:r>
              <w:rPr>
                <w:rFonts w:hint="eastAsia"/>
                <w:color w:val="auto"/>
                <w:sz w:val="24"/>
              </w:rPr>
              <w:t>。</w:t>
            </w:r>
          </w:p>
          <w:p>
            <w:pPr>
              <w:pStyle w:val="14"/>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建设项目环境影响评价分类管理名录》（2021年版），</w:t>
            </w:r>
            <w:r>
              <w:rPr>
                <w:rFonts w:hint="eastAsia"/>
                <w:color w:val="auto"/>
                <w:sz w:val="24"/>
              </w:rPr>
              <w:t>本项目属于“</w:t>
            </w:r>
            <w:r>
              <w:rPr>
                <w:rFonts w:cs="Helvetica"/>
                <w:color w:val="auto"/>
                <w:sz w:val="24"/>
                <w:szCs w:val="21"/>
                <w:shd w:val="clear" w:color="auto" w:fill="FFFFFF"/>
              </w:rPr>
              <w:t>四十九、卫生84</w:t>
            </w:r>
            <w:r>
              <w:rPr>
                <w:rFonts w:hint="eastAsia" w:cs="Helvetica"/>
                <w:color w:val="auto"/>
                <w:sz w:val="24"/>
                <w:szCs w:val="21"/>
                <w:shd w:val="clear" w:color="auto" w:fill="FFFFFF"/>
              </w:rPr>
              <w:t>-</w:t>
            </w:r>
            <w:r>
              <w:rPr>
                <w:rFonts w:cs="Helvetica"/>
                <w:color w:val="auto"/>
                <w:sz w:val="24"/>
                <w:szCs w:val="21"/>
                <w:shd w:val="clear" w:color="auto" w:fill="FFFFFF"/>
              </w:rPr>
              <w:t>基层医疗卫生服务842</w:t>
            </w:r>
            <w:r>
              <w:rPr>
                <w:rFonts w:hint="eastAsia" w:cs="Helvetica"/>
                <w:color w:val="auto"/>
                <w:sz w:val="24"/>
                <w:szCs w:val="21"/>
                <w:shd w:val="clear" w:color="auto" w:fill="FFFFFF"/>
              </w:rPr>
              <w:t>-</w:t>
            </w:r>
            <w:r>
              <w:rPr>
                <w:rFonts w:cs="Helvetica"/>
                <w:color w:val="auto"/>
                <w:sz w:val="24"/>
                <w:szCs w:val="21"/>
                <w:shd w:val="clear" w:color="auto" w:fill="FFFFFF"/>
              </w:rPr>
              <w:t>其他（住院床位20张以下的除外）</w:t>
            </w:r>
            <w:r>
              <w:rPr>
                <w:rFonts w:hint="eastAsia" w:cs="Helvetica"/>
                <w:color w:val="auto"/>
                <w:sz w:val="24"/>
                <w:szCs w:val="21"/>
                <w:shd w:val="clear" w:color="auto" w:fill="FFFFFF"/>
              </w:rPr>
              <w:t>”类别，</w:t>
            </w:r>
            <w:r>
              <w:rPr>
                <w:color w:val="auto"/>
                <w:sz w:val="24"/>
              </w:rPr>
              <w:t>应该编制环境影响报告表。</w:t>
            </w:r>
            <w:r>
              <w:rPr>
                <w:rFonts w:hint="eastAsia"/>
                <w:color w:val="auto"/>
                <w:sz w:val="24"/>
              </w:rPr>
              <w:t>因此庐山市温泉镇中心卫生院</w:t>
            </w:r>
            <w:r>
              <w:rPr>
                <w:color w:val="auto"/>
                <w:sz w:val="24"/>
              </w:rPr>
              <w:t>委托</w:t>
            </w:r>
            <w:r>
              <w:rPr>
                <w:rFonts w:hint="eastAsia"/>
                <w:color w:val="auto"/>
                <w:sz w:val="24"/>
              </w:rPr>
              <w:t>江西启扬环保产业有限公司</w:t>
            </w:r>
            <w:r>
              <w:rPr>
                <w:color w:val="auto"/>
                <w:sz w:val="24"/>
              </w:rPr>
              <w:t>开展</w:t>
            </w:r>
            <w:r>
              <w:rPr>
                <w:rFonts w:hint="eastAsia"/>
                <w:color w:val="auto"/>
                <w:sz w:val="24"/>
              </w:rPr>
              <w:t>温泉镇中心卫生院</w:t>
            </w:r>
            <w:r>
              <w:rPr>
                <w:color w:val="auto"/>
                <w:sz w:val="24"/>
              </w:rPr>
              <w:t>目环境影响评价工作。</w:t>
            </w:r>
            <w:r>
              <w:rPr>
                <w:rFonts w:hint="eastAsia"/>
                <w:color w:val="auto"/>
                <w:sz w:val="24"/>
              </w:rPr>
              <w:t>环评单位</w:t>
            </w:r>
            <w:r>
              <w:rPr>
                <w:color w:val="auto"/>
                <w:sz w:val="24"/>
              </w:rPr>
              <w:t>接受委托后，环评工作组进行了实地踏勘和资料收集，在工程分析的基础上，编制了本环境影响报告表。</w:t>
            </w:r>
          </w:p>
          <w:p>
            <w:pPr>
              <w:pStyle w:val="14"/>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color w:val="auto"/>
                <w:sz w:val="24"/>
              </w:rPr>
            </w:pPr>
            <w:r>
              <w:rPr>
                <w:rFonts w:cs="Bold"/>
                <w:b/>
                <w:color w:val="auto"/>
                <w:kern w:val="0"/>
                <w:sz w:val="24"/>
                <w:lang w:bidi="ar"/>
              </w:rPr>
              <w:t>本</w:t>
            </w:r>
            <w:r>
              <w:rPr>
                <w:rFonts w:cs="宋体"/>
                <w:b/>
                <w:color w:val="auto"/>
                <w:kern w:val="0"/>
                <w:sz w:val="24"/>
                <w:lang w:bidi="ar"/>
              </w:rPr>
              <w:t>项</w:t>
            </w:r>
            <w:r>
              <w:rPr>
                <w:rFonts w:cs="Bold"/>
                <w:b/>
                <w:color w:val="auto"/>
                <w:kern w:val="0"/>
                <w:sz w:val="24"/>
                <w:lang w:bidi="ar"/>
              </w:rPr>
              <w:t>目不涉及煎</w:t>
            </w:r>
            <w:r>
              <w:rPr>
                <w:rFonts w:cs="宋体"/>
                <w:b/>
                <w:color w:val="auto"/>
                <w:kern w:val="0"/>
                <w:sz w:val="24"/>
                <w:lang w:bidi="ar"/>
              </w:rPr>
              <w:t>药</w:t>
            </w:r>
            <w:r>
              <w:rPr>
                <w:rFonts w:cs="Bold"/>
                <w:b/>
                <w:color w:val="auto"/>
                <w:kern w:val="0"/>
                <w:sz w:val="24"/>
                <w:lang w:bidi="ar"/>
              </w:rPr>
              <w:t>、不</w:t>
            </w:r>
            <w:r>
              <w:rPr>
                <w:rFonts w:cs="宋体"/>
                <w:b/>
                <w:color w:val="auto"/>
                <w:kern w:val="0"/>
                <w:sz w:val="24"/>
                <w:lang w:bidi="ar"/>
              </w:rPr>
              <w:t>设传</w:t>
            </w:r>
            <w:r>
              <w:rPr>
                <w:rFonts w:cs="Bold"/>
                <w:b/>
                <w:color w:val="auto"/>
                <w:kern w:val="0"/>
                <w:sz w:val="24"/>
                <w:lang w:bidi="ar"/>
              </w:rPr>
              <w:t>染病病房，只有感染性</w:t>
            </w:r>
            <w:r>
              <w:rPr>
                <w:rFonts w:cs="宋体"/>
                <w:b/>
                <w:color w:val="auto"/>
                <w:kern w:val="0"/>
                <w:sz w:val="24"/>
                <w:lang w:bidi="ar"/>
              </w:rPr>
              <w:t>门诊</w:t>
            </w:r>
            <w:r>
              <w:rPr>
                <w:rFonts w:cs="Bold"/>
                <w:b/>
                <w:color w:val="auto"/>
                <w:kern w:val="0"/>
                <w:sz w:val="24"/>
                <w:lang w:bidi="ar"/>
              </w:rPr>
              <w:t>，当</w:t>
            </w:r>
            <w:r>
              <w:rPr>
                <w:rFonts w:cs="宋体"/>
                <w:b/>
                <w:color w:val="auto"/>
                <w:kern w:val="0"/>
                <w:sz w:val="24"/>
                <w:lang w:bidi="ar"/>
              </w:rPr>
              <w:t>门诊</w:t>
            </w:r>
            <w:r>
              <w:rPr>
                <w:rFonts w:cs="Bold"/>
                <w:b/>
                <w:color w:val="auto"/>
                <w:kern w:val="0"/>
                <w:sz w:val="24"/>
                <w:lang w:bidi="ar"/>
              </w:rPr>
              <w:t>接收到</w:t>
            </w:r>
            <w:r>
              <w:rPr>
                <w:rFonts w:cs="宋体"/>
                <w:b/>
                <w:color w:val="auto"/>
                <w:kern w:val="0"/>
                <w:sz w:val="24"/>
                <w:lang w:bidi="ar"/>
              </w:rPr>
              <w:t>传</w:t>
            </w:r>
            <w:r>
              <w:rPr>
                <w:rFonts w:cs="Bold"/>
                <w:b/>
                <w:color w:val="auto"/>
                <w:kern w:val="0"/>
                <w:sz w:val="24"/>
                <w:lang w:bidi="ar"/>
              </w:rPr>
              <w:t>染病人后立即</w:t>
            </w:r>
            <w:r>
              <w:rPr>
                <w:rFonts w:cs="宋体"/>
                <w:b/>
                <w:color w:val="auto"/>
                <w:kern w:val="0"/>
                <w:sz w:val="24"/>
                <w:lang w:bidi="ar"/>
              </w:rPr>
              <w:t>转</w:t>
            </w:r>
            <w:r>
              <w:rPr>
                <w:rFonts w:cs="Bold"/>
                <w:b/>
                <w:color w:val="auto"/>
                <w:kern w:val="0"/>
                <w:sz w:val="24"/>
                <w:lang w:bidi="ar"/>
              </w:rPr>
              <w:t>送当地</w:t>
            </w:r>
            <w:r>
              <w:rPr>
                <w:rFonts w:cs="宋体"/>
                <w:b/>
                <w:color w:val="auto"/>
                <w:kern w:val="0"/>
                <w:sz w:val="24"/>
                <w:lang w:bidi="ar"/>
              </w:rPr>
              <w:t>传</w:t>
            </w:r>
            <w:r>
              <w:rPr>
                <w:rFonts w:cs="Bold"/>
                <w:b/>
                <w:color w:val="auto"/>
                <w:kern w:val="0"/>
                <w:sz w:val="24"/>
                <w:lang w:bidi="ar"/>
              </w:rPr>
              <w:t>染病医院。本</w:t>
            </w:r>
            <w:r>
              <w:rPr>
                <w:rFonts w:cs="宋体"/>
                <w:b/>
                <w:color w:val="auto"/>
                <w:kern w:val="0"/>
                <w:sz w:val="24"/>
                <w:lang w:bidi="ar"/>
              </w:rPr>
              <w:t>项</w:t>
            </w:r>
            <w:r>
              <w:rPr>
                <w:rFonts w:cs="Bold"/>
                <w:b/>
                <w:color w:val="auto"/>
                <w:kern w:val="0"/>
                <w:sz w:val="24"/>
                <w:lang w:bidi="ar"/>
              </w:rPr>
              <w:t>目配</w:t>
            </w:r>
            <w:r>
              <w:rPr>
                <w:rFonts w:cs="宋体"/>
                <w:b/>
                <w:color w:val="auto"/>
                <w:kern w:val="0"/>
                <w:sz w:val="24"/>
                <w:lang w:bidi="ar"/>
              </w:rPr>
              <w:t>备</w:t>
            </w:r>
            <w:r>
              <w:rPr>
                <w:rFonts w:cs="Bold"/>
                <w:b/>
                <w:color w:val="auto"/>
                <w:kern w:val="0"/>
                <w:sz w:val="24"/>
                <w:lang w:bidi="ar"/>
              </w:rPr>
              <w:t>有</w:t>
            </w:r>
            <w:r>
              <w:rPr>
                <w:rFonts w:cs="TimesNewRomanPS-BoldMT"/>
                <w:b/>
                <w:color w:val="auto"/>
                <w:kern w:val="0"/>
                <w:sz w:val="24"/>
                <w:lang w:bidi="ar"/>
              </w:rPr>
              <w:t>DR</w:t>
            </w:r>
            <w:r>
              <w:rPr>
                <w:rFonts w:cs="Bold"/>
                <w:b/>
                <w:color w:val="auto"/>
                <w:kern w:val="0"/>
                <w:sz w:val="24"/>
                <w:lang w:bidi="ar"/>
              </w:rPr>
              <w:t>机等放射科</w:t>
            </w:r>
            <w:r>
              <w:rPr>
                <w:rFonts w:cs="宋体"/>
                <w:b/>
                <w:color w:val="auto"/>
                <w:kern w:val="0"/>
                <w:sz w:val="24"/>
                <w:lang w:bidi="ar"/>
              </w:rPr>
              <w:t>辐</w:t>
            </w:r>
            <w:r>
              <w:rPr>
                <w:rFonts w:cs="Bold"/>
                <w:b/>
                <w:color w:val="auto"/>
                <w:kern w:val="0"/>
                <w:sz w:val="24"/>
                <w:lang w:bidi="ar"/>
              </w:rPr>
              <w:t>射</w:t>
            </w:r>
            <w:r>
              <w:rPr>
                <w:rFonts w:cs="宋体"/>
                <w:b/>
                <w:color w:val="auto"/>
                <w:kern w:val="0"/>
                <w:sz w:val="24"/>
                <w:lang w:bidi="ar"/>
              </w:rPr>
              <w:t>设备</w:t>
            </w:r>
            <w:r>
              <w:rPr>
                <w:rFonts w:cs="Bold"/>
                <w:b/>
                <w:color w:val="auto"/>
                <w:kern w:val="0"/>
                <w:sz w:val="24"/>
                <w:lang w:bidi="ar"/>
              </w:rPr>
              <w:t>，本次</w:t>
            </w:r>
            <w:r>
              <w:rPr>
                <w:rFonts w:cs="宋体"/>
                <w:b/>
                <w:color w:val="auto"/>
                <w:kern w:val="0"/>
                <w:sz w:val="24"/>
                <w:lang w:bidi="ar"/>
              </w:rPr>
              <w:t>环评</w:t>
            </w:r>
            <w:r>
              <w:rPr>
                <w:rFonts w:cs="Bold"/>
                <w:b/>
                <w:color w:val="auto"/>
                <w:kern w:val="0"/>
                <w:sz w:val="24"/>
                <w:lang w:bidi="ar"/>
              </w:rPr>
              <w:t>不包括放射科</w:t>
            </w:r>
            <w:r>
              <w:rPr>
                <w:rFonts w:cs="宋体"/>
                <w:b/>
                <w:color w:val="auto"/>
                <w:kern w:val="0"/>
                <w:sz w:val="24"/>
                <w:lang w:bidi="ar"/>
              </w:rPr>
              <w:t>设备</w:t>
            </w:r>
            <w:r>
              <w:rPr>
                <w:rFonts w:cs="Bold"/>
                <w:b/>
                <w:color w:val="auto"/>
                <w:kern w:val="0"/>
                <w:sz w:val="24"/>
                <w:lang w:bidi="ar"/>
              </w:rPr>
              <w:t>的</w:t>
            </w:r>
            <w:r>
              <w:rPr>
                <w:rFonts w:cs="宋体"/>
                <w:b/>
                <w:color w:val="auto"/>
                <w:kern w:val="0"/>
                <w:sz w:val="24"/>
                <w:lang w:bidi="ar"/>
              </w:rPr>
              <w:t>环</w:t>
            </w:r>
            <w:r>
              <w:rPr>
                <w:rFonts w:cs="Bold"/>
                <w:b/>
                <w:color w:val="auto"/>
                <w:kern w:val="0"/>
                <w:sz w:val="24"/>
                <w:lang w:bidi="ar"/>
              </w:rPr>
              <w:t>境影响</w:t>
            </w:r>
            <w:r>
              <w:rPr>
                <w:rFonts w:cs="宋体"/>
                <w:b/>
                <w:color w:val="auto"/>
                <w:kern w:val="0"/>
                <w:sz w:val="24"/>
                <w:lang w:bidi="ar"/>
              </w:rPr>
              <w:t>评</w:t>
            </w:r>
            <w:r>
              <w:rPr>
                <w:rFonts w:cs="Bold"/>
                <w:b/>
                <w:color w:val="auto"/>
                <w:kern w:val="0"/>
                <w:sz w:val="24"/>
                <w:lang w:bidi="ar"/>
              </w:rPr>
              <w:t>价内容，放射科</w:t>
            </w:r>
            <w:r>
              <w:rPr>
                <w:rFonts w:cs="宋体"/>
                <w:b/>
                <w:color w:val="auto"/>
                <w:kern w:val="0"/>
                <w:sz w:val="24"/>
                <w:lang w:bidi="ar"/>
              </w:rPr>
              <w:t>辐</w:t>
            </w:r>
            <w:r>
              <w:rPr>
                <w:rFonts w:cs="Bold"/>
                <w:b/>
                <w:color w:val="auto"/>
                <w:kern w:val="0"/>
                <w:sz w:val="24"/>
                <w:lang w:bidi="ar"/>
              </w:rPr>
              <w:t>射</w:t>
            </w:r>
            <w:r>
              <w:rPr>
                <w:rFonts w:cs="宋体"/>
                <w:b/>
                <w:color w:val="auto"/>
                <w:kern w:val="0"/>
                <w:sz w:val="24"/>
                <w:lang w:bidi="ar"/>
              </w:rPr>
              <w:t>设备须单</w:t>
            </w:r>
            <w:r>
              <w:rPr>
                <w:rFonts w:cs="Bold"/>
                <w:b/>
                <w:color w:val="auto"/>
                <w:kern w:val="0"/>
                <w:sz w:val="24"/>
                <w:lang w:bidi="ar"/>
              </w:rPr>
              <w:t>独</w:t>
            </w:r>
            <w:r>
              <w:rPr>
                <w:rFonts w:cs="宋体"/>
                <w:b/>
                <w:color w:val="auto"/>
                <w:kern w:val="0"/>
                <w:sz w:val="24"/>
                <w:lang w:bidi="ar"/>
              </w:rPr>
              <w:t>办</w:t>
            </w:r>
            <w:r>
              <w:rPr>
                <w:rFonts w:cs="Bold"/>
                <w:b/>
                <w:color w:val="auto"/>
                <w:kern w:val="0"/>
                <w:sz w:val="24"/>
                <w:lang w:bidi="ar"/>
              </w:rPr>
              <w:t>理</w:t>
            </w:r>
            <w:r>
              <w:rPr>
                <w:rFonts w:cs="宋体"/>
                <w:b/>
                <w:color w:val="auto"/>
                <w:kern w:val="0"/>
                <w:sz w:val="24"/>
                <w:lang w:bidi="ar"/>
              </w:rPr>
              <w:t>环评</w:t>
            </w:r>
            <w:r>
              <w:rPr>
                <w:rFonts w:cs="Bold"/>
                <w:b/>
                <w:color w:val="auto"/>
                <w:kern w:val="0"/>
                <w:sz w:val="24"/>
                <w:lang w:bidi="ar"/>
              </w:rPr>
              <w:t>手</w:t>
            </w:r>
            <w:r>
              <w:rPr>
                <w:rFonts w:cs="宋体"/>
                <w:b/>
                <w:color w:val="auto"/>
                <w:kern w:val="0"/>
                <w:sz w:val="24"/>
                <w:lang w:bidi="ar"/>
              </w:rPr>
              <w:t>续</w:t>
            </w:r>
            <w:r>
              <w:rPr>
                <w:rFonts w:cs="Bold"/>
                <w:b/>
                <w:color w:val="auto"/>
                <w:kern w:val="0"/>
                <w:sz w:val="24"/>
                <w:lang w:bidi="ar"/>
              </w:rPr>
              <w:t>。</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2、</w:t>
            </w:r>
            <w:r>
              <w:rPr>
                <w:b/>
                <w:bCs/>
                <w:color w:val="auto"/>
                <w:sz w:val="24"/>
              </w:rPr>
              <w:t>工程建设内容</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本项目建设地点位于江西省九江市庐山市温泉镇212省道（环南山公路老隘口村旁），</w:t>
            </w:r>
            <w:r>
              <w:rPr>
                <w:rFonts w:hint="eastAsia" w:cs="宋体"/>
                <w:color w:val="auto"/>
                <w:kern w:val="0"/>
                <w:sz w:val="24"/>
                <w:lang w:bidi="ar"/>
              </w:rPr>
              <w:t>项目建设内容为新建4602m</w:t>
            </w:r>
            <w:r>
              <w:rPr>
                <w:rFonts w:hint="eastAsia" w:cs="宋体"/>
                <w:color w:val="auto"/>
                <w:kern w:val="0"/>
                <w:sz w:val="24"/>
                <w:vertAlign w:val="superscript"/>
                <w:lang w:bidi="ar"/>
              </w:rPr>
              <w:t>2</w:t>
            </w:r>
            <w:r>
              <w:rPr>
                <w:rFonts w:hint="eastAsia" w:cs="宋体"/>
                <w:color w:val="auto"/>
                <w:kern w:val="0"/>
                <w:sz w:val="24"/>
                <w:lang w:bidi="ar"/>
              </w:rPr>
              <w:t>急救大楼装修设计、室外场地硬化、新建围墙门卫，污废水处理系统等。</w:t>
            </w:r>
            <w:r>
              <w:rPr>
                <w:rFonts w:hint="eastAsia"/>
                <w:color w:val="auto"/>
                <w:sz w:val="24"/>
              </w:rPr>
              <w:t>温泉镇中心卫生院设急诊科、内科、外科、妇科、儿科、发热门诊、肠道门诊、检验科、B超室、心电图室、五官科、中医科、预防接种等科室，不设置传染科、太平间，中医馆仅提供问诊、针灸等服务，无煎药，不产生相应固废。医院核定床位20张，开设床位20张，</w:t>
            </w:r>
            <w:r>
              <w:rPr>
                <w:color w:val="auto"/>
                <w:sz w:val="24"/>
              </w:rPr>
              <w:t>现有门诊量</w:t>
            </w:r>
            <w:r>
              <w:rPr>
                <w:rFonts w:hint="eastAsia"/>
                <w:color w:val="auto"/>
                <w:sz w:val="24"/>
              </w:rPr>
              <w:t>约</w:t>
            </w:r>
            <w:r>
              <w:rPr>
                <w:color w:val="auto"/>
                <w:sz w:val="24"/>
              </w:rPr>
              <w:t>2</w:t>
            </w:r>
            <w:r>
              <w:rPr>
                <w:rFonts w:hint="eastAsia"/>
                <w:color w:val="auto"/>
                <w:sz w:val="24"/>
              </w:rPr>
              <w:t>0</w:t>
            </w:r>
            <w:r>
              <w:rPr>
                <w:color w:val="auto"/>
                <w:sz w:val="24"/>
              </w:rPr>
              <w:t>人/天。</w:t>
            </w:r>
          </w:p>
          <w:p>
            <w:pPr>
              <w:pStyle w:val="43"/>
              <w:keepNext w:val="0"/>
              <w:keepLines w:val="0"/>
              <w:pageBreakBefore w:val="0"/>
              <w:widowControl/>
              <w:kinsoku/>
              <w:wordWrap/>
              <w:overflowPunct w:val="0"/>
              <w:topLinePunct w:val="0"/>
              <w:autoSpaceDE w:val="0"/>
              <w:autoSpaceDN w:val="0"/>
              <w:bidi w:val="0"/>
              <w:adjustRightInd w:val="0"/>
              <w:snapToGrid/>
              <w:textAlignment w:val="baseline"/>
              <w:rPr>
                <w:b/>
                <w:color w:val="auto"/>
                <w:sz w:val="21"/>
                <w:lang w:val="zh-CN"/>
              </w:rPr>
            </w:pPr>
            <w:r>
              <w:rPr>
                <w:b/>
                <w:color w:val="auto"/>
                <w:sz w:val="21"/>
                <w:lang w:val="zh-CN"/>
              </w:rPr>
              <w:t>表</w:t>
            </w:r>
            <w:r>
              <w:rPr>
                <w:rFonts w:hint="eastAsia"/>
                <w:b/>
                <w:color w:val="auto"/>
                <w:sz w:val="21"/>
                <w:lang w:val="en-US"/>
              </w:rPr>
              <w:t>2-1</w:t>
            </w:r>
            <w:r>
              <w:rPr>
                <w:rFonts w:hint="eastAsia"/>
                <w:b/>
                <w:color w:val="auto"/>
                <w:sz w:val="21"/>
                <w:lang w:val="en-US" w:eastAsia="zh-CN"/>
              </w:rPr>
              <w:t xml:space="preserve"> </w:t>
            </w:r>
            <w:r>
              <w:rPr>
                <w:b/>
                <w:color w:val="auto"/>
                <w:sz w:val="21"/>
                <w:lang w:val="zh-CN"/>
              </w:rPr>
              <w:t>主要工程建设内容一览表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57" w:type="dxa"/>
                <w:bottom w:w="28" w:type="dxa"/>
                <w:right w:w="57" w:type="dxa"/>
              </w:tblCellMar>
            </w:tblPr>
            <w:tblGrid>
              <w:gridCol w:w="589"/>
              <w:gridCol w:w="616"/>
              <w:gridCol w:w="1175"/>
              <w:gridCol w:w="5233"/>
              <w:gridCol w:w="7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tcBorders>
                    <w:tl2br w:val="nil"/>
                    <w:tr2bl w:val="nil"/>
                  </w:tcBorders>
                  <w:vAlign w:val="center"/>
                </w:tcPr>
                <w:p>
                  <w:pPr>
                    <w:pStyle w:val="43"/>
                    <w:rPr>
                      <w:color w:val="auto"/>
                    </w:rPr>
                  </w:pPr>
                  <w:r>
                    <w:rPr>
                      <w:color w:val="auto"/>
                    </w:rPr>
                    <w:t>类别</w:t>
                  </w:r>
                </w:p>
              </w:tc>
              <w:tc>
                <w:tcPr>
                  <w:tcW w:w="1067" w:type="pct"/>
                  <w:gridSpan w:val="2"/>
                  <w:tcBorders>
                    <w:tl2br w:val="nil"/>
                    <w:tr2bl w:val="nil"/>
                  </w:tcBorders>
                  <w:vAlign w:val="center"/>
                </w:tcPr>
                <w:p>
                  <w:pPr>
                    <w:pStyle w:val="43"/>
                    <w:rPr>
                      <w:color w:val="auto"/>
                    </w:rPr>
                  </w:pPr>
                  <w:r>
                    <w:rPr>
                      <w:color w:val="auto"/>
                    </w:rPr>
                    <w:t>楼层</w:t>
                  </w:r>
                </w:p>
              </w:tc>
              <w:tc>
                <w:tcPr>
                  <w:tcW w:w="3118" w:type="pct"/>
                  <w:tcBorders>
                    <w:tl2br w:val="nil"/>
                    <w:tr2bl w:val="nil"/>
                  </w:tcBorders>
                  <w:vAlign w:val="center"/>
                </w:tcPr>
                <w:p>
                  <w:pPr>
                    <w:pStyle w:val="43"/>
                    <w:rPr>
                      <w:color w:val="auto"/>
                    </w:rPr>
                  </w:pPr>
                  <w:r>
                    <w:rPr>
                      <w:color w:val="auto"/>
                    </w:rPr>
                    <w:t>主要内容</w:t>
                  </w:r>
                </w:p>
              </w:tc>
              <w:tc>
                <w:tcPr>
                  <w:tcW w:w="462" w:type="pct"/>
                  <w:tcBorders>
                    <w:tl2br w:val="nil"/>
                    <w:tr2bl w:val="nil"/>
                  </w:tcBorders>
                  <w:shd w:val="clear" w:color="auto" w:fill="auto"/>
                  <w:vAlign w:val="center"/>
                </w:tcPr>
                <w:p>
                  <w:pPr>
                    <w:pStyle w:val="43"/>
                    <w:rPr>
                      <w:color w:val="auto"/>
                    </w:rPr>
                  </w:pPr>
                  <w:r>
                    <w:rPr>
                      <w:color w:val="auto"/>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2762" w:hRule="atLeast"/>
              </w:trPr>
              <w:tc>
                <w:tcPr>
                  <w:tcW w:w="351" w:type="pct"/>
                  <w:tcBorders>
                    <w:tl2br w:val="nil"/>
                    <w:tr2bl w:val="nil"/>
                  </w:tcBorders>
                  <w:vAlign w:val="center"/>
                </w:tcPr>
                <w:p>
                  <w:pPr>
                    <w:pStyle w:val="44"/>
                    <w:rPr>
                      <w:color w:val="auto"/>
                    </w:rPr>
                  </w:pPr>
                  <w:r>
                    <w:rPr>
                      <w:rFonts w:hint="eastAsia"/>
                      <w:color w:val="auto"/>
                    </w:rPr>
                    <w:t>主体工程</w:t>
                  </w:r>
                </w:p>
              </w:tc>
              <w:tc>
                <w:tcPr>
                  <w:tcW w:w="367" w:type="pct"/>
                  <w:tcBorders>
                    <w:tl2br w:val="nil"/>
                    <w:tr2bl w:val="nil"/>
                  </w:tcBorders>
                  <w:vAlign w:val="center"/>
                </w:tcPr>
                <w:p>
                  <w:pPr>
                    <w:pStyle w:val="44"/>
                    <w:rPr>
                      <w:color w:val="auto"/>
                    </w:rPr>
                  </w:pPr>
                  <w:r>
                    <w:rPr>
                      <w:rFonts w:hint="eastAsia"/>
                      <w:color w:val="auto"/>
                    </w:rPr>
                    <w:t>急救大楼</w:t>
                  </w:r>
                </w:p>
              </w:tc>
              <w:tc>
                <w:tcPr>
                  <w:tcW w:w="700" w:type="pct"/>
                  <w:tcBorders>
                    <w:tl2br w:val="nil"/>
                    <w:tr2bl w:val="nil"/>
                  </w:tcBorders>
                  <w:vAlign w:val="center"/>
                </w:tcPr>
                <w:p>
                  <w:pPr>
                    <w:pStyle w:val="44"/>
                    <w:rPr>
                      <w:color w:val="auto"/>
                    </w:rPr>
                  </w:pPr>
                  <w:r>
                    <w:rPr>
                      <w:rFonts w:hint="eastAsia"/>
                      <w:color w:val="auto"/>
                    </w:rPr>
                    <w:t>4层</w:t>
                  </w:r>
                </w:p>
              </w:tc>
              <w:tc>
                <w:tcPr>
                  <w:tcW w:w="3118" w:type="pct"/>
                  <w:tcBorders>
                    <w:tl2br w:val="nil"/>
                    <w:tr2bl w:val="nil"/>
                  </w:tcBorders>
                  <w:vAlign w:val="center"/>
                </w:tcPr>
                <w:p>
                  <w:pPr>
                    <w:pStyle w:val="44"/>
                    <w:rPr>
                      <w:color w:val="auto"/>
                      <w:vertAlign w:val="superscript"/>
                    </w:rPr>
                  </w:pPr>
                  <w:r>
                    <w:rPr>
                      <w:rFonts w:hint="eastAsia"/>
                      <w:color w:val="auto"/>
                    </w:rPr>
                    <w:t>1F：主要为预防接种门诊、全科门诊、急诊科、肠道门诊、发热门诊、药房、消防控制室、收费室，占地面积1076m</w:t>
                  </w:r>
                  <w:r>
                    <w:rPr>
                      <w:rFonts w:hint="eastAsia"/>
                      <w:color w:val="auto"/>
                      <w:vertAlign w:val="superscript"/>
                    </w:rPr>
                    <w:t>2</w:t>
                  </w:r>
                </w:p>
                <w:p>
                  <w:pPr>
                    <w:pStyle w:val="44"/>
                    <w:rPr>
                      <w:color w:val="auto"/>
                    </w:rPr>
                  </w:pPr>
                  <w:r>
                    <w:rPr>
                      <w:rFonts w:hint="eastAsia"/>
                      <w:color w:val="auto"/>
                    </w:rPr>
                    <w:t>2F：主要为住院部、输液室、B超室、心电图室、化验室、护士站、医生办公室，占地面积1076m</w:t>
                  </w:r>
                  <w:r>
                    <w:rPr>
                      <w:rFonts w:hint="eastAsia"/>
                      <w:color w:val="auto"/>
                      <w:vertAlign w:val="superscript"/>
                    </w:rPr>
                    <w:t>2</w:t>
                  </w:r>
                </w:p>
                <w:p>
                  <w:pPr>
                    <w:pStyle w:val="44"/>
                    <w:rPr>
                      <w:color w:val="auto"/>
                    </w:rPr>
                  </w:pPr>
                  <w:r>
                    <w:rPr>
                      <w:rFonts w:hint="eastAsia"/>
                      <w:color w:val="auto"/>
                    </w:rPr>
                    <w:t>3F：主要为手术室、儿科、妇产科、慢性病室、五官科、眼科、公卫科、中医馆，占地面积1076m</w:t>
                  </w:r>
                  <w:r>
                    <w:rPr>
                      <w:rFonts w:hint="eastAsia"/>
                      <w:color w:val="auto"/>
                      <w:vertAlign w:val="superscript"/>
                    </w:rPr>
                    <w:t>2</w:t>
                  </w:r>
                </w:p>
                <w:p>
                  <w:pPr>
                    <w:pStyle w:val="44"/>
                    <w:rPr>
                      <w:color w:val="auto"/>
                    </w:rPr>
                  </w:pPr>
                  <w:r>
                    <w:rPr>
                      <w:rFonts w:hint="eastAsia"/>
                      <w:color w:val="auto"/>
                    </w:rPr>
                    <w:t>4F：食堂、员工宿舍、办公室、会议室、资料室，占地面积1076m</w:t>
                  </w:r>
                  <w:r>
                    <w:rPr>
                      <w:rFonts w:hint="eastAsia"/>
                      <w:color w:val="auto"/>
                      <w:vertAlign w:val="superscript"/>
                    </w:rPr>
                    <w:t>2</w:t>
                  </w:r>
                </w:p>
                <w:p>
                  <w:pPr>
                    <w:pStyle w:val="44"/>
                    <w:rPr>
                      <w:color w:val="auto"/>
                      <w:vertAlign w:val="superscript"/>
                    </w:rPr>
                  </w:pPr>
                  <w:r>
                    <w:rPr>
                      <w:rFonts w:hint="eastAsia"/>
                      <w:color w:val="auto"/>
                    </w:rPr>
                    <w:t>-1F：DR室、</w:t>
                  </w:r>
                  <w:r>
                    <w:rPr>
                      <w:color w:val="auto"/>
                    </w:rPr>
                    <w:t>柴油发电机房</w:t>
                  </w:r>
                  <w:r>
                    <w:rPr>
                      <w:rFonts w:hint="eastAsia"/>
                      <w:color w:val="auto"/>
                    </w:rPr>
                    <w:t>、水处理设备间</w:t>
                  </w:r>
                </w:p>
              </w:tc>
              <w:tc>
                <w:tcPr>
                  <w:tcW w:w="462" w:type="pct"/>
                  <w:vMerge w:val="restart"/>
                  <w:tcBorders>
                    <w:tl2br w:val="nil"/>
                    <w:tr2bl w:val="nil"/>
                  </w:tcBorders>
                  <w:vAlign w:val="center"/>
                </w:tcPr>
                <w:p>
                  <w:pPr>
                    <w:jc w:val="center"/>
                    <w:rPr>
                      <w:color w:val="auto"/>
                      <w:szCs w:val="21"/>
                    </w:rPr>
                  </w:pPr>
                  <w:r>
                    <w:rPr>
                      <w:rFonts w:hint="eastAsia"/>
                      <w:color w:val="auto"/>
                      <w:szCs w:val="21"/>
                    </w:rPr>
                    <w:t>利用原有急救大楼装修设计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restart"/>
                  <w:tcBorders>
                    <w:tl2br w:val="nil"/>
                    <w:tr2bl w:val="nil"/>
                  </w:tcBorders>
                  <w:vAlign w:val="center"/>
                </w:tcPr>
                <w:p>
                  <w:pPr>
                    <w:pStyle w:val="44"/>
                    <w:rPr>
                      <w:color w:val="auto"/>
                    </w:rPr>
                  </w:pPr>
                  <w:r>
                    <w:rPr>
                      <w:rFonts w:hint="eastAsia"/>
                      <w:color w:val="auto"/>
                    </w:rPr>
                    <w:t>配套工程</w:t>
                  </w:r>
                </w:p>
              </w:tc>
              <w:tc>
                <w:tcPr>
                  <w:tcW w:w="1067" w:type="pct"/>
                  <w:gridSpan w:val="2"/>
                  <w:tcBorders>
                    <w:tl2br w:val="nil"/>
                    <w:tr2bl w:val="nil"/>
                  </w:tcBorders>
                  <w:vAlign w:val="center"/>
                </w:tcPr>
                <w:p>
                  <w:pPr>
                    <w:pStyle w:val="44"/>
                    <w:rPr>
                      <w:color w:val="auto"/>
                    </w:rPr>
                  </w:pPr>
                  <w:r>
                    <w:rPr>
                      <w:rFonts w:hint="eastAsia"/>
                      <w:color w:val="auto"/>
                    </w:rPr>
                    <w:t>地下室</w:t>
                  </w:r>
                </w:p>
              </w:tc>
              <w:tc>
                <w:tcPr>
                  <w:tcW w:w="3118" w:type="pct"/>
                  <w:tcBorders>
                    <w:tl2br w:val="nil"/>
                    <w:tr2bl w:val="nil"/>
                  </w:tcBorders>
                  <w:vAlign w:val="center"/>
                </w:tcPr>
                <w:p>
                  <w:pPr>
                    <w:pStyle w:val="44"/>
                    <w:rPr>
                      <w:color w:val="auto"/>
                    </w:rPr>
                  </w:pPr>
                  <w:r>
                    <w:rPr>
                      <w:color w:val="auto"/>
                    </w:rPr>
                    <w:t>柴油发电机房</w:t>
                  </w:r>
                  <w:r>
                    <w:rPr>
                      <w:rFonts w:hint="eastAsia"/>
                      <w:color w:val="auto"/>
                    </w:rPr>
                    <w:t>、水处理设备间</w:t>
                  </w:r>
                </w:p>
              </w:tc>
              <w:tc>
                <w:tcPr>
                  <w:tcW w:w="462" w:type="pct"/>
                  <w:vMerge w:val="continue"/>
                  <w:tcBorders>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停车场</w:t>
                  </w:r>
                </w:p>
              </w:tc>
              <w:tc>
                <w:tcPr>
                  <w:tcW w:w="3118" w:type="pct"/>
                  <w:tcBorders>
                    <w:tl2br w:val="nil"/>
                    <w:tr2bl w:val="nil"/>
                  </w:tcBorders>
                  <w:vAlign w:val="center"/>
                </w:tcPr>
                <w:p>
                  <w:pPr>
                    <w:pStyle w:val="44"/>
                    <w:rPr>
                      <w:color w:val="auto"/>
                    </w:rPr>
                  </w:pPr>
                  <w:r>
                    <w:rPr>
                      <w:rFonts w:hint="eastAsia"/>
                      <w:color w:val="auto"/>
                    </w:rPr>
                    <w:t>露天停车场</w:t>
                  </w:r>
                </w:p>
              </w:tc>
              <w:tc>
                <w:tcPr>
                  <w:tcW w:w="462" w:type="pct"/>
                  <w:vMerge w:val="continue"/>
                  <w:tcBorders>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食堂</w:t>
                  </w:r>
                </w:p>
              </w:tc>
              <w:tc>
                <w:tcPr>
                  <w:tcW w:w="3118" w:type="pct"/>
                  <w:tcBorders>
                    <w:tl2br w:val="nil"/>
                    <w:tr2bl w:val="nil"/>
                  </w:tcBorders>
                  <w:vAlign w:val="center"/>
                </w:tcPr>
                <w:p>
                  <w:pPr>
                    <w:pStyle w:val="44"/>
                    <w:rPr>
                      <w:color w:val="auto"/>
                    </w:rPr>
                  </w:pPr>
                  <w:r>
                    <w:rPr>
                      <w:rFonts w:hint="eastAsia"/>
                      <w:color w:val="auto"/>
                    </w:rPr>
                    <w:t>位于急救大楼4楼西南角</w:t>
                  </w:r>
                </w:p>
              </w:tc>
              <w:tc>
                <w:tcPr>
                  <w:tcW w:w="462" w:type="pct"/>
                  <w:vMerge w:val="continue"/>
                  <w:tcBorders>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员工宿舍</w:t>
                  </w:r>
                </w:p>
              </w:tc>
              <w:tc>
                <w:tcPr>
                  <w:tcW w:w="3118" w:type="pct"/>
                  <w:tcBorders>
                    <w:tl2br w:val="nil"/>
                    <w:tr2bl w:val="nil"/>
                  </w:tcBorders>
                  <w:vAlign w:val="center"/>
                </w:tcPr>
                <w:p>
                  <w:pPr>
                    <w:pStyle w:val="44"/>
                    <w:rPr>
                      <w:color w:val="auto"/>
                    </w:rPr>
                  </w:pPr>
                  <w:r>
                    <w:rPr>
                      <w:rFonts w:hint="eastAsia"/>
                      <w:color w:val="auto"/>
                    </w:rPr>
                    <w:t>急救大楼4楼</w:t>
                  </w:r>
                </w:p>
              </w:tc>
              <w:tc>
                <w:tcPr>
                  <w:tcW w:w="462" w:type="pct"/>
                  <w:vMerge w:val="continue"/>
                  <w:tcBorders>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医疗废物暂存间</w:t>
                  </w:r>
                </w:p>
              </w:tc>
              <w:tc>
                <w:tcPr>
                  <w:tcW w:w="3118" w:type="pct"/>
                  <w:tcBorders>
                    <w:tl2br w:val="nil"/>
                    <w:tr2bl w:val="nil"/>
                  </w:tcBorders>
                  <w:vAlign w:val="center"/>
                </w:tcPr>
                <w:p>
                  <w:pPr>
                    <w:pStyle w:val="44"/>
                    <w:rPr>
                      <w:color w:val="auto"/>
                    </w:rPr>
                  </w:pPr>
                  <w:r>
                    <w:rPr>
                      <w:rFonts w:hint="eastAsia"/>
                      <w:color w:val="auto"/>
                    </w:rPr>
                    <w:t>用于医疗废物存放，</w:t>
                  </w:r>
                  <w:r>
                    <w:rPr>
                      <w:color w:val="auto"/>
                    </w:rPr>
                    <w:t>面积为</w:t>
                  </w:r>
                  <w:r>
                    <w:rPr>
                      <w:rFonts w:hint="eastAsia"/>
                      <w:color w:val="auto"/>
                    </w:rPr>
                    <w:t>20m</w:t>
                  </w:r>
                  <w:r>
                    <w:rPr>
                      <w:rFonts w:hint="eastAsia"/>
                      <w:color w:val="auto"/>
                      <w:vertAlign w:val="superscript"/>
                    </w:rPr>
                    <w:t>2</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可回收物品间</w:t>
                  </w:r>
                </w:p>
              </w:tc>
              <w:tc>
                <w:tcPr>
                  <w:tcW w:w="3118" w:type="pct"/>
                  <w:tcBorders>
                    <w:tl2br w:val="nil"/>
                    <w:tr2bl w:val="nil"/>
                  </w:tcBorders>
                  <w:vAlign w:val="center"/>
                </w:tcPr>
                <w:p>
                  <w:pPr>
                    <w:pStyle w:val="44"/>
                    <w:rPr>
                      <w:color w:val="auto"/>
                    </w:rPr>
                  </w:pPr>
                  <w:r>
                    <w:rPr>
                      <w:rFonts w:hint="eastAsia"/>
                      <w:color w:val="auto"/>
                    </w:rPr>
                    <w:t>用于放置废弃的输液软袋、塑料输液瓶等，</w:t>
                  </w:r>
                  <w:r>
                    <w:rPr>
                      <w:color w:val="auto"/>
                    </w:rPr>
                    <w:t>面积为</w:t>
                  </w:r>
                  <w:r>
                    <w:rPr>
                      <w:rFonts w:hint="eastAsia"/>
                      <w:color w:val="auto"/>
                    </w:rPr>
                    <w:t>20m</w:t>
                  </w:r>
                  <w:r>
                    <w:rPr>
                      <w:rFonts w:hint="eastAsia"/>
                      <w:color w:val="auto"/>
                      <w:vertAlign w:val="superscript"/>
                    </w:rPr>
                    <w:t>2</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tcBorders>
                    <w:tl2br w:val="nil"/>
                    <w:tr2bl w:val="nil"/>
                  </w:tcBorders>
                  <w:vAlign w:val="center"/>
                </w:tcPr>
                <w:p>
                  <w:pPr>
                    <w:pStyle w:val="44"/>
                    <w:rPr>
                      <w:color w:val="auto"/>
                    </w:rPr>
                  </w:pPr>
                  <w:r>
                    <w:rPr>
                      <w:color w:val="auto"/>
                    </w:rPr>
                    <w:t>储运</w:t>
                  </w:r>
                </w:p>
                <w:p>
                  <w:pPr>
                    <w:pStyle w:val="44"/>
                    <w:rPr>
                      <w:color w:val="auto"/>
                    </w:rPr>
                  </w:pPr>
                  <w:r>
                    <w:rPr>
                      <w:color w:val="auto"/>
                    </w:rPr>
                    <w:t>工程</w:t>
                  </w:r>
                </w:p>
              </w:tc>
              <w:tc>
                <w:tcPr>
                  <w:tcW w:w="1067" w:type="pct"/>
                  <w:gridSpan w:val="2"/>
                  <w:tcBorders>
                    <w:tl2br w:val="nil"/>
                    <w:tr2bl w:val="nil"/>
                  </w:tcBorders>
                  <w:vAlign w:val="center"/>
                </w:tcPr>
                <w:p>
                  <w:pPr>
                    <w:pStyle w:val="44"/>
                    <w:rPr>
                      <w:color w:val="auto"/>
                    </w:rPr>
                  </w:pPr>
                  <w:r>
                    <w:rPr>
                      <w:rFonts w:hint="eastAsia"/>
                      <w:color w:val="auto"/>
                    </w:rPr>
                    <w:t>医器间</w:t>
                  </w:r>
                </w:p>
              </w:tc>
              <w:tc>
                <w:tcPr>
                  <w:tcW w:w="3118" w:type="pct"/>
                  <w:tcBorders>
                    <w:tl2br w:val="nil"/>
                    <w:tr2bl w:val="nil"/>
                  </w:tcBorders>
                  <w:vAlign w:val="center"/>
                </w:tcPr>
                <w:p>
                  <w:pPr>
                    <w:pStyle w:val="44"/>
                    <w:rPr>
                      <w:color w:val="auto"/>
                    </w:rPr>
                  </w:pPr>
                  <w:r>
                    <w:rPr>
                      <w:rFonts w:hint="eastAsia"/>
                      <w:color w:val="auto"/>
                    </w:rPr>
                    <w:t>与急救大楼1楼药房共用，用于医疗物资存放</w:t>
                  </w:r>
                </w:p>
              </w:tc>
              <w:tc>
                <w:tcPr>
                  <w:tcW w:w="462" w:type="pct"/>
                  <w:tcBorders>
                    <w:tl2br w:val="nil"/>
                    <w:tr2bl w:val="nil"/>
                  </w:tcBorders>
                  <w:vAlign w:val="center"/>
                </w:tcPr>
                <w:p>
                  <w:pPr>
                    <w:jc w:val="center"/>
                    <w:rPr>
                      <w:color w:val="auto"/>
                      <w:szCs w:val="21"/>
                    </w:rPr>
                  </w:pPr>
                  <w:r>
                    <w:rPr>
                      <w:rFonts w:hint="eastAsia"/>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restart"/>
                  <w:tcBorders>
                    <w:tl2br w:val="nil"/>
                    <w:tr2bl w:val="nil"/>
                  </w:tcBorders>
                  <w:vAlign w:val="center"/>
                </w:tcPr>
                <w:p>
                  <w:pPr>
                    <w:pStyle w:val="44"/>
                    <w:rPr>
                      <w:color w:val="auto"/>
                    </w:rPr>
                  </w:pPr>
                  <w:r>
                    <w:rPr>
                      <w:color w:val="auto"/>
                    </w:rPr>
                    <w:t>环保工程</w:t>
                  </w:r>
                </w:p>
              </w:tc>
              <w:tc>
                <w:tcPr>
                  <w:tcW w:w="367" w:type="pct"/>
                  <w:vMerge w:val="restart"/>
                  <w:tcBorders>
                    <w:tl2br w:val="nil"/>
                    <w:tr2bl w:val="nil"/>
                  </w:tcBorders>
                  <w:vAlign w:val="center"/>
                </w:tcPr>
                <w:p>
                  <w:pPr>
                    <w:pStyle w:val="44"/>
                    <w:rPr>
                      <w:color w:val="auto"/>
                    </w:rPr>
                  </w:pPr>
                  <w:r>
                    <w:rPr>
                      <w:rFonts w:hint="eastAsia"/>
                      <w:color w:val="auto"/>
                    </w:rPr>
                    <w:t>废气</w:t>
                  </w:r>
                </w:p>
              </w:tc>
              <w:tc>
                <w:tcPr>
                  <w:tcW w:w="700" w:type="pct"/>
                  <w:tcBorders>
                    <w:tl2br w:val="nil"/>
                    <w:tr2bl w:val="nil"/>
                  </w:tcBorders>
                  <w:vAlign w:val="center"/>
                </w:tcPr>
                <w:p>
                  <w:pPr>
                    <w:pStyle w:val="44"/>
                    <w:rPr>
                      <w:color w:val="auto"/>
                    </w:rPr>
                  </w:pPr>
                  <w:r>
                    <w:rPr>
                      <w:rFonts w:hint="eastAsia"/>
                      <w:color w:val="auto"/>
                    </w:rPr>
                    <w:t>污水处理站</w:t>
                  </w:r>
                </w:p>
              </w:tc>
              <w:tc>
                <w:tcPr>
                  <w:tcW w:w="3118" w:type="pct"/>
                  <w:tcBorders>
                    <w:tl2br w:val="nil"/>
                    <w:tr2bl w:val="nil"/>
                  </w:tcBorders>
                  <w:vAlign w:val="center"/>
                </w:tcPr>
                <w:p>
                  <w:pPr>
                    <w:pStyle w:val="44"/>
                    <w:rPr>
                      <w:color w:val="auto"/>
                    </w:rPr>
                  </w:pPr>
                  <w:r>
                    <w:rPr>
                      <w:rFonts w:hint="eastAsia"/>
                      <w:color w:val="auto"/>
                    </w:rPr>
                    <w:t>采用地埋式污水处理设备、密闭加盖、周边绿化等除异味措施</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367" w:type="pct"/>
                  <w:vMerge w:val="continue"/>
                  <w:tcBorders>
                    <w:tl2br w:val="nil"/>
                    <w:tr2bl w:val="nil"/>
                  </w:tcBorders>
                  <w:vAlign w:val="center"/>
                </w:tcPr>
                <w:p>
                  <w:pPr>
                    <w:pStyle w:val="44"/>
                    <w:rPr>
                      <w:color w:val="auto"/>
                    </w:rPr>
                  </w:pPr>
                </w:p>
              </w:tc>
              <w:tc>
                <w:tcPr>
                  <w:tcW w:w="700" w:type="pct"/>
                  <w:tcBorders>
                    <w:tl2br w:val="nil"/>
                    <w:tr2bl w:val="nil"/>
                  </w:tcBorders>
                  <w:vAlign w:val="center"/>
                </w:tcPr>
                <w:p>
                  <w:pPr>
                    <w:pStyle w:val="44"/>
                    <w:rPr>
                      <w:color w:val="auto"/>
                    </w:rPr>
                  </w:pPr>
                  <w:r>
                    <w:rPr>
                      <w:rFonts w:hint="eastAsia"/>
                      <w:color w:val="auto"/>
                    </w:rPr>
                    <w:t>柴油发电机</w:t>
                  </w:r>
                </w:p>
              </w:tc>
              <w:tc>
                <w:tcPr>
                  <w:tcW w:w="3118" w:type="pct"/>
                  <w:tcBorders>
                    <w:tl2br w:val="nil"/>
                    <w:tr2bl w:val="nil"/>
                  </w:tcBorders>
                  <w:vAlign w:val="center"/>
                </w:tcPr>
                <w:p>
                  <w:pPr>
                    <w:pStyle w:val="44"/>
                    <w:rPr>
                      <w:color w:val="auto"/>
                    </w:rPr>
                  </w:pPr>
                  <w:r>
                    <w:rPr>
                      <w:color w:val="auto"/>
                    </w:rPr>
                    <w:t>尾气由内置烟道引至所在建筑楼顶排放</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367" w:type="pct"/>
                  <w:vMerge w:val="continue"/>
                  <w:tcBorders>
                    <w:tl2br w:val="nil"/>
                    <w:tr2bl w:val="nil"/>
                  </w:tcBorders>
                  <w:vAlign w:val="center"/>
                </w:tcPr>
                <w:p>
                  <w:pPr>
                    <w:pStyle w:val="44"/>
                    <w:rPr>
                      <w:color w:val="auto"/>
                    </w:rPr>
                  </w:pPr>
                </w:p>
              </w:tc>
              <w:tc>
                <w:tcPr>
                  <w:tcW w:w="700" w:type="pct"/>
                  <w:tcBorders>
                    <w:tl2br w:val="nil"/>
                    <w:tr2bl w:val="nil"/>
                  </w:tcBorders>
                  <w:vAlign w:val="center"/>
                </w:tcPr>
                <w:p>
                  <w:pPr>
                    <w:pStyle w:val="44"/>
                    <w:rPr>
                      <w:color w:val="auto"/>
                    </w:rPr>
                  </w:pPr>
                  <w:r>
                    <w:rPr>
                      <w:rFonts w:hint="eastAsia"/>
                      <w:color w:val="auto"/>
                    </w:rPr>
                    <w:t>食堂</w:t>
                  </w:r>
                </w:p>
              </w:tc>
              <w:tc>
                <w:tcPr>
                  <w:tcW w:w="3118" w:type="pct"/>
                  <w:tcBorders>
                    <w:tl2br w:val="nil"/>
                    <w:tr2bl w:val="nil"/>
                  </w:tcBorders>
                  <w:vAlign w:val="center"/>
                </w:tcPr>
                <w:p>
                  <w:pPr>
                    <w:pStyle w:val="44"/>
                    <w:rPr>
                      <w:color w:val="auto"/>
                    </w:rPr>
                  </w:pPr>
                  <w:r>
                    <w:rPr>
                      <w:rFonts w:hint="eastAsia"/>
                      <w:color w:val="auto"/>
                    </w:rPr>
                    <w:t>油烟</w:t>
                  </w:r>
                  <w:r>
                    <w:rPr>
                      <w:color w:val="auto"/>
                    </w:rPr>
                    <w:t>（</w:t>
                  </w:r>
                  <w:r>
                    <w:rPr>
                      <w:rFonts w:hint="eastAsia"/>
                      <w:color w:val="auto"/>
                    </w:rPr>
                    <w:t>专用烟道加</w:t>
                  </w:r>
                  <w:r>
                    <w:rPr>
                      <w:color w:val="auto"/>
                    </w:rPr>
                    <w:t>油烟净化器）</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620" w:hRule="atLeast"/>
              </w:trPr>
              <w:tc>
                <w:tcPr>
                  <w:tcW w:w="351" w:type="pct"/>
                  <w:vMerge w:val="continue"/>
                  <w:tcBorders>
                    <w:tl2br w:val="nil"/>
                    <w:tr2bl w:val="nil"/>
                  </w:tcBorders>
                  <w:vAlign w:val="center"/>
                </w:tcPr>
                <w:p>
                  <w:pPr>
                    <w:pStyle w:val="44"/>
                    <w:rPr>
                      <w:color w:val="auto"/>
                    </w:rPr>
                  </w:pPr>
                </w:p>
              </w:tc>
              <w:tc>
                <w:tcPr>
                  <w:tcW w:w="367" w:type="pct"/>
                  <w:vMerge w:val="restart"/>
                  <w:tcBorders>
                    <w:tl2br w:val="nil"/>
                    <w:tr2bl w:val="nil"/>
                  </w:tcBorders>
                  <w:vAlign w:val="center"/>
                </w:tcPr>
                <w:p>
                  <w:pPr>
                    <w:pStyle w:val="44"/>
                    <w:rPr>
                      <w:color w:val="auto"/>
                    </w:rPr>
                  </w:pPr>
                  <w:r>
                    <w:rPr>
                      <w:rFonts w:hint="eastAsia"/>
                      <w:color w:val="auto"/>
                    </w:rPr>
                    <w:t>废水</w:t>
                  </w:r>
                </w:p>
              </w:tc>
              <w:tc>
                <w:tcPr>
                  <w:tcW w:w="700" w:type="pct"/>
                  <w:tcBorders>
                    <w:tl2br w:val="nil"/>
                    <w:tr2bl w:val="nil"/>
                  </w:tcBorders>
                  <w:vAlign w:val="center"/>
                </w:tcPr>
                <w:p>
                  <w:pPr>
                    <w:pStyle w:val="44"/>
                    <w:rPr>
                      <w:color w:val="auto"/>
                    </w:rPr>
                  </w:pPr>
                  <w:r>
                    <w:rPr>
                      <w:rFonts w:hint="eastAsia"/>
                      <w:color w:val="auto"/>
                    </w:rPr>
                    <w:t>化粪池</w:t>
                  </w:r>
                </w:p>
              </w:tc>
              <w:tc>
                <w:tcPr>
                  <w:tcW w:w="3118" w:type="pct"/>
                  <w:tcBorders>
                    <w:tl2br w:val="nil"/>
                    <w:tr2bl w:val="nil"/>
                  </w:tcBorders>
                  <w:vAlign w:val="center"/>
                </w:tcPr>
                <w:p>
                  <w:pPr>
                    <w:pStyle w:val="44"/>
                    <w:rPr>
                      <w:color w:val="auto"/>
                    </w:rPr>
                  </w:pPr>
                  <w:r>
                    <w:rPr>
                      <w:rFonts w:hint="eastAsia"/>
                      <w:color w:val="auto"/>
                    </w:rPr>
                    <w:t>位于项目一体化污水处理设备旁，约10m</w:t>
                  </w:r>
                  <w:r>
                    <w:rPr>
                      <w:rFonts w:hint="eastAsia"/>
                      <w:color w:val="auto"/>
                      <w:vertAlign w:val="superscript"/>
                    </w:rPr>
                    <w:t>3</w:t>
                  </w:r>
                  <w:r>
                    <w:rPr>
                      <w:rFonts w:hint="eastAsia"/>
                      <w:color w:val="auto"/>
                    </w:rPr>
                    <w:t>，项目生活污水收集后先经化粪池预处理，然后汇入院内污水处理设施进一步处理</w:t>
                  </w:r>
                </w:p>
              </w:tc>
              <w:tc>
                <w:tcPr>
                  <w:tcW w:w="462" w:type="pct"/>
                  <w:tcBorders>
                    <w:tl2br w:val="nil"/>
                    <w:tr2bl w:val="nil"/>
                  </w:tcBorders>
                  <w:vAlign w:val="center"/>
                </w:tcPr>
                <w:p>
                  <w:pPr>
                    <w:jc w:val="center"/>
                    <w:rPr>
                      <w:color w:val="auto"/>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620" w:hRule="atLeast"/>
              </w:trPr>
              <w:tc>
                <w:tcPr>
                  <w:tcW w:w="351" w:type="pct"/>
                  <w:vMerge w:val="continue"/>
                  <w:tcBorders>
                    <w:tl2br w:val="nil"/>
                    <w:tr2bl w:val="nil"/>
                  </w:tcBorders>
                  <w:vAlign w:val="center"/>
                </w:tcPr>
                <w:p>
                  <w:pPr>
                    <w:pStyle w:val="44"/>
                    <w:rPr>
                      <w:color w:val="auto"/>
                    </w:rPr>
                  </w:pPr>
                </w:p>
              </w:tc>
              <w:tc>
                <w:tcPr>
                  <w:tcW w:w="367" w:type="pct"/>
                  <w:vMerge w:val="continue"/>
                  <w:tcBorders>
                    <w:tl2br w:val="nil"/>
                    <w:tr2bl w:val="nil"/>
                  </w:tcBorders>
                  <w:vAlign w:val="center"/>
                </w:tcPr>
                <w:p>
                  <w:pPr>
                    <w:pStyle w:val="44"/>
                    <w:rPr>
                      <w:color w:val="auto"/>
                    </w:rPr>
                  </w:pPr>
                </w:p>
              </w:tc>
              <w:tc>
                <w:tcPr>
                  <w:tcW w:w="700" w:type="pct"/>
                  <w:tcBorders>
                    <w:tl2br w:val="nil"/>
                    <w:tr2bl w:val="nil"/>
                  </w:tcBorders>
                  <w:vAlign w:val="center"/>
                </w:tcPr>
                <w:p>
                  <w:pPr>
                    <w:pStyle w:val="44"/>
                    <w:rPr>
                      <w:color w:val="auto"/>
                    </w:rPr>
                  </w:pPr>
                  <w:r>
                    <w:rPr>
                      <w:rFonts w:hint="eastAsia"/>
                      <w:color w:val="auto"/>
                    </w:rPr>
                    <w:t>隔油池</w:t>
                  </w:r>
                </w:p>
              </w:tc>
              <w:tc>
                <w:tcPr>
                  <w:tcW w:w="3118" w:type="pct"/>
                  <w:tcBorders>
                    <w:tl2br w:val="nil"/>
                    <w:tr2bl w:val="nil"/>
                  </w:tcBorders>
                  <w:vAlign w:val="center"/>
                </w:tcPr>
                <w:p>
                  <w:pPr>
                    <w:pStyle w:val="44"/>
                    <w:rPr>
                      <w:color w:val="auto"/>
                    </w:rPr>
                  </w:pPr>
                  <w:r>
                    <w:rPr>
                      <w:rFonts w:hint="eastAsia"/>
                      <w:color w:val="auto"/>
                    </w:rPr>
                    <w:t>项目设有一个2m</w:t>
                  </w:r>
                  <w:r>
                    <w:rPr>
                      <w:rFonts w:hint="eastAsia"/>
                      <w:color w:val="auto"/>
                      <w:vertAlign w:val="superscript"/>
                    </w:rPr>
                    <w:t>3</w:t>
                  </w:r>
                  <w:r>
                    <w:rPr>
                      <w:rFonts w:hint="eastAsia"/>
                      <w:color w:val="auto"/>
                    </w:rPr>
                    <w:t>的隔油池，位于化粪池旁，食堂废水经隔油池—化粪池—院内污水处理站处理</w:t>
                  </w:r>
                </w:p>
              </w:tc>
              <w:tc>
                <w:tcPr>
                  <w:tcW w:w="462" w:type="pct"/>
                  <w:tcBorders>
                    <w:tl2br w:val="nil"/>
                    <w:tr2bl w:val="nil"/>
                  </w:tcBorders>
                  <w:vAlign w:val="center"/>
                </w:tcPr>
                <w:p>
                  <w:pPr>
                    <w:pStyle w:val="44"/>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620" w:hRule="atLeast"/>
              </w:trPr>
              <w:tc>
                <w:tcPr>
                  <w:tcW w:w="351" w:type="pct"/>
                  <w:vMerge w:val="continue"/>
                  <w:tcBorders>
                    <w:tl2br w:val="nil"/>
                    <w:tr2bl w:val="nil"/>
                  </w:tcBorders>
                  <w:vAlign w:val="center"/>
                </w:tcPr>
                <w:p>
                  <w:pPr>
                    <w:pStyle w:val="44"/>
                    <w:rPr>
                      <w:color w:val="auto"/>
                    </w:rPr>
                  </w:pPr>
                </w:p>
              </w:tc>
              <w:tc>
                <w:tcPr>
                  <w:tcW w:w="367" w:type="pct"/>
                  <w:vMerge w:val="continue"/>
                  <w:tcBorders>
                    <w:tl2br w:val="nil"/>
                    <w:tr2bl w:val="nil"/>
                  </w:tcBorders>
                  <w:vAlign w:val="center"/>
                </w:tcPr>
                <w:p>
                  <w:pPr>
                    <w:pStyle w:val="44"/>
                    <w:rPr>
                      <w:color w:val="auto"/>
                    </w:rPr>
                  </w:pPr>
                </w:p>
              </w:tc>
              <w:tc>
                <w:tcPr>
                  <w:tcW w:w="700" w:type="pct"/>
                  <w:tcBorders>
                    <w:tl2br w:val="nil"/>
                    <w:tr2bl w:val="nil"/>
                  </w:tcBorders>
                  <w:vAlign w:val="center"/>
                </w:tcPr>
                <w:p>
                  <w:pPr>
                    <w:pStyle w:val="44"/>
                    <w:rPr>
                      <w:color w:val="auto"/>
                    </w:rPr>
                  </w:pPr>
                  <w:r>
                    <w:rPr>
                      <w:rFonts w:hint="eastAsia"/>
                      <w:color w:val="auto"/>
                    </w:rPr>
                    <w:t>医疗废物收集桶</w:t>
                  </w:r>
                </w:p>
              </w:tc>
              <w:tc>
                <w:tcPr>
                  <w:tcW w:w="3118" w:type="pct"/>
                  <w:tcBorders>
                    <w:tl2br w:val="nil"/>
                    <w:tr2bl w:val="nil"/>
                  </w:tcBorders>
                  <w:vAlign w:val="center"/>
                </w:tcPr>
                <w:p>
                  <w:pPr>
                    <w:pStyle w:val="44"/>
                    <w:rPr>
                      <w:color w:val="auto"/>
                    </w:rPr>
                  </w:pPr>
                  <w:r>
                    <w:rPr>
                      <w:rFonts w:hint="eastAsia"/>
                      <w:snapToGrid w:val="0"/>
                      <w:color w:val="auto"/>
                      <w:szCs w:val="21"/>
                    </w:rPr>
                    <w:t>项目设置医疗废物分类收集桶，位于检验科</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620" w:hRule="atLeast"/>
              </w:trPr>
              <w:tc>
                <w:tcPr>
                  <w:tcW w:w="351" w:type="pct"/>
                  <w:vMerge w:val="continue"/>
                  <w:tcBorders>
                    <w:tl2br w:val="nil"/>
                    <w:tr2bl w:val="nil"/>
                  </w:tcBorders>
                  <w:vAlign w:val="center"/>
                </w:tcPr>
                <w:p>
                  <w:pPr>
                    <w:pStyle w:val="44"/>
                    <w:rPr>
                      <w:color w:val="auto"/>
                    </w:rPr>
                  </w:pPr>
                </w:p>
              </w:tc>
              <w:tc>
                <w:tcPr>
                  <w:tcW w:w="367" w:type="pct"/>
                  <w:vMerge w:val="continue"/>
                  <w:tcBorders>
                    <w:tl2br w:val="nil"/>
                    <w:tr2bl w:val="nil"/>
                  </w:tcBorders>
                  <w:vAlign w:val="center"/>
                </w:tcPr>
                <w:p>
                  <w:pPr>
                    <w:pStyle w:val="44"/>
                    <w:rPr>
                      <w:color w:val="auto"/>
                    </w:rPr>
                  </w:pPr>
                </w:p>
              </w:tc>
              <w:tc>
                <w:tcPr>
                  <w:tcW w:w="700" w:type="pct"/>
                  <w:tcBorders>
                    <w:tl2br w:val="nil"/>
                    <w:tr2bl w:val="nil"/>
                  </w:tcBorders>
                  <w:vAlign w:val="center"/>
                </w:tcPr>
                <w:p>
                  <w:pPr>
                    <w:pStyle w:val="44"/>
                    <w:rPr>
                      <w:color w:val="auto"/>
                    </w:rPr>
                  </w:pPr>
                  <w:r>
                    <w:rPr>
                      <w:rFonts w:hint="eastAsia"/>
                      <w:color w:val="auto"/>
                    </w:rPr>
                    <w:t>一体化污水处理设备</w:t>
                  </w:r>
                </w:p>
              </w:tc>
              <w:tc>
                <w:tcPr>
                  <w:tcW w:w="3118" w:type="pct"/>
                  <w:tcBorders>
                    <w:tl2br w:val="nil"/>
                    <w:tr2bl w:val="nil"/>
                  </w:tcBorders>
                  <w:vAlign w:val="center"/>
                </w:tcPr>
                <w:p>
                  <w:pPr>
                    <w:pStyle w:val="44"/>
                    <w:rPr>
                      <w:color w:val="auto"/>
                    </w:rPr>
                  </w:pPr>
                  <w:r>
                    <w:rPr>
                      <w:rFonts w:hint="eastAsia"/>
                      <w:color w:val="auto"/>
                    </w:rPr>
                    <w:t>位于院内西南角，设计处理规模为10t/d，处理工艺为“二级生化处理+MBR膜+次氯酸钠消毒”</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367" w:type="pct"/>
                  <w:vMerge w:val="continue"/>
                  <w:tcBorders>
                    <w:tl2br w:val="nil"/>
                    <w:tr2bl w:val="nil"/>
                  </w:tcBorders>
                  <w:vAlign w:val="center"/>
                </w:tcPr>
                <w:p>
                  <w:pPr>
                    <w:pStyle w:val="44"/>
                    <w:rPr>
                      <w:color w:val="auto"/>
                    </w:rPr>
                  </w:pPr>
                </w:p>
              </w:tc>
              <w:tc>
                <w:tcPr>
                  <w:tcW w:w="700" w:type="pct"/>
                  <w:tcBorders>
                    <w:tl2br w:val="nil"/>
                    <w:tr2bl w:val="nil"/>
                  </w:tcBorders>
                  <w:vAlign w:val="center"/>
                </w:tcPr>
                <w:p>
                  <w:pPr>
                    <w:pStyle w:val="44"/>
                    <w:rPr>
                      <w:color w:val="auto"/>
                    </w:rPr>
                  </w:pPr>
                  <w:r>
                    <w:rPr>
                      <w:rFonts w:hint="eastAsia"/>
                      <w:color w:val="auto"/>
                    </w:rPr>
                    <w:t>事故应急池</w:t>
                  </w:r>
                </w:p>
              </w:tc>
              <w:tc>
                <w:tcPr>
                  <w:tcW w:w="3118" w:type="pct"/>
                  <w:tcBorders>
                    <w:tl2br w:val="nil"/>
                    <w:tr2bl w:val="nil"/>
                  </w:tcBorders>
                  <w:vAlign w:val="center"/>
                </w:tcPr>
                <w:p>
                  <w:pPr>
                    <w:pStyle w:val="44"/>
                    <w:rPr>
                      <w:color w:val="auto"/>
                    </w:rPr>
                  </w:pPr>
                  <w:r>
                    <w:rPr>
                      <w:rFonts w:hint="eastAsia"/>
                      <w:color w:val="auto"/>
                    </w:rPr>
                    <w:t>设置应急事故池位于污水处理站左侧，容积为5m</w:t>
                  </w:r>
                  <w:r>
                    <w:rPr>
                      <w:rFonts w:hint="eastAsia"/>
                      <w:color w:val="auto"/>
                      <w:vertAlign w:val="superscript"/>
                    </w:rPr>
                    <w:t>3</w:t>
                  </w:r>
                  <w:r>
                    <w:rPr>
                      <w:rFonts w:hint="eastAsia"/>
                      <w:color w:val="auto"/>
                    </w:rPr>
                    <w:t>。</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vMerge w:val="restart"/>
                  <w:tcBorders>
                    <w:tl2br w:val="nil"/>
                    <w:tr2bl w:val="nil"/>
                  </w:tcBorders>
                  <w:vAlign w:val="center"/>
                </w:tcPr>
                <w:p>
                  <w:pPr>
                    <w:pStyle w:val="44"/>
                    <w:rPr>
                      <w:color w:val="auto"/>
                    </w:rPr>
                  </w:pPr>
                  <w:r>
                    <w:rPr>
                      <w:rFonts w:hint="eastAsia"/>
                      <w:color w:val="auto"/>
                    </w:rPr>
                    <w:t>固废</w:t>
                  </w:r>
                </w:p>
              </w:tc>
              <w:tc>
                <w:tcPr>
                  <w:tcW w:w="3118" w:type="pct"/>
                  <w:tcBorders>
                    <w:tl2br w:val="nil"/>
                    <w:tr2bl w:val="nil"/>
                  </w:tcBorders>
                  <w:vAlign w:val="center"/>
                </w:tcPr>
                <w:p>
                  <w:pPr>
                    <w:pStyle w:val="44"/>
                    <w:rPr>
                      <w:color w:val="auto"/>
                    </w:rPr>
                  </w:pPr>
                  <w:r>
                    <w:rPr>
                      <w:color w:val="auto"/>
                    </w:rPr>
                    <w:t>医疗废物：设置医疗废物暂存间</w:t>
                  </w:r>
                  <w:r>
                    <w:rPr>
                      <w:rFonts w:hint="eastAsia"/>
                      <w:color w:val="auto"/>
                    </w:rPr>
                    <w:t>和可回收物品间，位于院内西北角；</w:t>
                  </w:r>
                  <w:r>
                    <w:rPr>
                      <w:color w:val="auto"/>
                    </w:rPr>
                    <w:t>每层设</w:t>
                  </w:r>
                  <w:r>
                    <w:rPr>
                      <w:rFonts w:hint="eastAsia"/>
                      <w:color w:val="auto"/>
                    </w:rPr>
                    <w:t>医废间，医废间内设医疗垃圾桶，</w:t>
                  </w:r>
                  <w:r>
                    <w:rPr>
                      <w:color w:val="auto"/>
                    </w:rPr>
                    <w:t>医疗废物经</w:t>
                  </w:r>
                  <w:r>
                    <w:rPr>
                      <w:rFonts w:hint="eastAsia"/>
                      <w:color w:val="auto"/>
                    </w:rPr>
                    <w:t>分类</w:t>
                  </w:r>
                  <w:r>
                    <w:rPr>
                      <w:color w:val="auto"/>
                    </w:rPr>
                    <w:t>收集后交有资质的单位收运处置</w:t>
                  </w:r>
                  <w:r>
                    <w:rPr>
                      <w:rFonts w:hint="eastAsia"/>
                      <w:color w:val="auto"/>
                    </w:rPr>
                    <w:t>，</w:t>
                  </w:r>
                  <w:r>
                    <w:rPr>
                      <w:color w:val="auto"/>
                    </w:rPr>
                    <w:t>医疗废物暂存间</w:t>
                  </w:r>
                  <w:r>
                    <w:rPr>
                      <w:rFonts w:hint="eastAsia"/>
                      <w:color w:val="auto"/>
                    </w:rPr>
                    <w:t>和可回收物品间面积均为20m</w:t>
                  </w:r>
                  <w:r>
                    <w:rPr>
                      <w:rFonts w:hint="eastAsia"/>
                      <w:color w:val="auto"/>
                      <w:vertAlign w:val="superscript"/>
                    </w:rPr>
                    <w:t>2</w:t>
                  </w:r>
                  <w:r>
                    <w:rPr>
                      <w:rFonts w:hint="eastAsia"/>
                      <w:color w:val="auto"/>
                    </w:rPr>
                    <w:t>。</w:t>
                  </w:r>
                </w:p>
              </w:tc>
              <w:tc>
                <w:tcPr>
                  <w:tcW w:w="462" w:type="pct"/>
                  <w:tcBorders>
                    <w:tl2br w:val="nil"/>
                    <w:tr2bl w:val="nil"/>
                  </w:tcBorders>
                  <w:vAlign w:val="center"/>
                </w:tcPr>
                <w:p>
                  <w:pPr>
                    <w:pStyle w:val="44"/>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vMerge w:val="continue"/>
                  <w:tcBorders>
                    <w:tl2br w:val="nil"/>
                    <w:tr2bl w:val="nil"/>
                  </w:tcBorders>
                  <w:vAlign w:val="center"/>
                </w:tcPr>
                <w:p>
                  <w:pPr>
                    <w:pStyle w:val="44"/>
                    <w:rPr>
                      <w:color w:val="auto"/>
                    </w:rPr>
                  </w:pPr>
                </w:p>
              </w:tc>
              <w:tc>
                <w:tcPr>
                  <w:tcW w:w="3118" w:type="pct"/>
                  <w:tcBorders>
                    <w:tl2br w:val="nil"/>
                    <w:tr2bl w:val="nil"/>
                  </w:tcBorders>
                  <w:vAlign w:val="center"/>
                </w:tcPr>
                <w:p>
                  <w:pPr>
                    <w:pStyle w:val="44"/>
                    <w:rPr>
                      <w:color w:val="auto"/>
                    </w:rPr>
                  </w:pPr>
                  <w:r>
                    <w:rPr>
                      <w:color w:val="auto"/>
                    </w:rPr>
                    <w:t>生活垃圾：</w:t>
                  </w:r>
                  <w:r>
                    <w:rPr>
                      <w:rFonts w:hint="eastAsia"/>
                      <w:color w:val="auto"/>
                    </w:rPr>
                    <w:t>医院大楼每层配置生活垃圾桶，生活垃圾</w:t>
                  </w:r>
                  <w:r>
                    <w:rPr>
                      <w:color w:val="auto"/>
                    </w:rPr>
                    <w:t>与医疗垃圾分开收集，</w:t>
                  </w:r>
                  <w:r>
                    <w:rPr>
                      <w:rFonts w:hint="eastAsia"/>
                      <w:color w:val="auto"/>
                    </w:rPr>
                    <w:t>生活垃圾</w:t>
                  </w:r>
                  <w:r>
                    <w:rPr>
                      <w:color w:val="auto"/>
                    </w:rPr>
                    <w:t>袋装后交环卫部门处理</w:t>
                  </w:r>
                </w:p>
              </w:tc>
              <w:tc>
                <w:tcPr>
                  <w:tcW w:w="462" w:type="pct"/>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噪声</w:t>
                  </w:r>
                </w:p>
              </w:tc>
              <w:tc>
                <w:tcPr>
                  <w:tcW w:w="3118" w:type="pct"/>
                  <w:tcBorders>
                    <w:tl2br w:val="nil"/>
                    <w:tr2bl w:val="nil"/>
                  </w:tcBorders>
                  <w:vAlign w:val="center"/>
                </w:tcPr>
                <w:p>
                  <w:pPr>
                    <w:pStyle w:val="44"/>
                    <w:rPr>
                      <w:color w:val="auto"/>
                    </w:rPr>
                  </w:pPr>
                  <w:r>
                    <w:rPr>
                      <w:snapToGrid w:val="0"/>
                      <w:color w:val="auto"/>
                      <w:kern w:val="0"/>
                      <w:szCs w:val="21"/>
                    </w:rPr>
                    <w:t>减振、隔声</w:t>
                  </w:r>
                  <w:r>
                    <w:rPr>
                      <w:rFonts w:hint="eastAsia"/>
                      <w:snapToGrid w:val="0"/>
                      <w:color w:val="auto"/>
                      <w:kern w:val="0"/>
                      <w:szCs w:val="21"/>
                    </w:rPr>
                    <w:t>、密闭空间</w:t>
                  </w:r>
                </w:p>
              </w:tc>
              <w:tc>
                <w:tcPr>
                  <w:tcW w:w="462" w:type="pct"/>
                  <w:tcBorders>
                    <w:tl2br w:val="nil"/>
                    <w:tr2bl w:val="nil"/>
                  </w:tcBorders>
                  <w:vAlign w:val="center"/>
                </w:tcPr>
                <w:p>
                  <w:pPr>
                    <w:jc w:val="center"/>
                    <w:rPr>
                      <w:color w:val="auto"/>
                      <w:szCs w:val="21"/>
                    </w:rPr>
                  </w:pPr>
                  <w:r>
                    <w:rPr>
                      <w:rFonts w:hint="eastAsia"/>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restart"/>
                  <w:tcBorders>
                    <w:tl2br w:val="nil"/>
                    <w:tr2bl w:val="nil"/>
                  </w:tcBorders>
                  <w:vAlign w:val="center"/>
                </w:tcPr>
                <w:p>
                  <w:pPr>
                    <w:pStyle w:val="44"/>
                    <w:rPr>
                      <w:color w:val="auto"/>
                    </w:rPr>
                  </w:pPr>
                  <w:r>
                    <w:rPr>
                      <w:color w:val="auto"/>
                    </w:rPr>
                    <w:t>公用</w:t>
                  </w:r>
                </w:p>
                <w:p>
                  <w:pPr>
                    <w:pStyle w:val="44"/>
                    <w:rPr>
                      <w:color w:val="auto"/>
                    </w:rPr>
                  </w:pPr>
                  <w:r>
                    <w:rPr>
                      <w:color w:val="auto"/>
                    </w:rPr>
                    <w:t>工程</w:t>
                  </w:r>
                </w:p>
              </w:tc>
              <w:tc>
                <w:tcPr>
                  <w:tcW w:w="1067" w:type="pct"/>
                  <w:gridSpan w:val="2"/>
                  <w:tcBorders>
                    <w:tl2br w:val="nil"/>
                    <w:tr2bl w:val="nil"/>
                  </w:tcBorders>
                  <w:vAlign w:val="center"/>
                </w:tcPr>
                <w:p>
                  <w:pPr>
                    <w:pStyle w:val="44"/>
                    <w:rPr>
                      <w:color w:val="auto"/>
                    </w:rPr>
                  </w:pPr>
                  <w:r>
                    <w:rPr>
                      <w:color w:val="auto"/>
                    </w:rPr>
                    <w:t>供水</w:t>
                  </w:r>
                </w:p>
              </w:tc>
              <w:tc>
                <w:tcPr>
                  <w:tcW w:w="3118" w:type="pct"/>
                  <w:tcBorders>
                    <w:tl2br w:val="nil"/>
                    <w:tr2bl w:val="nil"/>
                  </w:tcBorders>
                  <w:vAlign w:val="center"/>
                </w:tcPr>
                <w:p>
                  <w:pPr>
                    <w:pStyle w:val="44"/>
                    <w:rPr>
                      <w:color w:val="auto"/>
                    </w:rPr>
                  </w:pPr>
                  <w:r>
                    <w:rPr>
                      <w:rFonts w:hint="eastAsia"/>
                      <w:color w:val="auto"/>
                    </w:rPr>
                    <w:t>市政自来水管网供水</w:t>
                  </w:r>
                </w:p>
              </w:tc>
              <w:tc>
                <w:tcPr>
                  <w:tcW w:w="462" w:type="pct"/>
                  <w:tcBorders>
                    <w:tl2br w:val="nil"/>
                    <w:tr2bl w:val="nil"/>
                  </w:tcBorders>
                  <w:vAlign w:val="center"/>
                </w:tcPr>
                <w:p>
                  <w:pPr>
                    <w:pStyle w:val="44"/>
                    <w:rPr>
                      <w:color w:val="auto"/>
                    </w:rPr>
                  </w:pPr>
                  <w:r>
                    <w:rPr>
                      <w:rFonts w:hint="eastAsia"/>
                      <w:color w:val="auto"/>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color w:val="auto"/>
                    </w:rPr>
                    <w:t>供电</w:t>
                  </w:r>
                </w:p>
              </w:tc>
              <w:tc>
                <w:tcPr>
                  <w:tcW w:w="3118" w:type="pct"/>
                  <w:tcBorders>
                    <w:tl2br w:val="nil"/>
                    <w:tr2bl w:val="nil"/>
                  </w:tcBorders>
                  <w:vAlign w:val="center"/>
                </w:tcPr>
                <w:p>
                  <w:pPr>
                    <w:pStyle w:val="44"/>
                    <w:rPr>
                      <w:color w:val="auto"/>
                    </w:rPr>
                  </w:pPr>
                  <w:r>
                    <w:rPr>
                      <w:rFonts w:hint="eastAsia"/>
                      <w:color w:val="auto"/>
                    </w:rPr>
                    <w:t>用电由市政电网供给。</w:t>
                  </w:r>
                </w:p>
              </w:tc>
              <w:tc>
                <w:tcPr>
                  <w:tcW w:w="462" w:type="pct"/>
                  <w:tcBorders>
                    <w:tl2br w:val="nil"/>
                    <w:tr2bl w:val="nil"/>
                  </w:tcBorders>
                  <w:vAlign w:val="center"/>
                </w:tcPr>
                <w:p>
                  <w:pPr>
                    <w:pStyle w:val="44"/>
                    <w:rPr>
                      <w:color w:val="auto"/>
                    </w:rPr>
                  </w:pPr>
                  <w:r>
                    <w:rPr>
                      <w:rFonts w:hint="eastAsia"/>
                      <w:color w:val="auto"/>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rFonts w:hint="eastAsia"/>
                      <w:color w:val="auto"/>
                    </w:rPr>
                    <w:t>通风供暖、制冷</w:t>
                  </w:r>
                </w:p>
              </w:tc>
              <w:tc>
                <w:tcPr>
                  <w:tcW w:w="3118" w:type="pct"/>
                  <w:tcBorders>
                    <w:tl2br w:val="nil"/>
                    <w:tr2bl w:val="nil"/>
                  </w:tcBorders>
                  <w:vAlign w:val="center"/>
                </w:tcPr>
                <w:p>
                  <w:pPr>
                    <w:pStyle w:val="44"/>
                    <w:rPr>
                      <w:color w:val="auto"/>
                    </w:rPr>
                  </w:pPr>
                  <w:r>
                    <w:rPr>
                      <w:rFonts w:hint="eastAsia"/>
                      <w:color w:val="auto"/>
                    </w:rPr>
                    <w:t>采用一拖一空调机组，不设中央空调，使用电热水器供应热水，不设锅炉；采用常规冰箱对药品进行保存。</w:t>
                  </w:r>
                </w:p>
              </w:tc>
              <w:tc>
                <w:tcPr>
                  <w:tcW w:w="462" w:type="pct"/>
                  <w:tcBorders>
                    <w:tl2br w:val="nil"/>
                    <w:tr2bl w:val="nil"/>
                  </w:tcBorders>
                  <w:vAlign w:val="center"/>
                </w:tcPr>
                <w:p>
                  <w:pPr>
                    <w:jc w:val="center"/>
                    <w:rPr>
                      <w:color w:val="auto"/>
                    </w:rPr>
                  </w:pPr>
                  <w:r>
                    <w:rPr>
                      <w:rFonts w:hint="eastAsia"/>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1" w:type="pct"/>
                  <w:vMerge w:val="continue"/>
                  <w:tcBorders>
                    <w:tl2br w:val="nil"/>
                    <w:tr2bl w:val="nil"/>
                  </w:tcBorders>
                  <w:vAlign w:val="center"/>
                </w:tcPr>
                <w:p>
                  <w:pPr>
                    <w:pStyle w:val="44"/>
                    <w:rPr>
                      <w:color w:val="auto"/>
                    </w:rPr>
                  </w:pPr>
                </w:p>
              </w:tc>
              <w:tc>
                <w:tcPr>
                  <w:tcW w:w="1067" w:type="pct"/>
                  <w:gridSpan w:val="2"/>
                  <w:tcBorders>
                    <w:tl2br w:val="nil"/>
                    <w:tr2bl w:val="nil"/>
                  </w:tcBorders>
                  <w:vAlign w:val="center"/>
                </w:tcPr>
                <w:p>
                  <w:pPr>
                    <w:pStyle w:val="44"/>
                    <w:rPr>
                      <w:color w:val="auto"/>
                    </w:rPr>
                  </w:pPr>
                  <w:r>
                    <w:rPr>
                      <w:color w:val="auto"/>
                    </w:rPr>
                    <w:t>排水</w:t>
                  </w:r>
                </w:p>
              </w:tc>
              <w:tc>
                <w:tcPr>
                  <w:tcW w:w="3118" w:type="pct"/>
                  <w:tcBorders>
                    <w:tl2br w:val="nil"/>
                    <w:tr2bl w:val="nil"/>
                  </w:tcBorders>
                  <w:vAlign w:val="center"/>
                </w:tcPr>
                <w:p>
                  <w:pPr>
                    <w:adjustRightInd w:val="0"/>
                    <w:snapToGrid w:val="0"/>
                    <w:jc w:val="center"/>
                    <w:rPr>
                      <w:snapToGrid w:val="0"/>
                      <w:color w:val="auto"/>
                      <w:kern w:val="0"/>
                      <w:szCs w:val="21"/>
                    </w:rPr>
                  </w:pPr>
                  <w:r>
                    <w:rPr>
                      <w:rFonts w:hint="eastAsia"/>
                      <w:snapToGrid w:val="0"/>
                      <w:color w:val="auto"/>
                      <w:kern w:val="0"/>
                      <w:szCs w:val="21"/>
                    </w:rPr>
                    <w:t>①院区采用雨污分流，雨水由雨水管收集后通过雨水沟排入市政雨水管道；</w:t>
                  </w:r>
                </w:p>
                <w:p>
                  <w:pPr>
                    <w:adjustRightInd w:val="0"/>
                    <w:snapToGrid w:val="0"/>
                    <w:jc w:val="center"/>
                    <w:rPr>
                      <w:snapToGrid w:val="0"/>
                      <w:color w:val="auto"/>
                      <w:kern w:val="0"/>
                      <w:szCs w:val="21"/>
                    </w:rPr>
                  </w:pPr>
                  <w:r>
                    <w:rPr>
                      <w:rFonts w:hint="eastAsia"/>
                      <w:snapToGrid w:val="0"/>
                      <w:color w:val="auto"/>
                      <w:kern w:val="0"/>
                      <w:szCs w:val="21"/>
                    </w:rPr>
                    <w:t>②医务人员办公废水、住院病人废水、陪护人员废水、病床品衣物洗涤废水等经化粪池处理后排入院内污水处理站处理；</w:t>
                  </w:r>
                </w:p>
                <w:p>
                  <w:pPr>
                    <w:adjustRightInd w:val="0"/>
                    <w:snapToGrid w:val="0"/>
                    <w:jc w:val="center"/>
                    <w:rPr>
                      <w:snapToGrid w:val="0"/>
                      <w:color w:val="auto"/>
                      <w:kern w:val="0"/>
                      <w:szCs w:val="21"/>
                    </w:rPr>
                  </w:pPr>
                  <w:r>
                    <w:rPr>
                      <w:rFonts w:hint="eastAsia"/>
                      <w:snapToGrid w:val="0"/>
                      <w:color w:val="auto"/>
                      <w:kern w:val="0"/>
                      <w:szCs w:val="21"/>
                    </w:rPr>
                    <w:t>③检验废水通过医疗废物收集桶分类收集后，暂存危废间，定期由资质单位清运处理；</w:t>
                  </w:r>
                </w:p>
                <w:p>
                  <w:pPr>
                    <w:pStyle w:val="14"/>
                    <w:jc w:val="center"/>
                    <w:rPr>
                      <w:rFonts w:cs="宋体"/>
                      <w:color w:val="auto"/>
                      <w:sz w:val="21"/>
                    </w:rPr>
                  </w:pPr>
                  <w:r>
                    <w:rPr>
                      <w:rFonts w:hint="eastAsia" w:cs="宋体"/>
                      <w:color w:val="auto"/>
                      <w:sz w:val="21"/>
                    </w:rPr>
                    <w:t>④</w:t>
                  </w:r>
                  <w:r>
                    <w:rPr>
                      <w:rFonts w:hint="eastAsia"/>
                      <w:snapToGrid w:val="0"/>
                      <w:color w:val="auto"/>
                      <w:kern w:val="0"/>
                      <w:sz w:val="21"/>
                      <w:szCs w:val="21"/>
                    </w:rPr>
                    <w:t>食堂废水经隔油池处理后排入化粪池，再进入院内污水处理站。</w:t>
                  </w:r>
                </w:p>
                <w:p>
                  <w:pPr>
                    <w:pStyle w:val="44"/>
                    <w:rPr>
                      <w:color w:val="auto"/>
                    </w:rPr>
                  </w:pPr>
                  <w:r>
                    <w:rPr>
                      <w:rFonts w:hint="eastAsia"/>
                      <w:snapToGrid w:val="0"/>
                      <w:color w:val="auto"/>
                      <w:szCs w:val="21"/>
                    </w:rPr>
                    <w:t>项目</w:t>
                  </w:r>
                  <w:r>
                    <w:rPr>
                      <w:rFonts w:hint="eastAsia"/>
                      <w:snapToGrid w:val="0"/>
                      <w:color w:val="auto"/>
                      <w:kern w:val="0"/>
                      <w:szCs w:val="21"/>
                    </w:rPr>
                    <w:t>医疗综合废水经院内污水处理站处理后通过市政管网排入温泉镇污水处理厂进一步处理，尾水最终排入鄱阳湖。</w:t>
                  </w:r>
                </w:p>
              </w:tc>
              <w:tc>
                <w:tcPr>
                  <w:tcW w:w="462" w:type="pct"/>
                  <w:tcBorders>
                    <w:tl2br w:val="nil"/>
                    <w:tr2bl w:val="nil"/>
                  </w:tcBorders>
                  <w:vAlign w:val="center"/>
                </w:tcPr>
                <w:p>
                  <w:pPr>
                    <w:jc w:val="center"/>
                    <w:rPr>
                      <w:color w:val="auto"/>
                    </w:rPr>
                  </w:pPr>
                  <w:r>
                    <w:rPr>
                      <w:rFonts w:hint="eastAsia"/>
                      <w:color w:val="auto"/>
                      <w:szCs w:val="21"/>
                    </w:rPr>
                    <w:t>新建</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b/>
                <w:bCs/>
                <w:color w:val="auto"/>
                <w:sz w:val="24"/>
              </w:rPr>
            </w:pPr>
            <w:r>
              <w:rPr>
                <w:rFonts w:hint="eastAsia"/>
                <w:b/>
                <w:bCs/>
                <w:color w:val="auto"/>
                <w:sz w:val="24"/>
              </w:rPr>
              <w:t>3.主要仪器设备</w:t>
            </w:r>
          </w:p>
          <w:p>
            <w:pPr>
              <w:pStyle w:val="4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ascii="Times New Roman" w:hAnsi="Times New Roman"/>
                <w:color w:val="auto"/>
                <w:sz w:val="24"/>
                <w:szCs w:val="21"/>
                <w:lang w:val="en-US" w:bidi="ar-SA"/>
              </w:rPr>
            </w:pPr>
            <w:bookmarkStart w:id="5" w:name="_Toc10834"/>
            <w:r>
              <w:rPr>
                <w:rFonts w:hint="eastAsia" w:ascii="Times New Roman" w:hAnsi="Times New Roman"/>
                <w:b w:val="0"/>
                <w:bCs w:val="0"/>
                <w:color w:val="auto"/>
                <w:sz w:val="24"/>
                <w:lang w:val="en-US"/>
              </w:rPr>
              <w:t>本项目主要仪器设备见表2-</w:t>
            </w:r>
            <w:bookmarkEnd w:id="5"/>
            <w:r>
              <w:rPr>
                <w:rFonts w:hint="eastAsia" w:ascii="Times New Roman" w:hAnsi="Times New Roman"/>
                <w:b w:val="0"/>
                <w:bCs w:val="0"/>
                <w:color w:val="auto"/>
                <w:sz w:val="24"/>
                <w:lang w:val="en-US"/>
              </w:rPr>
              <w:t>2</w:t>
            </w:r>
          </w:p>
          <w:p>
            <w:pPr>
              <w:pStyle w:val="46"/>
              <w:widowControl w:val="0"/>
              <w:numPr>
                <w:ilvl w:val="0"/>
                <w:numId w:val="0"/>
              </w:numPr>
              <w:rPr>
                <w:rFonts w:cs="宋体"/>
                <w:color w:val="auto"/>
                <w:kern w:val="2"/>
                <w:sz w:val="21"/>
                <w:szCs w:val="21"/>
              </w:rPr>
            </w:pPr>
            <w:r>
              <w:rPr>
                <w:rFonts w:hint="eastAsia" w:cs="宋体"/>
                <w:color w:val="auto"/>
                <w:kern w:val="2"/>
                <w:sz w:val="21"/>
                <w:szCs w:val="21"/>
              </w:rPr>
              <w:t>表2-2</w:t>
            </w:r>
            <w:r>
              <w:rPr>
                <w:rFonts w:hint="eastAsia" w:cs="宋体"/>
                <w:color w:val="auto"/>
                <w:kern w:val="2"/>
                <w:sz w:val="21"/>
                <w:szCs w:val="21"/>
                <w:lang w:val="en-US" w:eastAsia="zh-CN"/>
              </w:rPr>
              <w:t xml:space="preserve"> </w:t>
            </w:r>
            <w:r>
              <w:rPr>
                <w:rFonts w:hint="eastAsia" w:cs="宋体"/>
                <w:color w:val="auto"/>
                <w:kern w:val="2"/>
                <w:sz w:val="21"/>
                <w:szCs w:val="21"/>
              </w:rPr>
              <w:t>主要仪器设备一览表</w:t>
            </w:r>
          </w:p>
          <w:tbl>
            <w:tblPr>
              <w:tblStyle w:val="23"/>
              <w:tblW w:w="4997"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28" w:type="dxa"/>
                <w:left w:w="57" w:type="dxa"/>
                <w:bottom w:w="28" w:type="dxa"/>
                <w:right w:w="57" w:type="dxa"/>
              </w:tblCellMar>
            </w:tblPr>
            <w:tblGrid>
              <w:gridCol w:w="599"/>
              <w:gridCol w:w="3180"/>
              <w:gridCol w:w="2097"/>
              <w:gridCol w:w="1159"/>
              <w:gridCol w:w="678"/>
              <w:gridCol w:w="67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pStyle w:val="43"/>
                    <w:rPr>
                      <w:color w:val="auto"/>
                    </w:rPr>
                  </w:pPr>
                  <w:r>
                    <w:rPr>
                      <w:color w:val="auto"/>
                      <w:lang w:val="en-US"/>
                    </w:rPr>
                    <w:t>序号</w:t>
                  </w:r>
                </w:p>
              </w:tc>
              <w:tc>
                <w:tcPr>
                  <w:tcW w:w="1896" w:type="pct"/>
                  <w:tcBorders>
                    <w:tl2br w:val="nil"/>
                    <w:tr2bl w:val="nil"/>
                  </w:tcBorders>
                  <w:vAlign w:val="center"/>
                </w:tcPr>
                <w:p>
                  <w:pPr>
                    <w:pStyle w:val="43"/>
                    <w:rPr>
                      <w:color w:val="auto"/>
                    </w:rPr>
                  </w:pPr>
                  <w:r>
                    <w:rPr>
                      <w:color w:val="auto"/>
                      <w:lang w:val="en-US"/>
                    </w:rPr>
                    <w:t>设备名称</w:t>
                  </w:r>
                </w:p>
              </w:tc>
              <w:tc>
                <w:tcPr>
                  <w:tcW w:w="1250" w:type="pct"/>
                  <w:tcBorders>
                    <w:tl2br w:val="nil"/>
                    <w:tr2bl w:val="nil"/>
                  </w:tcBorders>
                  <w:vAlign w:val="center"/>
                </w:tcPr>
                <w:p>
                  <w:pPr>
                    <w:pStyle w:val="43"/>
                    <w:rPr>
                      <w:color w:val="auto"/>
                      <w:lang w:val="en-US"/>
                    </w:rPr>
                  </w:pPr>
                  <w:r>
                    <w:rPr>
                      <w:rFonts w:hint="eastAsia"/>
                      <w:color w:val="auto"/>
                      <w:lang w:val="en-US"/>
                    </w:rPr>
                    <w:t>型号</w:t>
                  </w:r>
                </w:p>
              </w:tc>
              <w:tc>
                <w:tcPr>
                  <w:tcW w:w="691" w:type="pct"/>
                  <w:tcBorders>
                    <w:tl2br w:val="nil"/>
                    <w:tr2bl w:val="nil"/>
                  </w:tcBorders>
                  <w:vAlign w:val="center"/>
                </w:tcPr>
                <w:p>
                  <w:pPr>
                    <w:pStyle w:val="43"/>
                    <w:rPr>
                      <w:color w:val="auto"/>
                    </w:rPr>
                  </w:pPr>
                  <w:r>
                    <w:rPr>
                      <w:color w:val="auto"/>
                      <w:lang w:val="en-US"/>
                    </w:rPr>
                    <w:t>单位</w:t>
                  </w:r>
                </w:p>
              </w:tc>
              <w:tc>
                <w:tcPr>
                  <w:tcW w:w="404" w:type="pct"/>
                  <w:tcBorders>
                    <w:tl2br w:val="nil"/>
                    <w:tr2bl w:val="nil"/>
                  </w:tcBorders>
                  <w:vAlign w:val="center"/>
                </w:tcPr>
                <w:p>
                  <w:pPr>
                    <w:pStyle w:val="43"/>
                    <w:rPr>
                      <w:color w:val="auto"/>
                    </w:rPr>
                  </w:pPr>
                  <w:r>
                    <w:rPr>
                      <w:color w:val="auto"/>
                      <w:lang w:val="en-US"/>
                    </w:rPr>
                    <w:t>数量</w:t>
                  </w:r>
                </w:p>
              </w:tc>
              <w:tc>
                <w:tcPr>
                  <w:tcW w:w="398" w:type="pct"/>
                  <w:tcBorders>
                    <w:tl2br w:val="nil"/>
                    <w:tr2bl w:val="nil"/>
                  </w:tcBorders>
                  <w:vAlign w:val="center"/>
                </w:tcPr>
                <w:p>
                  <w:pPr>
                    <w:pStyle w:val="43"/>
                    <w:rPr>
                      <w:color w:val="auto"/>
                      <w:lang w:val="en-US"/>
                    </w:rPr>
                  </w:pPr>
                  <w:r>
                    <w:rPr>
                      <w:rFonts w:hint="eastAsia"/>
                      <w:color w:val="auto"/>
                      <w:lang w:val="en-US"/>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5000" w:type="pct"/>
                  <w:gridSpan w:val="6"/>
                  <w:tcBorders>
                    <w:tl2br w:val="nil"/>
                    <w:tr2bl w:val="nil"/>
                  </w:tcBorders>
                  <w:vAlign w:val="center"/>
                </w:tcPr>
                <w:p>
                  <w:pPr>
                    <w:pStyle w:val="44"/>
                    <w:rPr>
                      <w:color w:val="auto"/>
                    </w:rPr>
                  </w:pPr>
                  <w:r>
                    <w:rPr>
                      <w:rFonts w:hint="eastAsia"/>
                      <w:color w:val="auto"/>
                    </w:rPr>
                    <w:t>医疗设施</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w:t>
                  </w:r>
                </w:p>
              </w:tc>
              <w:tc>
                <w:tcPr>
                  <w:tcW w:w="1896" w:type="pct"/>
                  <w:tcBorders>
                    <w:tl2br w:val="nil"/>
                    <w:tr2bl w:val="nil"/>
                  </w:tcBorders>
                  <w:vAlign w:val="center"/>
                </w:tcPr>
                <w:p>
                  <w:pPr>
                    <w:pStyle w:val="44"/>
                    <w:rPr>
                      <w:color w:val="auto"/>
                    </w:rPr>
                  </w:pPr>
                  <w:r>
                    <w:rPr>
                      <w:rFonts w:hint="eastAsia"/>
                      <w:color w:val="auto"/>
                    </w:rPr>
                    <w:t>体重称</w:t>
                  </w:r>
                </w:p>
              </w:tc>
              <w:tc>
                <w:tcPr>
                  <w:tcW w:w="1250" w:type="pct"/>
                  <w:tcBorders>
                    <w:tl2br w:val="nil"/>
                    <w:tr2bl w:val="nil"/>
                  </w:tcBorders>
                  <w:vAlign w:val="center"/>
                </w:tcPr>
                <w:p>
                  <w:pPr>
                    <w:pStyle w:val="44"/>
                    <w:rPr>
                      <w:color w:val="auto"/>
                    </w:rPr>
                  </w:pPr>
                  <w:r>
                    <w:rPr>
                      <w:rFonts w:hint="eastAsia"/>
                      <w:color w:val="auto"/>
                    </w:rPr>
                    <w:t>/</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2</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2</w:t>
                  </w:r>
                </w:p>
              </w:tc>
              <w:tc>
                <w:tcPr>
                  <w:tcW w:w="1896" w:type="pct"/>
                  <w:tcBorders>
                    <w:tl2br w:val="nil"/>
                    <w:tr2bl w:val="nil"/>
                  </w:tcBorders>
                  <w:vAlign w:val="center"/>
                </w:tcPr>
                <w:p>
                  <w:pPr>
                    <w:pStyle w:val="44"/>
                    <w:rPr>
                      <w:color w:val="auto"/>
                    </w:rPr>
                  </w:pPr>
                  <w:r>
                    <w:rPr>
                      <w:rFonts w:hint="eastAsia"/>
                      <w:color w:val="auto"/>
                    </w:rPr>
                    <w:t>洗胃机</w:t>
                  </w:r>
                </w:p>
              </w:tc>
              <w:tc>
                <w:tcPr>
                  <w:tcW w:w="1250" w:type="pct"/>
                  <w:tcBorders>
                    <w:tl2br w:val="nil"/>
                    <w:tr2bl w:val="nil"/>
                  </w:tcBorders>
                  <w:vAlign w:val="center"/>
                </w:tcPr>
                <w:p>
                  <w:pPr>
                    <w:pStyle w:val="44"/>
                    <w:rPr>
                      <w:color w:val="auto"/>
                    </w:rPr>
                  </w:pPr>
                  <w:r>
                    <w:rPr>
                      <w:rFonts w:hint="eastAsia"/>
                      <w:color w:val="auto"/>
                    </w:rPr>
                    <w:t>DFX-XW-A</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3</w:t>
                  </w:r>
                </w:p>
              </w:tc>
              <w:tc>
                <w:tcPr>
                  <w:tcW w:w="1896" w:type="pct"/>
                  <w:tcBorders>
                    <w:tl2br w:val="nil"/>
                    <w:tr2bl w:val="nil"/>
                  </w:tcBorders>
                  <w:vAlign w:val="center"/>
                </w:tcPr>
                <w:p>
                  <w:pPr>
                    <w:pStyle w:val="44"/>
                    <w:rPr>
                      <w:color w:val="auto"/>
                    </w:rPr>
                  </w:pPr>
                  <w:r>
                    <w:rPr>
                      <w:rFonts w:hint="eastAsia"/>
                      <w:color w:val="auto"/>
                    </w:rPr>
                    <w:t>DR</w:t>
                  </w:r>
                </w:p>
              </w:tc>
              <w:tc>
                <w:tcPr>
                  <w:tcW w:w="1250" w:type="pct"/>
                  <w:tcBorders>
                    <w:tl2br w:val="nil"/>
                    <w:tr2bl w:val="nil"/>
                  </w:tcBorders>
                  <w:vAlign w:val="center"/>
                </w:tcPr>
                <w:p>
                  <w:pPr>
                    <w:pStyle w:val="44"/>
                    <w:rPr>
                      <w:color w:val="auto"/>
                    </w:rPr>
                  </w:pPr>
                  <w:r>
                    <w:rPr>
                      <w:rFonts w:hint="eastAsia"/>
                      <w:color w:val="auto"/>
                    </w:rPr>
                    <w:t>新东方1000NB型</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4</w:t>
                  </w:r>
                </w:p>
              </w:tc>
              <w:tc>
                <w:tcPr>
                  <w:tcW w:w="1896" w:type="pct"/>
                  <w:tcBorders>
                    <w:tl2br w:val="nil"/>
                    <w:tr2bl w:val="nil"/>
                  </w:tcBorders>
                  <w:vAlign w:val="center"/>
                </w:tcPr>
                <w:p>
                  <w:pPr>
                    <w:pStyle w:val="44"/>
                    <w:rPr>
                      <w:color w:val="auto"/>
                    </w:rPr>
                  </w:pPr>
                  <w:r>
                    <w:rPr>
                      <w:rFonts w:hint="eastAsia"/>
                      <w:color w:val="auto"/>
                    </w:rPr>
                    <w:t>病人监护仪</w:t>
                  </w:r>
                </w:p>
              </w:tc>
              <w:tc>
                <w:tcPr>
                  <w:tcW w:w="1250" w:type="pct"/>
                  <w:tcBorders>
                    <w:tl2br w:val="nil"/>
                    <w:tr2bl w:val="nil"/>
                  </w:tcBorders>
                  <w:vAlign w:val="center"/>
                </w:tcPr>
                <w:p>
                  <w:pPr>
                    <w:pStyle w:val="44"/>
                    <w:rPr>
                      <w:color w:val="auto"/>
                    </w:rPr>
                  </w:pPr>
                  <w:r>
                    <w:rPr>
                      <w:rFonts w:hint="eastAsia"/>
                      <w:color w:val="auto"/>
                    </w:rPr>
                    <w:t>uMEC7</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5</w:t>
                  </w:r>
                </w:p>
              </w:tc>
              <w:tc>
                <w:tcPr>
                  <w:tcW w:w="1896" w:type="pct"/>
                  <w:tcBorders>
                    <w:tl2br w:val="nil"/>
                    <w:tr2bl w:val="nil"/>
                  </w:tcBorders>
                  <w:vAlign w:val="center"/>
                </w:tcPr>
                <w:p>
                  <w:pPr>
                    <w:pStyle w:val="44"/>
                    <w:rPr>
                      <w:color w:val="auto"/>
                    </w:rPr>
                  </w:pPr>
                  <w:r>
                    <w:rPr>
                      <w:rFonts w:hint="eastAsia"/>
                      <w:color w:val="auto"/>
                    </w:rPr>
                    <w:t>B超</w:t>
                  </w:r>
                </w:p>
              </w:tc>
              <w:tc>
                <w:tcPr>
                  <w:tcW w:w="1250" w:type="pct"/>
                  <w:tcBorders>
                    <w:tl2br w:val="nil"/>
                    <w:tr2bl w:val="nil"/>
                  </w:tcBorders>
                  <w:vAlign w:val="center"/>
                </w:tcPr>
                <w:p>
                  <w:pPr>
                    <w:pStyle w:val="44"/>
                    <w:rPr>
                      <w:color w:val="auto"/>
                    </w:rPr>
                  </w:pPr>
                  <w:r>
                    <w:rPr>
                      <w:rFonts w:hint="eastAsia"/>
                      <w:color w:val="auto"/>
                    </w:rPr>
                    <w:t>BC-51</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6</w:t>
                  </w:r>
                </w:p>
              </w:tc>
              <w:tc>
                <w:tcPr>
                  <w:tcW w:w="1896" w:type="pct"/>
                  <w:tcBorders>
                    <w:tl2br w:val="nil"/>
                    <w:tr2bl w:val="nil"/>
                  </w:tcBorders>
                  <w:vAlign w:val="center"/>
                </w:tcPr>
                <w:p>
                  <w:pPr>
                    <w:pStyle w:val="44"/>
                    <w:rPr>
                      <w:color w:val="auto"/>
                    </w:rPr>
                  </w:pPr>
                  <w:r>
                    <w:rPr>
                      <w:rFonts w:hint="eastAsia"/>
                      <w:color w:val="auto"/>
                    </w:rPr>
                    <w:t>心电图</w:t>
                  </w:r>
                </w:p>
              </w:tc>
              <w:tc>
                <w:tcPr>
                  <w:tcW w:w="1250" w:type="pct"/>
                  <w:tcBorders>
                    <w:tl2br w:val="nil"/>
                    <w:tr2bl w:val="nil"/>
                  </w:tcBorders>
                  <w:vAlign w:val="center"/>
                </w:tcPr>
                <w:p>
                  <w:pPr>
                    <w:pStyle w:val="44"/>
                    <w:rPr>
                      <w:color w:val="auto"/>
                    </w:rPr>
                  </w:pPr>
                  <w:r>
                    <w:rPr>
                      <w:rFonts w:hint="eastAsia"/>
                      <w:color w:val="auto"/>
                    </w:rPr>
                    <w:t>R12A</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7</w:t>
                  </w:r>
                </w:p>
              </w:tc>
              <w:tc>
                <w:tcPr>
                  <w:tcW w:w="1896" w:type="pct"/>
                  <w:tcBorders>
                    <w:tl2br w:val="nil"/>
                    <w:tr2bl w:val="nil"/>
                  </w:tcBorders>
                  <w:vAlign w:val="center"/>
                </w:tcPr>
                <w:p>
                  <w:pPr>
                    <w:pStyle w:val="44"/>
                    <w:rPr>
                      <w:color w:val="auto"/>
                    </w:rPr>
                  </w:pPr>
                  <w:r>
                    <w:rPr>
                      <w:rFonts w:hint="eastAsia"/>
                      <w:color w:val="auto"/>
                    </w:rPr>
                    <w:t>空气消毒机</w:t>
                  </w:r>
                </w:p>
              </w:tc>
              <w:tc>
                <w:tcPr>
                  <w:tcW w:w="1250" w:type="pct"/>
                  <w:tcBorders>
                    <w:tl2br w:val="nil"/>
                    <w:tr2bl w:val="nil"/>
                  </w:tcBorders>
                  <w:vAlign w:val="center"/>
                </w:tcPr>
                <w:p>
                  <w:pPr>
                    <w:pStyle w:val="44"/>
                    <w:rPr>
                      <w:color w:val="auto"/>
                    </w:rPr>
                  </w:pPr>
                  <w:r>
                    <w:rPr>
                      <w:rFonts w:hint="eastAsia"/>
                      <w:color w:val="auto"/>
                    </w:rPr>
                    <w:t>DLZ-Y-700</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8</w:t>
                  </w:r>
                </w:p>
              </w:tc>
              <w:tc>
                <w:tcPr>
                  <w:tcW w:w="1896" w:type="pct"/>
                  <w:tcBorders>
                    <w:tl2br w:val="nil"/>
                    <w:tr2bl w:val="nil"/>
                  </w:tcBorders>
                  <w:vAlign w:val="center"/>
                </w:tcPr>
                <w:p>
                  <w:pPr>
                    <w:pStyle w:val="44"/>
                    <w:rPr>
                      <w:color w:val="auto"/>
                    </w:rPr>
                  </w:pPr>
                  <w:r>
                    <w:rPr>
                      <w:rFonts w:hint="eastAsia"/>
                      <w:color w:val="auto"/>
                    </w:rPr>
                    <w:t>离心机</w:t>
                  </w:r>
                </w:p>
              </w:tc>
              <w:tc>
                <w:tcPr>
                  <w:tcW w:w="1250" w:type="pct"/>
                  <w:tcBorders>
                    <w:tl2br w:val="nil"/>
                    <w:tr2bl w:val="nil"/>
                  </w:tcBorders>
                  <w:vAlign w:val="center"/>
                </w:tcPr>
                <w:p>
                  <w:pPr>
                    <w:pStyle w:val="44"/>
                    <w:rPr>
                      <w:color w:val="auto"/>
                    </w:rPr>
                  </w:pPr>
                  <w:r>
                    <w:rPr>
                      <w:rFonts w:hint="eastAsia"/>
                      <w:color w:val="auto"/>
                    </w:rPr>
                    <w:t>80-2</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9</w:t>
                  </w:r>
                </w:p>
              </w:tc>
              <w:tc>
                <w:tcPr>
                  <w:tcW w:w="1896" w:type="pct"/>
                  <w:tcBorders>
                    <w:tl2br w:val="nil"/>
                    <w:tr2bl w:val="nil"/>
                  </w:tcBorders>
                  <w:vAlign w:val="center"/>
                </w:tcPr>
                <w:p>
                  <w:pPr>
                    <w:pStyle w:val="44"/>
                    <w:rPr>
                      <w:color w:val="auto"/>
                    </w:rPr>
                  </w:pPr>
                  <w:r>
                    <w:rPr>
                      <w:rFonts w:hint="eastAsia"/>
                      <w:color w:val="auto"/>
                    </w:rPr>
                    <w:t>离心机</w:t>
                  </w:r>
                </w:p>
              </w:tc>
              <w:tc>
                <w:tcPr>
                  <w:tcW w:w="1250" w:type="pct"/>
                  <w:tcBorders>
                    <w:tl2br w:val="nil"/>
                    <w:tr2bl w:val="nil"/>
                  </w:tcBorders>
                  <w:vAlign w:val="center"/>
                </w:tcPr>
                <w:p>
                  <w:pPr>
                    <w:pStyle w:val="44"/>
                    <w:rPr>
                      <w:color w:val="auto"/>
                    </w:rPr>
                  </w:pPr>
                  <w:r>
                    <w:rPr>
                      <w:rFonts w:hint="eastAsia"/>
                      <w:color w:val="auto"/>
                    </w:rPr>
                    <w:t>XZ-4A</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10</w:t>
                  </w:r>
                </w:p>
              </w:tc>
              <w:tc>
                <w:tcPr>
                  <w:tcW w:w="1896" w:type="pct"/>
                  <w:tcBorders>
                    <w:tl2br w:val="nil"/>
                    <w:tr2bl w:val="nil"/>
                  </w:tcBorders>
                  <w:vAlign w:val="center"/>
                </w:tcPr>
                <w:p>
                  <w:pPr>
                    <w:pStyle w:val="44"/>
                    <w:rPr>
                      <w:color w:val="auto"/>
                    </w:rPr>
                  </w:pPr>
                  <w:r>
                    <w:rPr>
                      <w:rFonts w:hint="eastAsia"/>
                      <w:color w:val="auto"/>
                    </w:rPr>
                    <w:t>紫外线杀菌灯车</w:t>
                  </w:r>
                </w:p>
              </w:tc>
              <w:tc>
                <w:tcPr>
                  <w:tcW w:w="1250" w:type="pct"/>
                  <w:tcBorders>
                    <w:tl2br w:val="nil"/>
                    <w:tr2bl w:val="nil"/>
                  </w:tcBorders>
                  <w:vAlign w:val="center"/>
                </w:tcPr>
                <w:p>
                  <w:pPr>
                    <w:pStyle w:val="44"/>
                    <w:rPr>
                      <w:color w:val="auto"/>
                    </w:rPr>
                  </w:pPr>
                  <w:r>
                    <w:rPr>
                      <w:rFonts w:hint="eastAsia"/>
                      <w:color w:val="auto"/>
                    </w:rPr>
                    <w:t>SX-01A</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5</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11</w:t>
                  </w:r>
                </w:p>
              </w:tc>
              <w:tc>
                <w:tcPr>
                  <w:tcW w:w="1896" w:type="pct"/>
                  <w:tcBorders>
                    <w:tl2br w:val="nil"/>
                    <w:tr2bl w:val="nil"/>
                  </w:tcBorders>
                  <w:vAlign w:val="center"/>
                </w:tcPr>
                <w:p>
                  <w:pPr>
                    <w:pStyle w:val="44"/>
                    <w:rPr>
                      <w:color w:val="auto"/>
                    </w:rPr>
                  </w:pPr>
                  <w:r>
                    <w:rPr>
                      <w:rFonts w:hint="eastAsia"/>
                      <w:color w:val="auto"/>
                    </w:rPr>
                    <w:t>全自动生化分析仪</w:t>
                  </w:r>
                </w:p>
              </w:tc>
              <w:tc>
                <w:tcPr>
                  <w:tcW w:w="1250" w:type="pct"/>
                  <w:tcBorders>
                    <w:tl2br w:val="nil"/>
                    <w:tr2bl w:val="nil"/>
                  </w:tcBorders>
                  <w:vAlign w:val="center"/>
                </w:tcPr>
                <w:p>
                  <w:pPr>
                    <w:pStyle w:val="44"/>
                    <w:rPr>
                      <w:color w:val="auto"/>
                    </w:rPr>
                  </w:pPr>
                  <w:r>
                    <w:rPr>
                      <w:rFonts w:hint="eastAsia"/>
                      <w:color w:val="auto"/>
                    </w:rPr>
                    <w:t>BS-430</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12</w:t>
                  </w:r>
                </w:p>
              </w:tc>
              <w:tc>
                <w:tcPr>
                  <w:tcW w:w="1896" w:type="pct"/>
                  <w:tcBorders>
                    <w:tl2br w:val="nil"/>
                    <w:tr2bl w:val="nil"/>
                  </w:tcBorders>
                  <w:vAlign w:val="center"/>
                </w:tcPr>
                <w:p>
                  <w:pPr>
                    <w:pStyle w:val="44"/>
                    <w:rPr>
                      <w:color w:val="auto"/>
                    </w:rPr>
                  </w:pPr>
                  <w:r>
                    <w:rPr>
                      <w:rFonts w:hint="eastAsia"/>
                      <w:color w:val="auto"/>
                    </w:rPr>
                    <w:t>尿液分析仪</w:t>
                  </w:r>
                </w:p>
              </w:tc>
              <w:tc>
                <w:tcPr>
                  <w:tcW w:w="1250" w:type="pct"/>
                  <w:tcBorders>
                    <w:tl2br w:val="nil"/>
                    <w:tr2bl w:val="nil"/>
                  </w:tcBorders>
                  <w:vAlign w:val="center"/>
                </w:tcPr>
                <w:p>
                  <w:pPr>
                    <w:pStyle w:val="44"/>
                    <w:rPr>
                      <w:color w:val="auto"/>
                    </w:rPr>
                  </w:pPr>
                  <w:r>
                    <w:rPr>
                      <w:rFonts w:hint="eastAsia"/>
                      <w:color w:val="auto"/>
                    </w:rPr>
                    <w:t>URIT-180</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13</w:t>
                  </w:r>
                </w:p>
              </w:tc>
              <w:tc>
                <w:tcPr>
                  <w:tcW w:w="1896" w:type="pct"/>
                  <w:tcBorders>
                    <w:tl2br w:val="nil"/>
                    <w:tr2bl w:val="nil"/>
                  </w:tcBorders>
                  <w:vAlign w:val="center"/>
                </w:tcPr>
                <w:p>
                  <w:pPr>
                    <w:pStyle w:val="44"/>
                    <w:rPr>
                      <w:color w:val="auto"/>
                    </w:rPr>
                  </w:pPr>
                  <w:r>
                    <w:rPr>
                      <w:rFonts w:hint="eastAsia"/>
                      <w:color w:val="auto"/>
                    </w:rPr>
                    <w:t>全自动血液细胞分析仪</w:t>
                  </w:r>
                </w:p>
              </w:tc>
              <w:tc>
                <w:tcPr>
                  <w:tcW w:w="1250" w:type="pct"/>
                  <w:tcBorders>
                    <w:tl2br w:val="nil"/>
                    <w:tr2bl w:val="nil"/>
                  </w:tcBorders>
                  <w:vAlign w:val="center"/>
                </w:tcPr>
                <w:p>
                  <w:pPr>
                    <w:pStyle w:val="44"/>
                    <w:rPr>
                      <w:color w:val="auto"/>
                    </w:rPr>
                  </w:pPr>
                  <w:r>
                    <w:rPr>
                      <w:rFonts w:hint="eastAsia"/>
                      <w:color w:val="auto"/>
                    </w:rPr>
                    <w:t>BC-20s</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14</w:t>
                  </w:r>
                </w:p>
              </w:tc>
              <w:tc>
                <w:tcPr>
                  <w:tcW w:w="1896" w:type="pct"/>
                  <w:tcBorders>
                    <w:tl2br w:val="nil"/>
                    <w:tr2bl w:val="nil"/>
                  </w:tcBorders>
                  <w:vAlign w:val="center"/>
                </w:tcPr>
                <w:p>
                  <w:pPr>
                    <w:pStyle w:val="44"/>
                    <w:rPr>
                      <w:color w:val="auto"/>
                    </w:rPr>
                  </w:pPr>
                  <w:r>
                    <w:rPr>
                      <w:rFonts w:hint="eastAsia"/>
                      <w:color w:val="auto"/>
                    </w:rPr>
                    <w:t>电动吸引器</w:t>
                  </w:r>
                </w:p>
              </w:tc>
              <w:tc>
                <w:tcPr>
                  <w:tcW w:w="1250" w:type="pct"/>
                  <w:tcBorders>
                    <w:tl2br w:val="nil"/>
                    <w:tr2bl w:val="nil"/>
                  </w:tcBorders>
                  <w:vAlign w:val="center"/>
                </w:tcPr>
                <w:p>
                  <w:pPr>
                    <w:pStyle w:val="44"/>
                    <w:rPr>
                      <w:color w:val="auto"/>
                    </w:rPr>
                  </w:pPr>
                  <w:r>
                    <w:rPr>
                      <w:rFonts w:hint="eastAsia"/>
                      <w:color w:val="auto"/>
                    </w:rPr>
                    <w:t>7A-23D</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color w:val="auto"/>
                      <w:kern w:val="0"/>
                      <w:szCs w:val="21"/>
                      <w:lang w:bidi="ar"/>
                    </w:rPr>
                    <w:t>15</w:t>
                  </w:r>
                </w:p>
              </w:tc>
              <w:tc>
                <w:tcPr>
                  <w:tcW w:w="1896" w:type="pct"/>
                  <w:tcBorders>
                    <w:tl2br w:val="nil"/>
                    <w:tr2bl w:val="nil"/>
                  </w:tcBorders>
                  <w:vAlign w:val="center"/>
                </w:tcPr>
                <w:p>
                  <w:pPr>
                    <w:pStyle w:val="44"/>
                    <w:rPr>
                      <w:color w:val="auto"/>
                    </w:rPr>
                  </w:pPr>
                  <w:r>
                    <w:rPr>
                      <w:rFonts w:hint="eastAsia"/>
                      <w:color w:val="auto"/>
                    </w:rPr>
                    <w:t>全自动血液细胞分析仪</w:t>
                  </w:r>
                </w:p>
              </w:tc>
              <w:tc>
                <w:tcPr>
                  <w:tcW w:w="1250" w:type="pct"/>
                  <w:tcBorders>
                    <w:tl2br w:val="nil"/>
                    <w:tr2bl w:val="nil"/>
                  </w:tcBorders>
                  <w:vAlign w:val="center"/>
                </w:tcPr>
                <w:p>
                  <w:pPr>
                    <w:pStyle w:val="44"/>
                    <w:rPr>
                      <w:color w:val="auto"/>
                    </w:rPr>
                  </w:pPr>
                  <w:r>
                    <w:rPr>
                      <w:rFonts w:hint="eastAsia"/>
                      <w:color w:val="auto"/>
                    </w:rPr>
                    <w:t>BC-5130</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16</w:t>
                  </w:r>
                </w:p>
              </w:tc>
              <w:tc>
                <w:tcPr>
                  <w:tcW w:w="1896" w:type="pct"/>
                  <w:tcBorders>
                    <w:tl2br w:val="nil"/>
                    <w:tr2bl w:val="nil"/>
                  </w:tcBorders>
                  <w:vAlign w:val="center"/>
                </w:tcPr>
                <w:p>
                  <w:pPr>
                    <w:pStyle w:val="44"/>
                    <w:rPr>
                      <w:color w:val="auto"/>
                    </w:rPr>
                  </w:pPr>
                  <w:r>
                    <w:rPr>
                      <w:rFonts w:hint="eastAsia"/>
                      <w:color w:val="auto"/>
                    </w:rPr>
                    <w:t>制氧机</w:t>
                  </w:r>
                </w:p>
              </w:tc>
              <w:tc>
                <w:tcPr>
                  <w:tcW w:w="1250" w:type="pct"/>
                  <w:tcBorders>
                    <w:tl2br w:val="nil"/>
                    <w:tr2bl w:val="nil"/>
                  </w:tcBorders>
                  <w:vAlign w:val="center"/>
                </w:tcPr>
                <w:p>
                  <w:pPr>
                    <w:pStyle w:val="44"/>
                    <w:rPr>
                      <w:color w:val="auto"/>
                    </w:rPr>
                  </w:pPr>
                  <w:r>
                    <w:rPr>
                      <w:rFonts w:hint="eastAsia"/>
                      <w:color w:val="auto"/>
                    </w:rPr>
                    <w:t>CR-P5W</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szCs w:val="21"/>
                    </w:rPr>
                  </w:pPr>
                  <w:r>
                    <w:rPr>
                      <w:rFonts w:hint="eastAsia"/>
                      <w:color w:val="auto"/>
                      <w:szCs w:val="21"/>
                    </w:rPr>
                    <w:t>17</w:t>
                  </w:r>
                </w:p>
              </w:tc>
              <w:tc>
                <w:tcPr>
                  <w:tcW w:w="1896" w:type="pct"/>
                  <w:tcBorders>
                    <w:tl2br w:val="nil"/>
                    <w:tr2bl w:val="nil"/>
                  </w:tcBorders>
                  <w:vAlign w:val="center"/>
                </w:tcPr>
                <w:p>
                  <w:pPr>
                    <w:pStyle w:val="44"/>
                    <w:rPr>
                      <w:color w:val="auto"/>
                    </w:rPr>
                  </w:pPr>
                  <w:r>
                    <w:rPr>
                      <w:rFonts w:hint="eastAsia"/>
                      <w:color w:val="auto"/>
                    </w:rPr>
                    <w:t>纯水机</w:t>
                  </w:r>
                </w:p>
              </w:tc>
              <w:tc>
                <w:tcPr>
                  <w:tcW w:w="1250" w:type="pct"/>
                  <w:tcBorders>
                    <w:tl2br w:val="nil"/>
                    <w:tr2bl w:val="nil"/>
                  </w:tcBorders>
                  <w:vAlign w:val="center"/>
                </w:tcPr>
                <w:p>
                  <w:pPr>
                    <w:pStyle w:val="44"/>
                    <w:rPr>
                      <w:color w:val="auto"/>
                    </w:rPr>
                  </w:pPr>
                  <w:r>
                    <w:rPr>
                      <w:rFonts w:hint="eastAsia"/>
                      <w:color w:val="auto"/>
                    </w:rPr>
                    <w:t>/</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18</w:t>
                  </w:r>
                </w:p>
              </w:tc>
              <w:tc>
                <w:tcPr>
                  <w:tcW w:w="1896" w:type="pct"/>
                  <w:tcBorders>
                    <w:tl2br w:val="nil"/>
                    <w:tr2bl w:val="nil"/>
                  </w:tcBorders>
                  <w:vAlign w:val="center"/>
                </w:tcPr>
                <w:p>
                  <w:pPr>
                    <w:pStyle w:val="44"/>
                    <w:rPr>
                      <w:color w:val="auto"/>
                    </w:rPr>
                  </w:pPr>
                  <w:r>
                    <w:rPr>
                      <w:color w:val="auto"/>
                      <w:lang w:val="zh-CN"/>
                    </w:rPr>
                    <w:t>压力蒸汽灭菌器</w:t>
                  </w:r>
                </w:p>
              </w:tc>
              <w:tc>
                <w:tcPr>
                  <w:tcW w:w="1250" w:type="pct"/>
                  <w:tcBorders>
                    <w:tl2br w:val="nil"/>
                    <w:tr2bl w:val="nil"/>
                  </w:tcBorders>
                  <w:vAlign w:val="center"/>
                </w:tcPr>
                <w:p>
                  <w:pPr>
                    <w:pStyle w:val="44"/>
                    <w:rPr>
                      <w:color w:val="auto"/>
                    </w:rPr>
                  </w:pPr>
                  <w:r>
                    <w:rPr>
                      <w:rFonts w:hint="eastAsia"/>
                      <w:color w:val="auto"/>
                    </w:rPr>
                    <w:t>YX-18LM</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19</w:t>
                  </w:r>
                </w:p>
              </w:tc>
              <w:tc>
                <w:tcPr>
                  <w:tcW w:w="1896" w:type="pct"/>
                  <w:tcBorders>
                    <w:tl2br w:val="nil"/>
                    <w:tr2bl w:val="nil"/>
                  </w:tcBorders>
                  <w:vAlign w:val="center"/>
                </w:tcPr>
                <w:p>
                  <w:pPr>
                    <w:pStyle w:val="44"/>
                    <w:rPr>
                      <w:color w:val="auto"/>
                    </w:rPr>
                  </w:pPr>
                  <w:r>
                    <w:rPr>
                      <w:rFonts w:hint="eastAsia"/>
                      <w:color w:val="auto"/>
                    </w:rPr>
                    <w:t>电磁波治疗器</w:t>
                  </w:r>
                </w:p>
              </w:tc>
              <w:tc>
                <w:tcPr>
                  <w:tcW w:w="1250" w:type="pct"/>
                  <w:tcBorders>
                    <w:tl2br w:val="nil"/>
                    <w:tr2bl w:val="nil"/>
                  </w:tcBorders>
                  <w:vAlign w:val="center"/>
                </w:tcPr>
                <w:p>
                  <w:pPr>
                    <w:pStyle w:val="44"/>
                    <w:rPr>
                      <w:color w:val="auto"/>
                    </w:rPr>
                  </w:pPr>
                  <w:r>
                    <w:rPr>
                      <w:rFonts w:hint="eastAsia"/>
                      <w:color w:val="auto"/>
                    </w:rPr>
                    <w:t>/</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3</w:t>
                  </w:r>
                </w:p>
              </w:tc>
              <w:tc>
                <w:tcPr>
                  <w:tcW w:w="398" w:type="pct"/>
                  <w:tcBorders>
                    <w:tl2br w:val="nil"/>
                    <w:tr2bl w:val="nil"/>
                  </w:tcBorders>
                  <w:shd w:val="clear" w:color="auto" w:fill="auto"/>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20</w:t>
                  </w:r>
                </w:p>
              </w:tc>
              <w:tc>
                <w:tcPr>
                  <w:tcW w:w="1896" w:type="pct"/>
                  <w:tcBorders>
                    <w:tl2br w:val="nil"/>
                    <w:tr2bl w:val="nil"/>
                  </w:tcBorders>
                  <w:vAlign w:val="center"/>
                </w:tcPr>
                <w:p>
                  <w:pPr>
                    <w:pStyle w:val="44"/>
                    <w:rPr>
                      <w:color w:val="auto"/>
                    </w:rPr>
                  </w:pPr>
                  <w:r>
                    <w:rPr>
                      <w:rFonts w:hint="eastAsia"/>
                      <w:color w:val="auto"/>
                    </w:rPr>
                    <w:t>中低频治疗仪</w:t>
                  </w:r>
                </w:p>
              </w:tc>
              <w:tc>
                <w:tcPr>
                  <w:tcW w:w="1250" w:type="pct"/>
                  <w:tcBorders>
                    <w:tl2br w:val="nil"/>
                    <w:tr2bl w:val="nil"/>
                  </w:tcBorders>
                  <w:vAlign w:val="center"/>
                </w:tcPr>
                <w:p>
                  <w:pPr>
                    <w:pStyle w:val="44"/>
                    <w:rPr>
                      <w:color w:val="auto"/>
                    </w:rPr>
                  </w:pPr>
                  <w:r>
                    <w:rPr>
                      <w:rFonts w:hint="eastAsia"/>
                      <w:color w:val="auto"/>
                    </w:rPr>
                    <w:t>HL-Y6A</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21</w:t>
                  </w:r>
                </w:p>
              </w:tc>
              <w:tc>
                <w:tcPr>
                  <w:tcW w:w="1896" w:type="pct"/>
                  <w:tcBorders>
                    <w:tl2br w:val="nil"/>
                    <w:tr2bl w:val="nil"/>
                  </w:tcBorders>
                  <w:vAlign w:val="center"/>
                </w:tcPr>
                <w:p>
                  <w:pPr>
                    <w:pStyle w:val="44"/>
                    <w:rPr>
                      <w:color w:val="auto"/>
                    </w:rPr>
                  </w:pPr>
                  <w:r>
                    <w:rPr>
                      <w:rFonts w:hint="eastAsia"/>
                      <w:color w:val="auto"/>
                    </w:rPr>
                    <w:t>中药熏蒸保健仪</w:t>
                  </w:r>
                </w:p>
              </w:tc>
              <w:tc>
                <w:tcPr>
                  <w:tcW w:w="1250" w:type="pct"/>
                  <w:tcBorders>
                    <w:tl2br w:val="nil"/>
                    <w:tr2bl w:val="nil"/>
                  </w:tcBorders>
                  <w:vAlign w:val="center"/>
                </w:tcPr>
                <w:p>
                  <w:pPr>
                    <w:pStyle w:val="44"/>
                    <w:rPr>
                      <w:color w:val="auto"/>
                    </w:rPr>
                  </w:pPr>
                  <w:r>
                    <w:rPr>
                      <w:rFonts w:hint="eastAsia"/>
                      <w:color w:val="auto"/>
                    </w:rPr>
                    <w:t>SM-000</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2</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22</w:t>
                  </w:r>
                </w:p>
              </w:tc>
              <w:tc>
                <w:tcPr>
                  <w:tcW w:w="1896" w:type="pct"/>
                  <w:tcBorders>
                    <w:tl2br w:val="nil"/>
                    <w:tr2bl w:val="nil"/>
                  </w:tcBorders>
                  <w:vAlign w:val="center"/>
                </w:tcPr>
                <w:p>
                  <w:pPr>
                    <w:pStyle w:val="44"/>
                    <w:rPr>
                      <w:color w:val="auto"/>
                    </w:rPr>
                  </w:pPr>
                  <w:r>
                    <w:rPr>
                      <w:rFonts w:hint="eastAsia"/>
                      <w:color w:val="auto"/>
                    </w:rPr>
                    <w:t>牵引床</w:t>
                  </w:r>
                </w:p>
              </w:tc>
              <w:tc>
                <w:tcPr>
                  <w:tcW w:w="1250" w:type="pct"/>
                  <w:tcBorders>
                    <w:tl2br w:val="nil"/>
                    <w:tr2bl w:val="nil"/>
                  </w:tcBorders>
                  <w:vAlign w:val="center"/>
                </w:tcPr>
                <w:p>
                  <w:pPr>
                    <w:pStyle w:val="44"/>
                    <w:rPr>
                      <w:color w:val="auto"/>
                    </w:rPr>
                  </w:pPr>
                  <w:r>
                    <w:rPr>
                      <w:rFonts w:hint="eastAsia"/>
                      <w:color w:val="auto"/>
                    </w:rPr>
                    <w:t>YHZ-120</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23</w:t>
                  </w:r>
                </w:p>
              </w:tc>
              <w:tc>
                <w:tcPr>
                  <w:tcW w:w="1896" w:type="pct"/>
                  <w:tcBorders>
                    <w:tl2br w:val="nil"/>
                    <w:tr2bl w:val="nil"/>
                  </w:tcBorders>
                  <w:vAlign w:val="center"/>
                </w:tcPr>
                <w:p>
                  <w:pPr>
                    <w:pStyle w:val="44"/>
                    <w:rPr>
                      <w:color w:val="auto"/>
                    </w:rPr>
                  </w:pPr>
                  <w:r>
                    <w:rPr>
                      <w:rFonts w:hint="eastAsia"/>
                      <w:color w:val="auto"/>
                    </w:rPr>
                    <w:t>牵引椅</w:t>
                  </w:r>
                </w:p>
              </w:tc>
              <w:tc>
                <w:tcPr>
                  <w:tcW w:w="1250" w:type="pct"/>
                  <w:tcBorders>
                    <w:tl2br w:val="nil"/>
                    <w:tr2bl w:val="nil"/>
                  </w:tcBorders>
                  <w:vAlign w:val="center"/>
                </w:tcPr>
                <w:p>
                  <w:pPr>
                    <w:pStyle w:val="44"/>
                    <w:rPr>
                      <w:color w:val="auto"/>
                    </w:rPr>
                  </w:pPr>
                  <w:r>
                    <w:rPr>
                      <w:rFonts w:hint="eastAsia"/>
                      <w:color w:val="auto"/>
                    </w:rPr>
                    <w:t>/</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24</w:t>
                  </w:r>
                </w:p>
              </w:tc>
              <w:tc>
                <w:tcPr>
                  <w:tcW w:w="1896" w:type="pct"/>
                  <w:tcBorders>
                    <w:tl2br w:val="nil"/>
                    <w:tr2bl w:val="nil"/>
                  </w:tcBorders>
                  <w:vAlign w:val="center"/>
                </w:tcPr>
                <w:p>
                  <w:pPr>
                    <w:pStyle w:val="44"/>
                    <w:rPr>
                      <w:color w:val="auto"/>
                    </w:rPr>
                  </w:pPr>
                  <w:r>
                    <w:rPr>
                      <w:rFonts w:hint="eastAsia"/>
                      <w:color w:val="auto"/>
                    </w:rPr>
                    <w:t>电子针疗仪</w:t>
                  </w:r>
                </w:p>
              </w:tc>
              <w:tc>
                <w:tcPr>
                  <w:tcW w:w="1250" w:type="pct"/>
                  <w:tcBorders>
                    <w:tl2br w:val="nil"/>
                    <w:tr2bl w:val="nil"/>
                  </w:tcBorders>
                  <w:vAlign w:val="center"/>
                </w:tcPr>
                <w:p>
                  <w:pPr>
                    <w:pStyle w:val="44"/>
                    <w:rPr>
                      <w:color w:val="auto"/>
                    </w:rPr>
                  </w:pPr>
                  <w:r>
                    <w:rPr>
                      <w:rFonts w:hint="eastAsia"/>
                      <w:color w:val="auto"/>
                    </w:rPr>
                    <w:t>SDZ-11</w:t>
                  </w:r>
                </w:p>
              </w:tc>
              <w:tc>
                <w:tcPr>
                  <w:tcW w:w="691" w:type="pct"/>
                  <w:tcBorders>
                    <w:tl2br w:val="nil"/>
                    <w:tr2bl w:val="nil"/>
                  </w:tcBorders>
                  <w:vAlign w:val="center"/>
                </w:tcPr>
                <w:p>
                  <w:pPr>
                    <w:pStyle w:val="44"/>
                    <w:rPr>
                      <w:color w:val="auto"/>
                    </w:rPr>
                  </w:pPr>
                  <w:r>
                    <w:rPr>
                      <w:rFonts w:hint="eastAsia"/>
                      <w:color w:val="auto"/>
                    </w:rPr>
                    <w:t>台</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利旧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5000" w:type="pct"/>
                  <w:gridSpan w:val="6"/>
                  <w:tcBorders>
                    <w:tl2br w:val="nil"/>
                    <w:tr2bl w:val="nil"/>
                  </w:tcBorders>
                  <w:vAlign w:val="center"/>
                </w:tcPr>
                <w:p>
                  <w:pPr>
                    <w:pStyle w:val="44"/>
                    <w:rPr>
                      <w:color w:val="auto"/>
                    </w:rPr>
                  </w:pPr>
                  <w:r>
                    <w:rPr>
                      <w:rFonts w:hint="eastAsia"/>
                      <w:color w:val="auto"/>
                    </w:rPr>
                    <w:t>环保设备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1</w:t>
                  </w:r>
                </w:p>
              </w:tc>
              <w:tc>
                <w:tcPr>
                  <w:tcW w:w="1896" w:type="pct"/>
                  <w:tcBorders>
                    <w:tl2br w:val="nil"/>
                    <w:tr2bl w:val="nil"/>
                  </w:tcBorders>
                  <w:vAlign w:val="center"/>
                </w:tcPr>
                <w:p>
                  <w:pPr>
                    <w:pStyle w:val="44"/>
                    <w:rPr>
                      <w:color w:val="auto"/>
                    </w:rPr>
                  </w:pPr>
                  <w:r>
                    <w:rPr>
                      <w:rFonts w:hint="eastAsia"/>
                      <w:color w:val="auto"/>
                    </w:rPr>
                    <w:t>化粪池</w:t>
                  </w:r>
                </w:p>
              </w:tc>
              <w:tc>
                <w:tcPr>
                  <w:tcW w:w="1250" w:type="pct"/>
                  <w:tcBorders>
                    <w:tl2br w:val="nil"/>
                    <w:tr2bl w:val="nil"/>
                  </w:tcBorders>
                  <w:vAlign w:val="center"/>
                </w:tcPr>
                <w:p>
                  <w:pPr>
                    <w:jc w:val="center"/>
                    <w:rPr>
                      <w:color w:val="auto"/>
                    </w:rPr>
                  </w:pPr>
                  <w:r>
                    <w:rPr>
                      <w:rFonts w:hint="eastAsia"/>
                      <w:color w:val="auto"/>
                    </w:rPr>
                    <w:t>10m</w:t>
                  </w:r>
                  <w:r>
                    <w:rPr>
                      <w:rFonts w:hint="eastAsia"/>
                      <w:color w:val="auto"/>
                      <w:vertAlign w:val="superscript"/>
                    </w:rPr>
                    <w:t>3</w:t>
                  </w:r>
                </w:p>
              </w:tc>
              <w:tc>
                <w:tcPr>
                  <w:tcW w:w="691" w:type="pct"/>
                  <w:tcBorders>
                    <w:tl2br w:val="nil"/>
                    <w:tr2bl w:val="nil"/>
                  </w:tcBorders>
                  <w:vAlign w:val="center"/>
                </w:tcPr>
                <w:p>
                  <w:pPr>
                    <w:pStyle w:val="44"/>
                    <w:rPr>
                      <w:color w:val="auto"/>
                    </w:rPr>
                  </w:pPr>
                  <w:r>
                    <w:rPr>
                      <w:rFonts w:hint="eastAsia"/>
                      <w:color w:val="auto"/>
                    </w:rPr>
                    <w:t>个</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pStyle w:val="44"/>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2</w:t>
                  </w:r>
                </w:p>
              </w:tc>
              <w:tc>
                <w:tcPr>
                  <w:tcW w:w="1896" w:type="pct"/>
                  <w:tcBorders>
                    <w:tl2br w:val="nil"/>
                    <w:tr2bl w:val="nil"/>
                  </w:tcBorders>
                  <w:vAlign w:val="center"/>
                </w:tcPr>
                <w:p>
                  <w:pPr>
                    <w:pStyle w:val="44"/>
                    <w:rPr>
                      <w:color w:val="auto"/>
                    </w:rPr>
                  </w:pPr>
                  <w:r>
                    <w:rPr>
                      <w:rFonts w:hint="eastAsia"/>
                      <w:color w:val="auto"/>
                    </w:rPr>
                    <w:t>一体化污水处理设备（A/O生化池+MBR膜池+次氯酸钠消毒）</w:t>
                  </w:r>
                </w:p>
              </w:tc>
              <w:tc>
                <w:tcPr>
                  <w:tcW w:w="1250" w:type="pct"/>
                  <w:tcBorders>
                    <w:tl2br w:val="nil"/>
                    <w:tr2bl w:val="nil"/>
                  </w:tcBorders>
                  <w:vAlign w:val="center"/>
                </w:tcPr>
                <w:p>
                  <w:pPr>
                    <w:jc w:val="center"/>
                    <w:rPr>
                      <w:color w:val="auto"/>
                    </w:rPr>
                  </w:pPr>
                  <w:r>
                    <w:rPr>
                      <w:rFonts w:hint="eastAsia"/>
                      <w:color w:val="auto"/>
                    </w:rPr>
                    <w:t>10t/d</w:t>
                  </w:r>
                </w:p>
              </w:tc>
              <w:tc>
                <w:tcPr>
                  <w:tcW w:w="691" w:type="pct"/>
                  <w:tcBorders>
                    <w:tl2br w:val="nil"/>
                    <w:tr2bl w:val="nil"/>
                  </w:tcBorders>
                  <w:vAlign w:val="center"/>
                </w:tcPr>
                <w:p>
                  <w:pPr>
                    <w:pStyle w:val="44"/>
                    <w:rPr>
                      <w:color w:val="auto"/>
                    </w:rPr>
                  </w:pPr>
                  <w:r>
                    <w:rPr>
                      <w:rFonts w:hint="eastAsia"/>
                      <w:color w:val="auto"/>
                    </w:rPr>
                    <w:t>套</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3</w:t>
                  </w:r>
                </w:p>
              </w:tc>
              <w:tc>
                <w:tcPr>
                  <w:tcW w:w="1896" w:type="pct"/>
                  <w:tcBorders>
                    <w:tl2br w:val="nil"/>
                    <w:tr2bl w:val="nil"/>
                  </w:tcBorders>
                  <w:vAlign w:val="center"/>
                </w:tcPr>
                <w:p>
                  <w:pPr>
                    <w:pStyle w:val="44"/>
                    <w:rPr>
                      <w:color w:val="auto"/>
                    </w:rPr>
                  </w:pPr>
                  <w:r>
                    <w:rPr>
                      <w:rFonts w:hint="eastAsia"/>
                      <w:color w:val="auto"/>
                    </w:rPr>
                    <w:t>水处理控制系统（水处理设备间）</w:t>
                  </w:r>
                </w:p>
              </w:tc>
              <w:tc>
                <w:tcPr>
                  <w:tcW w:w="1250" w:type="pct"/>
                  <w:tcBorders>
                    <w:tl2br w:val="nil"/>
                    <w:tr2bl w:val="nil"/>
                  </w:tcBorders>
                  <w:vAlign w:val="center"/>
                </w:tcPr>
                <w:p>
                  <w:pPr>
                    <w:jc w:val="center"/>
                    <w:rPr>
                      <w:color w:val="auto"/>
                    </w:rPr>
                  </w:pPr>
                  <w:r>
                    <w:rPr>
                      <w:rFonts w:hint="eastAsia"/>
                      <w:color w:val="auto"/>
                    </w:rPr>
                    <w:t>/</w:t>
                  </w:r>
                </w:p>
              </w:tc>
              <w:tc>
                <w:tcPr>
                  <w:tcW w:w="691" w:type="pct"/>
                  <w:tcBorders>
                    <w:tl2br w:val="nil"/>
                    <w:tr2bl w:val="nil"/>
                  </w:tcBorders>
                  <w:vAlign w:val="center"/>
                </w:tcPr>
                <w:p>
                  <w:pPr>
                    <w:pStyle w:val="44"/>
                    <w:rPr>
                      <w:color w:val="auto"/>
                    </w:rPr>
                  </w:pPr>
                  <w:r>
                    <w:rPr>
                      <w:rFonts w:hint="eastAsia"/>
                      <w:color w:val="auto"/>
                    </w:rPr>
                    <w:t>套</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4</w:t>
                  </w:r>
                </w:p>
              </w:tc>
              <w:tc>
                <w:tcPr>
                  <w:tcW w:w="1896" w:type="pct"/>
                  <w:tcBorders>
                    <w:tl2br w:val="nil"/>
                    <w:tr2bl w:val="nil"/>
                  </w:tcBorders>
                  <w:vAlign w:val="center"/>
                </w:tcPr>
                <w:p>
                  <w:pPr>
                    <w:pStyle w:val="44"/>
                    <w:rPr>
                      <w:color w:val="auto"/>
                    </w:rPr>
                  </w:pPr>
                  <w:r>
                    <w:rPr>
                      <w:rFonts w:hint="eastAsia"/>
                      <w:color w:val="auto"/>
                    </w:rPr>
                    <w:t>油烟净化器</w:t>
                  </w:r>
                </w:p>
              </w:tc>
              <w:tc>
                <w:tcPr>
                  <w:tcW w:w="1250" w:type="pct"/>
                  <w:tcBorders>
                    <w:tl2br w:val="nil"/>
                    <w:tr2bl w:val="nil"/>
                  </w:tcBorders>
                  <w:vAlign w:val="center"/>
                </w:tcPr>
                <w:p>
                  <w:pPr>
                    <w:jc w:val="center"/>
                    <w:rPr>
                      <w:color w:val="auto"/>
                    </w:rPr>
                  </w:pPr>
                  <w:r>
                    <w:rPr>
                      <w:rFonts w:hint="eastAsia"/>
                      <w:color w:val="auto"/>
                    </w:rPr>
                    <w:t>/</w:t>
                  </w:r>
                </w:p>
              </w:tc>
              <w:tc>
                <w:tcPr>
                  <w:tcW w:w="691" w:type="pct"/>
                  <w:tcBorders>
                    <w:tl2br w:val="nil"/>
                    <w:tr2bl w:val="nil"/>
                  </w:tcBorders>
                  <w:vAlign w:val="center"/>
                </w:tcPr>
                <w:p>
                  <w:pPr>
                    <w:pStyle w:val="44"/>
                    <w:rPr>
                      <w:color w:val="auto"/>
                    </w:rPr>
                  </w:pPr>
                  <w:r>
                    <w:rPr>
                      <w:rFonts w:hint="eastAsia"/>
                      <w:color w:val="auto"/>
                    </w:rPr>
                    <w:t>套</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5</w:t>
                  </w:r>
                </w:p>
              </w:tc>
              <w:tc>
                <w:tcPr>
                  <w:tcW w:w="1896" w:type="pct"/>
                  <w:tcBorders>
                    <w:tl2br w:val="nil"/>
                    <w:tr2bl w:val="nil"/>
                  </w:tcBorders>
                  <w:vAlign w:val="center"/>
                </w:tcPr>
                <w:p>
                  <w:pPr>
                    <w:pStyle w:val="44"/>
                    <w:rPr>
                      <w:color w:val="auto"/>
                    </w:rPr>
                  </w:pPr>
                  <w:r>
                    <w:rPr>
                      <w:rFonts w:hint="eastAsia"/>
                      <w:color w:val="auto"/>
                    </w:rPr>
                    <w:t>隔油池</w:t>
                  </w:r>
                </w:p>
              </w:tc>
              <w:tc>
                <w:tcPr>
                  <w:tcW w:w="1250" w:type="pct"/>
                  <w:tcBorders>
                    <w:tl2br w:val="nil"/>
                    <w:tr2bl w:val="nil"/>
                  </w:tcBorders>
                  <w:vAlign w:val="center"/>
                </w:tcPr>
                <w:p>
                  <w:pPr>
                    <w:jc w:val="center"/>
                    <w:rPr>
                      <w:color w:val="auto"/>
                    </w:rPr>
                  </w:pPr>
                  <w:r>
                    <w:rPr>
                      <w:rFonts w:hint="eastAsia"/>
                      <w:color w:val="auto"/>
                    </w:rPr>
                    <w:t>2m</w:t>
                  </w:r>
                  <w:r>
                    <w:rPr>
                      <w:color w:val="auto"/>
                      <w:vertAlign w:val="superscript"/>
                    </w:rPr>
                    <w:t>3</w:t>
                  </w:r>
                </w:p>
              </w:tc>
              <w:tc>
                <w:tcPr>
                  <w:tcW w:w="691" w:type="pct"/>
                  <w:tcBorders>
                    <w:tl2br w:val="nil"/>
                    <w:tr2bl w:val="nil"/>
                  </w:tcBorders>
                  <w:vAlign w:val="center"/>
                </w:tcPr>
                <w:p>
                  <w:pPr>
                    <w:pStyle w:val="44"/>
                    <w:rPr>
                      <w:color w:val="auto"/>
                    </w:rPr>
                  </w:pPr>
                  <w:r>
                    <w:rPr>
                      <w:rFonts w:hint="eastAsia"/>
                      <w:color w:val="auto"/>
                    </w:rPr>
                    <w:t>个</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6</w:t>
                  </w:r>
                </w:p>
              </w:tc>
              <w:tc>
                <w:tcPr>
                  <w:tcW w:w="1896" w:type="pct"/>
                  <w:tcBorders>
                    <w:tl2br w:val="nil"/>
                    <w:tr2bl w:val="nil"/>
                  </w:tcBorders>
                  <w:vAlign w:val="center"/>
                </w:tcPr>
                <w:p>
                  <w:pPr>
                    <w:pStyle w:val="44"/>
                    <w:rPr>
                      <w:color w:val="auto"/>
                    </w:rPr>
                  </w:pPr>
                  <w:r>
                    <w:rPr>
                      <w:rFonts w:hint="eastAsia"/>
                      <w:color w:val="auto"/>
                    </w:rPr>
                    <w:t>事故应急池</w:t>
                  </w:r>
                </w:p>
              </w:tc>
              <w:tc>
                <w:tcPr>
                  <w:tcW w:w="1250" w:type="pct"/>
                  <w:tcBorders>
                    <w:tl2br w:val="nil"/>
                    <w:tr2bl w:val="nil"/>
                  </w:tcBorders>
                  <w:vAlign w:val="center"/>
                </w:tcPr>
                <w:p>
                  <w:pPr>
                    <w:jc w:val="center"/>
                    <w:rPr>
                      <w:color w:val="auto"/>
                    </w:rPr>
                  </w:pPr>
                  <w:r>
                    <w:rPr>
                      <w:rFonts w:hint="eastAsia"/>
                      <w:color w:val="auto"/>
                    </w:rPr>
                    <w:t>5m</w:t>
                  </w:r>
                  <w:r>
                    <w:rPr>
                      <w:rFonts w:hint="eastAsia"/>
                      <w:color w:val="auto"/>
                      <w:vertAlign w:val="superscript"/>
                    </w:rPr>
                    <w:t>3</w:t>
                  </w:r>
                </w:p>
              </w:tc>
              <w:tc>
                <w:tcPr>
                  <w:tcW w:w="691" w:type="pct"/>
                  <w:tcBorders>
                    <w:tl2br w:val="nil"/>
                    <w:tr2bl w:val="nil"/>
                  </w:tcBorders>
                  <w:vAlign w:val="center"/>
                </w:tcPr>
                <w:p>
                  <w:pPr>
                    <w:pStyle w:val="44"/>
                    <w:rPr>
                      <w:color w:val="auto"/>
                    </w:rPr>
                  </w:pPr>
                  <w:r>
                    <w:rPr>
                      <w:rFonts w:hint="eastAsia"/>
                      <w:color w:val="auto"/>
                    </w:rPr>
                    <w:t>个</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shd w:val="clear" w:color="auto" w:fill="auto"/>
                  <w:vAlign w:val="center"/>
                </w:tcPr>
                <w:p>
                  <w:pPr>
                    <w:widowControl/>
                    <w:jc w:val="center"/>
                    <w:textAlignment w:val="bottom"/>
                    <w:rPr>
                      <w:color w:val="auto"/>
                      <w:kern w:val="0"/>
                      <w:szCs w:val="21"/>
                      <w:lang w:bidi="ar"/>
                    </w:rPr>
                  </w:pPr>
                  <w:r>
                    <w:rPr>
                      <w:rFonts w:hint="eastAsia"/>
                      <w:color w:val="auto"/>
                      <w:kern w:val="0"/>
                      <w:szCs w:val="21"/>
                      <w:lang w:bidi="ar"/>
                    </w:rPr>
                    <w:t>7</w:t>
                  </w:r>
                </w:p>
              </w:tc>
              <w:tc>
                <w:tcPr>
                  <w:tcW w:w="1896" w:type="pct"/>
                  <w:tcBorders>
                    <w:tl2br w:val="nil"/>
                    <w:tr2bl w:val="nil"/>
                  </w:tcBorders>
                  <w:vAlign w:val="center"/>
                </w:tcPr>
                <w:p>
                  <w:pPr>
                    <w:pStyle w:val="44"/>
                    <w:rPr>
                      <w:color w:val="auto"/>
                    </w:rPr>
                  </w:pPr>
                  <w:r>
                    <w:rPr>
                      <w:rFonts w:hint="eastAsia"/>
                      <w:color w:val="auto"/>
                    </w:rPr>
                    <w:t>可回收物品间</w:t>
                  </w:r>
                </w:p>
              </w:tc>
              <w:tc>
                <w:tcPr>
                  <w:tcW w:w="1250" w:type="pct"/>
                  <w:tcBorders>
                    <w:tl2br w:val="nil"/>
                    <w:tr2bl w:val="nil"/>
                  </w:tcBorders>
                  <w:vAlign w:val="center"/>
                </w:tcPr>
                <w:p>
                  <w:pPr>
                    <w:pStyle w:val="44"/>
                    <w:rPr>
                      <w:color w:val="auto"/>
                    </w:rPr>
                  </w:pPr>
                  <w:r>
                    <w:rPr>
                      <w:rFonts w:hint="eastAsia"/>
                      <w:color w:val="auto"/>
                    </w:rPr>
                    <w:t xml:space="preserve"> 20m</w:t>
                  </w:r>
                  <w:r>
                    <w:rPr>
                      <w:rFonts w:hint="eastAsia"/>
                      <w:color w:val="auto"/>
                      <w:vertAlign w:val="superscript"/>
                    </w:rPr>
                    <w:t>2</w:t>
                  </w:r>
                </w:p>
              </w:tc>
              <w:tc>
                <w:tcPr>
                  <w:tcW w:w="691" w:type="pct"/>
                  <w:tcBorders>
                    <w:tl2br w:val="nil"/>
                    <w:tr2bl w:val="nil"/>
                  </w:tcBorders>
                  <w:vAlign w:val="center"/>
                </w:tcPr>
                <w:p>
                  <w:pPr>
                    <w:pStyle w:val="44"/>
                    <w:rPr>
                      <w:color w:val="auto"/>
                    </w:rPr>
                  </w:pPr>
                  <w:r>
                    <w:rPr>
                      <w:rFonts w:hint="eastAsia"/>
                      <w:color w:val="auto"/>
                    </w:rPr>
                    <w:t>间</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97" w:hRule="atLeast"/>
              </w:trPr>
              <w:tc>
                <w:tcPr>
                  <w:tcW w:w="358" w:type="pct"/>
                  <w:tcBorders>
                    <w:tl2br w:val="nil"/>
                    <w:tr2bl w:val="nil"/>
                  </w:tcBorders>
                  <w:vAlign w:val="center"/>
                </w:tcPr>
                <w:p>
                  <w:pPr>
                    <w:widowControl/>
                    <w:jc w:val="center"/>
                    <w:textAlignment w:val="bottom"/>
                    <w:rPr>
                      <w:color w:val="auto"/>
                      <w:kern w:val="0"/>
                      <w:szCs w:val="21"/>
                      <w:lang w:bidi="ar"/>
                    </w:rPr>
                  </w:pPr>
                  <w:r>
                    <w:rPr>
                      <w:rFonts w:hint="eastAsia"/>
                      <w:color w:val="auto"/>
                      <w:kern w:val="0"/>
                      <w:szCs w:val="21"/>
                      <w:lang w:bidi="ar"/>
                    </w:rPr>
                    <w:t>8</w:t>
                  </w:r>
                </w:p>
              </w:tc>
              <w:tc>
                <w:tcPr>
                  <w:tcW w:w="1896" w:type="pct"/>
                  <w:tcBorders>
                    <w:tl2br w:val="nil"/>
                    <w:tr2bl w:val="nil"/>
                  </w:tcBorders>
                  <w:vAlign w:val="center"/>
                </w:tcPr>
                <w:p>
                  <w:pPr>
                    <w:pStyle w:val="44"/>
                    <w:rPr>
                      <w:color w:val="auto"/>
                    </w:rPr>
                  </w:pPr>
                  <w:r>
                    <w:rPr>
                      <w:rFonts w:hint="eastAsia"/>
                      <w:color w:val="auto"/>
                    </w:rPr>
                    <w:t>医疗废物暂存间</w:t>
                  </w:r>
                </w:p>
              </w:tc>
              <w:tc>
                <w:tcPr>
                  <w:tcW w:w="1250" w:type="pct"/>
                  <w:tcBorders>
                    <w:tl2br w:val="nil"/>
                    <w:tr2bl w:val="nil"/>
                  </w:tcBorders>
                  <w:vAlign w:val="center"/>
                </w:tcPr>
                <w:p>
                  <w:pPr>
                    <w:pStyle w:val="44"/>
                    <w:rPr>
                      <w:color w:val="auto"/>
                    </w:rPr>
                  </w:pPr>
                  <w:r>
                    <w:rPr>
                      <w:rFonts w:hint="eastAsia"/>
                      <w:color w:val="auto"/>
                    </w:rPr>
                    <w:t>20m</w:t>
                  </w:r>
                  <w:r>
                    <w:rPr>
                      <w:rFonts w:hint="eastAsia"/>
                      <w:color w:val="auto"/>
                      <w:vertAlign w:val="superscript"/>
                    </w:rPr>
                    <w:t>2</w:t>
                  </w:r>
                </w:p>
              </w:tc>
              <w:tc>
                <w:tcPr>
                  <w:tcW w:w="691" w:type="pct"/>
                  <w:tcBorders>
                    <w:tl2br w:val="nil"/>
                    <w:tr2bl w:val="nil"/>
                  </w:tcBorders>
                  <w:vAlign w:val="center"/>
                </w:tcPr>
                <w:p>
                  <w:pPr>
                    <w:pStyle w:val="44"/>
                    <w:rPr>
                      <w:color w:val="auto"/>
                    </w:rPr>
                  </w:pPr>
                  <w:r>
                    <w:rPr>
                      <w:rFonts w:hint="eastAsia"/>
                      <w:color w:val="auto"/>
                    </w:rPr>
                    <w:t>间</w:t>
                  </w:r>
                </w:p>
              </w:tc>
              <w:tc>
                <w:tcPr>
                  <w:tcW w:w="404" w:type="pct"/>
                  <w:tcBorders>
                    <w:tl2br w:val="nil"/>
                    <w:tr2bl w:val="nil"/>
                  </w:tcBorders>
                  <w:vAlign w:val="center"/>
                </w:tcPr>
                <w:p>
                  <w:pPr>
                    <w:pStyle w:val="44"/>
                    <w:rPr>
                      <w:color w:val="auto"/>
                    </w:rPr>
                  </w:pPr>
                  <w:r>
                    <w:rPr>
                      <w:rFonts w:hint="eastAsia"/>
                      <w:color w:val="auto"/>
                    </w:rPr>
                    <w:t>1</w:t>
                  </w:r>
                </w:p>
              </w:tc>
              <w:tc>
                <w:tcPr>
                  <w:tcW w:w="398" w:type="pct"/>
                  <w:tcBorders>
                    <w:tl2br w:val="nil"/>
                    <w:tr2bl w:val="nil"/>
                  </w:tcBorders>
                  <w:vAlign w:val="center"/>
                </w:tcPr>
                <w:p>
                  <w:pPr>
                    <w:rPr>
                      <w:color w:val="auto"/>
                    </w:rPr>
                  </w:pPr>
                  <w:r>
                    <w:rPr>
                      <w:rFonts w:hint="eastAsia"/>
                      <w:color w:val="auto"/>
                    </w:rPr>
                    <w:t>新建</w:t>
                  </w:r>
                </w:p>
              </w:tc>
            </w:tr>
          </w:tbl>
          <w:p>
            <w:pPr>
              <w:pStyle w:val="12"/>
              <w:keepNext w:val="0"/>
              <w:keepLines w:val="0"/>
              <w:pageBreakBefore w:val="0"/>
              <w:widowControl w:val="0"/>
              <w:kinsoku/>
              <w:wordWrap/>
              <w:overflowPunct/>
              <w:topLinePunct w:val="0"/>
              <w:autoSpaceDE/>
              <w:autoSpaceDN/>
              <w:bidi w:val="0"/>
              <w:adjustRightInd w:val="0"/>
              <w:snapToGrid/>
              <w:spacing w:after="0" w:line="240" w:lineRule="auto"/>
              <w:ind w:left="0" w:leftChars="0" w:firstLine="421" w:firstLineChars="200"/>
              <w:textAlignment w:val="auto"/>
              <w:rPr>
                <w:color w:val="auto"/>
              </w:rPr>
            </w:pPr>
            <w:r>
              <w:rPr>
                <w:rFonts w:hint="eastAsia"/>
                <w:b/>
                <w:color w:val="auto"/>
                <w:szCs w:val="21"/>
              </w:rPr>
              <w:t>注：</w:t>
            </w:r>
            <w:r>
              <w:rPr>
                <w:b/>
                <w:color w:val="auto"/>
                <w:szCs w:val="21"/>
              </w:rPr>
              <w:t>本评价不涉及辐射医疗设备的环评，含辐射设备将另作环评。</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b/>
                <w:bCs/>
                <w:color w:val="auto"/>
                <w:sz w:val="24"/>
              </w:rPr>
            </w:pPr>
            <w:r>
              <w:rPr>
                <w:rFonts w:hint="eastAsia"/>
                <w:b/>
                <w:bCs/>
                <w:color w:val="auto"/>
                <w:sz w:val="24"/>
              </w:rPr>
              <w:t>4.主要原辅材料</w:t>
            </w:r>
          </w:p>
          <w:p>
            <w:pPr>
              <w:pStyle w:val="45"/>
              <w:keepNext w:val="0"/>
              <w:keepLines w:val="0"/>
              <w:pageBreakBefore w:val="0"/>
              <w:widowControl w:val="0"/>
              <w:numPr>
                <w:ilvl w:val="0"/>
                <w:numId w:val="0"/>
              </w:numPr>
              <w:kinsoku/>
              <w:wordWrap/>
              <w:overflowPunct/>
              <w:topLinePunct w:val="0"/>
              <w:autoSpaceDE/>
              <w:autoSpaceDN/>
              <w:bidi w:val="0"/>
              <w:adjustRightInd w:val="0"/>
              <w:snapToGrid/>
              <w:spacing w:before="0" w:after="0" w:line="360" w:lineRule="auto"/>
              <w:ind w:firstLine="480" w:firstLineChars="200"/>
              <w:textAlignment w:val="auto"/>
              <w:outlineLvl w:val="9"/>
              <w:rPr>
                <w:rFonts w:ascii="Times New Roman" w:hAnsi="Times New Roman"/>
                <w:color w:val="auto"/>
                <w:sz w:val="24"/>
                <w:szCs w:val="21"/>
                <w:lang w:val="en-US" w:bidi="ar-SA"/>
              </w:rPr>
            </w:pPr>
            <w:r>
              <w:rPr>
                <w:rFonts w:hint="eastAsia" w:ascii="Times New Roman" w:hAnsi="Times New Roman"/>
                <w:b w:val="0"/>
                <w:bCs w:val="0"/>
                <w:color w:val="auto"/>
                <w:sz w:val="24"/>
                <w:lang w:val="en-US"/>
              </w:rPr>
              <w:t>（1）本项目主要原辅材料见表2-3</w:t>
            </w:r>
          </w:p>
          <w:p>
            <w:pPr>
              <w:pStyle w:val="43"/>
              <w:ind w:firstLine="421" w:firstLineChars="200"/>
              <w:rPr>
                <w:color w:val="auto"/>
                <w:lang w:val="zh-CN"/>
              </w:rPr>
            </w:pPr>
            <w:r>
              <w:rPr>
                <w:color w:val="auto"/>
                <w:lang w:val="zh-CN"/>
              </w:rPr>
              <w:t>表</w:t>
            </w:r>
            <w:r>
              <w:rPr>
                <w:rFonts w:hint="eastAsia"/>
                <w:color w:val="auto"/>
                <w:lang w:val="en-US"/>
              </w:rPr>
              <w:t>2-3</w:t>
            </w:r>
            <w:r>
              <w:rPr>
                <w:rFonts w:hint="eastAsia"/>
                <w:color w:val="auto"/>
                <w:lang w:val="en-US" w:eastAsia="zh-CN"/>
              </w:rPr>
              <w:t xml:space="preserve"> </w:t>
            </w:r>
            <w:r>
              <w:rPr>
                <w:rFonts w:hint="eastAsia"/>
                <w:color w:val="auto"/>
                <w:lang w:val="zh-CN"/>
              </w:rPr>
              <w:t>项目</w:t>
            </w:r>
            <w:r>
              <w:rPr>
                <w:color w:val="auto"/>
                <w:lang w:val="zh-CN"/>
              </w:rPr>
              <w:t>主要原辅材料一览表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468"/>
              <w:gridCol w:w="685"/>
              <w:gridCol w:w="1620"/>
              <w:gridCol w:w="1160"/>
              <w:gridCol w:w="1049"/>
              <w:gridCol w:w="957"/>
              <w:gridCol w:w="942"/>
              <w:gridCol w:w="776"/>
              <w:gridCol w:w="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b/>
                      <w:bCs/>
                      <w:color w:val="auto"/>
                      <w:szCs w:val="21"/>
                    </w:rPr>
                  </w:pPr>
                  <w:r>
                    <w:rPr>
                      <w:b/>
                      <w:bCs/>
                      <w:color w:val="auto"/>
                      <w:szCs w:val="21"/>
                    </w:rPr>
                    <w:t>序号</w:t>
                  </w:r>
                </w:p>
              </w:tc>
              <w:tc>
                <w:tcPr>
                  <w:tcW w:w="408" w:type="pct"/>
                  <w:tcBorders>
                    <w:tl2br w:val="nil"/>
                    <w:tr2bl w:val="nil"/>
                  </w:tcBorders>
                  <w:vAlign w:val="center"/>
                </w:tcPr>
                <w:p>
                  <w:pPr>
                    <w:jc w:val="center"/>
                    <w:rPr>
                      <w:b/>
                      <w:bCs/>
                      <w:color w:val="auto"/>
                      <w:szCs w:val="21"/>
                    </w:rPr>
                  </w:pPr>
                  <w:r>
                    <w:rPr>
                      <w:b/>
                      <w:bCs/>
                      <w:color w:val="auto"/>
                      <w:szCs w:val="21"/>
                    </w:rPr>
                    <w:t>类别</w:t>
                  </w:r>
                </w:p>
              </w:tc>
              <w:tc>
                <w:tcPr>
                  <w:tcW w:w="965" w:type="pct"/>
                  <w:tcBorders>
                    <w:tl2br w:val="nil"/>
                    <w:tr2bl w:val="nil"/>
                  </w:tcBorders>
                  <w:vAlign w:val="center"/>
                </w:tcPr>
                <w:p>
                  <w:pPr>
                    <w:jc w:val="center"/>
                    <w:rPr>
                      <w:b/>
                      <w:bCs/>
                      <w:color w:val="auto"/>
                      <w:szCs w:val="21"/>
                    </w:rPr>
                  </w:pPr>
                  <w:r>
                    <w:rPr>
                      <w:b/>
                      <w:bCs/>
                      <w:color w:val="auto"/>
                      <w:szCs w:val="21"/>
                    </w:rPr>
                    <w:t>名称</w:t>
                  </w:r>
                </w:p>
              </w:tc>
              <w:tc>
                <w:tcPr>
                  <w:tcW w:w="691" w:type="pct"/>
                  <w:tcBorders>
                    <w:tl2br w:val="nil"/>
                    <w:tr2bl w:val="nil"/>
                  </w:tcBorders>
                  <w:vAlign w:val="center"/>
                </w:tcPr>
                <w:p>
                  <w:pPr>
                    <w:jc w:val="center"/>
                    <w:rPr>
                      <w:b/>
                      <w:bCs/>
                      <w:color w:val="auto"/>
                      <w:szCs w:val="21"/>
                    </w:rPr>
                  </w:pPr>
                  <w:r>
                    <w:rPr>
                      <w:rFonts w:hint="eastAsia"/>
                      <w:b/>
                      <w:bCs/>
                      <w:color w:val="auto"/>
                      <w:szCs w:val="21"/>
                    </w:rPr>
                    <w:t>规格</w:t>
                  </w:r>
                </w:p>
              </w:tc>
              <w:tc>
                <w:tcPr>
                  <w:tcW w:w="625" w:type="pct"/>
                  <w:tcBorders>
                    <w:tl2br w:val="nil"/>
                    <w:tr2bl w:val="nil"/>
                  </w:tcBorders>
                  <w:vAlign w:val="center"/>
                </w:tcPr>
                <w:p>
                  <w:pPr>
                    <w:pStyle w:val="43"/>
                    <w:rPr>
                      <w:color w:val="auto"/>
                      <w:lang w:val="en-US"/>
                    </w:rPr>
                  </w:pPr>
                  <w:r>
                    <w:rPr>
                      <w:rFonts w:hint="eastAsia"/>
                      <w:color w:val="auto"/>
                      <w:lang w:val="en-US"/>
                    </w:rPr>
                    <w:t>数量</w:t>
                  </w:r>
                </w:p>
              </w:tc>
              <w:tc>
                <w:tcPr>
                  <w:tcW w:w="570" w:type="pct"/>
                  <w:tcBorders>
                    <w:tl2br w:val="nil"/>
                    <w:tr2bl w:val="nil"/>
                  </w:tcBorders>
                  <w:vAlign w:val="center"/>
                </w:tcPr>
                <w:p>
                  <w:pPr>
                    <w:pStyle w:val="43"/>
                    <w:rPr>
                      <w:color w:val="auto"/>
                      <w:lang w:val="en-US"/>
                    </w:rPr>
                  </w:pPr>
                  <w:r>
                    <w:rPr>
                      <w:rFonts w:hint="eastAsia"/>
                      <w:color w:val="auto"/>
                      <w:lang w:val="en-US"/>
                    </w:rPr>
                    <w:t>单位</w:t>
                  </w:r>
                </w:p>
              </w:tc>
              <w:tc>
                <w:tcPr>
                  <w:tcW w:w="561" w:type="pct"/>
                  <w:tcBorders>
                    <w:tl2br w:val="nil"/>
                    <w:tr2bl w:val="nil"/>
                  </w:tcBorders>
                  <w:vAlign w:val="center"/>
                </w:tcPr>
                <w:p>
                  <w:pPr>
                    <w:pStyle w:val="43"/>
                    <w:rPr>
                      <w:color w:val="auto"/>
                      <w:lang w:val="en-US"/>
                    </w:rPr>
                  </w:pPr>
                  <w:r>
                    <w:rPr>
                      <w:rFonts w:hint="eastAsia"/>
                      <w:color w:val="auto"/>
                      <w:lang w:val="en-US"/>
                    </w:rPr>
                    <w:t>最大存储量</w:t>
                  </w:r>
                </w:p>
              </w:tc>
              <w:tc>
                <w:tcPr>
                  <w:tcW w:w="462" w:type="pct"/>
                  <w:tcBorders>
                    <w:tl2br w:val="nil"/>
                    <w:tr2bl w:val="nil"/>
                  </w:tcBorders>
                  <w:vAlign w:val="center"/>
                </w:tcPr>
                <w:p>
                  <w:pPr>
                    <w:jc w:val="center"/>
                    <w:rPr>
                      <w:b/>
                      <w:bCs/>
                      <w:color w:val="auto"/>
                      <w:szCs w:val="21"/>
                    </w:rPr>
                  </w:pPr>
                  <w:r>
                    <w:rPr>
                      <w:b/>
                      <w:bCs/>
                      <w:color w:val="auto"/>
                      <w:szCs w:val="21"/>
                    </w:rPr>
                    <w:t>储存位置</w:t>
                  </w:r>
                </w:p>
              </w:tc>
              <w:tc>
                <w:tcPr>
                  <w:tcW w:w="434" w:type="pct"/>
                  <w:tcBorders>
                    <w:tl2br w:val="nil"/>
                    <w:tr2bl w:val="nil"/>
                  </w:tcBorders>
                  <w:vAlign w:val="center"/>
                </w:tcPr>
                <w:p>
                  <w:pPr>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color w:val="auto"/>
                      <w:szCs w:val="21"/>
                    </w:rPr>
                    <w:t>1</w:t>
                  </w:r>
                </w:p>
              </w:tc>
              <w:tc>
                <w:tcPr>
                  <w:tcW w:w="408" w:type="pct"/>
                  <w:vMerge w:val="restart"/>
                  <w:tcBorders>
                    <w:tl2br w:val="nil"/>
                    <w:tr2bl w:val="nil"/>
                  </w:tcBorders>
                  <w:vAlign w:val="center"/>
                </w:tcPr>
                <w:p>
                  <w:pPr>
                    <w:jc w:val="center"/>
                    <w:rPr>
                      <w:color w:val="auto"/>
                      <w:szCs w:val="21"/>
                    </w:rPr>
                  </w:pPr>
                  <w:r>
                    <w:rPr>
                      <w:color w:val="auto"/>
                      <w:szCs w:val="21"/>
                    </w:rPr>
                    <w:t>医疗器械</w:t>
                  </w:r>
                </w:p>
              </w:tc>
              <w:tc>
                <w:tcPr>
                  <w:tcW w:w="965" w:type="pct"/>
                  <w:tcBorders>
                    <w:tl2br w:val="nil"/>
                    <w:tr2bl w:val="nil"/>
                  </w:tcBorders>
                  <w:vAlign w:val="center"/>
                </w:tcPr>
                <w:p>
                  <w:pPr>
                    <w:jc w:val="center"/>
                    <w:rPr>
                      <w:color w:val="auto"/>
                      <w:szCs w:val="21"/>
                    </w:rPr>
                  </w:pPr>
                  <w:r>
                    <w:rPr>
                      <w:color w:val="auto"/>
                      <w:szCs w:val="21"/>
                    </w:rPr>
                    <w:t>一次性注射器</w:t>
                  </w:r>
                  <w:r>
                    <w:rPr>
                      <w:rFonts w:hint="eastAsia"/>
                      <w:color w:val="auto"/>
                      <w:szCs w:val="21"/>
                    </w:rPr>
                    <w:t>、输液器</w:t>
                  </w:r>
                </w:p>
              </w:tc>
              <w:tc>
                <w:tcPr>
                  <w:tcW w:w="691" w:type="pct"/>
                  <w:tcBorders>
                    <w:tl2br w:val="nil"/>
                    <w:tr2bl w:val="nil"/>
                  </w:tcBorders>
                  <w:vAlign w:val="center"/>
                </w:tcPr>
                <w:p>
                  <w:pPr>
                    <w:jc w:val="center"/>
                    <w:rPr>
                      <w:color w:val="auto"/>
                      <w:szCs w:val="21"/>
                    </w:rPr>
                  </w:pPr>
                  <w:r>
                    <w:rPr>
                      <w:rFonts w:hint="eastAsia"/>
                      <w:color w:val="auto"/>
                      <w:szCs w:val="21"/>
                    </w:rPr>
                    <w:t>25支/盒</w:t>
                  </w:r>
                </w:p>
              </w:tc>
              <w:tc>
                <w:tcPr>
                  <w:tcW w:w="625" w:type="pct"/>
                  <w:tcBorders>
                    <w:tl2br w:val="nil"/>
                    <w:tr2bl w:val="nil"/>
                  </w:tcBorders>
                  <w:vAlign w:val="center"/>
                </w:tcPr>
                <w:p>
                  <w:pPr>
                    <w:jc w:val="center"/>
                    <w:rPr>
                      <w:color w:val="auto"/>
                      <w:szCs w:val="21"/>
                    </w:rPr>
                  </w:pPr>
                  <w:r>
                    <w:rPr>
                      <w:rFonts w:hint="eastAsia"/>
                      <w:color w:val="auto"/>
                      <w:szCs w:val="21"/>
                    </w:rPr>
                    <w:t>70</w:t>
                  </w:r>
                </w:p>
              </w:tc>
              <w:tc>
                <w:tcPr>
                  <w:tcW w:w="570" w:type="pct"/>
                  <w:tcBorders>
                    <w:tl2br w:val="nil"/>
                    <w:tr2bl w:val="nil"/>
                  </w:tcBorders>
                  <w:vAlign w:val="center"/>
                </w:tcPr>
                <w:p>
                  <w:pPr>
                    <w:jc w:val="center"/>
                    <w:rPr>
                      <w:color w:val="auto"/>
                      <w:szCs w:val="21"/>
                    </w:rPr>
                  </w:pPr>
                  <w:r>
                    <w:rPr>
                      <w:rFonts w:hint="eastAsia"/>
                      <w:color w:val="auto"/>
                      <w:szCs w:val="21"/>
                    </w:rPr>
                    <w:t>盒</w:t>
                  </w:r>
                </w:p>
              </w:tc>
              <w:tc>
                <w:tcPr>
                  <w:tcW w:w="561" w:type="pct"/>
                  <w:tcBorders>
                    <w:tl2br w:val="nil"/>
                    <w:tr2bl w:val="nil"/>
                  </w:tcBorders>
                  <w:vAlign w:val="center"/>
                </w:tcPr>
                <w:p>
                  <w:pPr>
                    <w:jc w:val="center"/>
                    <w:rPr>
                      <w:color w:val="auto"/>
                      <w:szCs w:val="21"/>
                    </w:rPr>
                  </w:pPr>
                  <w:r>
                    <w:rPr>
                      <w:rFonts w:hint="eastAsia"/>
                      <w:color w:val="auto"/>
                      <w:szCs w:val="21"/>
                    </w:rPr>
                    <w:t>20盒</w:t>
                  </w:r>
                </w:p>
              </w:tc>
              <w:tc>
                <w:tcPr>
                  <w:tcW w:w="462" w:type="pct"/>
                  <w:vMerge w:val="restart"/>
                  <w:tcBorders>
                    <w:tl2br w:val="nil"/>
                    <w:tr2bl w:val="nil"/>
                  </w:tcBorders>
                  <w:vAlign w:val="center"/>
                </w:tcPr>
                <w:p>
                  <w:pPr>
                    <w:jc w:val="center"/>
                    <w:rPr>
                      <w:color w:val="auto"/>
                      <w:szCs w:val="21"/>
                    </w:rPr>
                  </w:pPr>
                  <w:r>
                    <w:rPr>
                      <w:color w:val="auto"/>
                      <w:szCs w:val="21"/>
                    </w:rPr>
                    <w:t>医器间</w:t>
                  </w:r>
                </w:p>
                <w:p>
                  <w:pPr>
                    <w:jc w:val="center"/>
                    <w:rPr>
                      <w:color w:val="auto"/>
                      <w:szCs w:val="21"/>
                    </w:rPr>
                  </w:pPr>
                </w:p>
              </w:tc>
              <w:tc>
                <w:tcPr>
                  <w:tcW w:w="434" w:type="pct"/>
                  <w:vMerge w:val="restart"/>
                  <w:tcBorders>
                    <w:tl2br w:val="nil"/>
                    <w:tr2bl w:val="nil"/>
                  </w:tcBorders>
                  <w:vAlign w:val="center"/>
                </w:tcPr>
                <w:p>
                  <w:pPr>
                    <w:jc w:val="center"/>
                    <w:rPr>
                      <w:color w:val="auto"/>
                      <w:szCs w:val="21"/>
                    </w:rPr>
                  </w:pPr>
                  <w:r>
                    <w:rPr>
                      <w:color w:val="auto"/>
                      <w:szCs w:val="21"/>
                    </w:rPr>
                    <w:t>具体用量视具体经营情况而定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2</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一次性手套</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300</w:t>
                  </w:r>
                </w:p>
              </w:tc>
              <w:tc>
                <w:tcPr>
                  <w:tcW w:w="570" w:type="pct"/>
                  <w:tcBorders>
                    <w:tl2br w:val="nil"/>
                    <w:tr2bl w:val="nil"/>
                  </w:tcBorders>
                  <w:vAlign w:val="center"/>
                </w:tcPr>
                <w:p>
                  <w:pPr>
                    <w:jc w:val="center"/>
                    <w:rPr>
                      <w:color w:val="auto"/>
                      <w:szCs w:val="21"/>
                    </w:rPr>
                  </w:pPr>
                  <w:r>
                    <w:rPr>
                      <w:rFonts w:hint="eastAsia"/>
                      <w:color w:val="auto"/>
                      <w:szCs w:val="21"/>
                    </w:rPr>
                    <w:t>双</w:t>
                  </w:r>
                </w:p>
              </w:tc>
              <w:tc>
                <w:tcPr>
                  <w:tcW w:w="561" w:type="pct"/>
                  <w:tcBorders>
                    <w:tl2br w:val="nil"/>
                    <w:tr2bl w:val="nil"/>
                  </w:tcBorders>
                  <w:vAlign w:val="center"/>
                </w:tcPr>
                <w:p>
                  <w:pPr>
                    <w:jc w:val="center"/>
                    <w:rPr>
                      <w:color w:val="auto"/>
                      <w:szCs w:val="21"/>
                    </w:rPr>
                  </w:pPr>
                  <w:r>
                    <w:rPr>
                      <w:rFonts w:hint="eastAsia"/>
                      <w:color w:val="auto"/>
                      <w:szCs w:val="21"/>
                    </w:rPr>
                    <w:t>100双</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3</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一次性口罩</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1000</w:t>
                  </w:r>
                </w:p>
              </w:tc>
              <w:tc>
                <w:tcPr>
                  <w:tcW w:w="570" w:type="pct"/>
                  <w:tcBorders>
                    <w:tl2br w:val="nil"/>
                    <w:tr2bl w:val="nil"/>
                  </w:tcBorders>
                  <w:vAlign w:val="center"/>
                </w:tcPr>
                <w:p>
                  <w:pPr>
                    <w:jc w:val="center"/>
                    <w:rPr>
                      <w:color w:val="auto"/>
                      <w:szCs w:val="21"/>
                    </w:rPr>
                  </w:pPr>
                  <w:r>
                    <w:rPr>
                      <w:rFonts w:hint="eastAsia"/>
                      <w:color w:val="auto"/>
                      <w:szCs w:val="21"/>
                    </w:rPr>
                    <w:t>个</w:t>
                  </w:r>
                </w:p>
              </w:tc>
              <w:tc>
                <w:tcPr>
                  <w:tcW w:w="561" w:type="pct"/>
                  <w:tcBorders>
                    <w:tl2br w:val="nil"/>
                    <w:tr2bl w:val="nil"/>
                  </w:tcBorders>
                  <w:vAlign w:val="center"/>
                </w:tcPr>
                <w:p>
                  <w:pPr>
                    <w:jc w:val="center"/>
                    <w:rPr>
                      <w:color w:val="auto"/>
                      <w:szCs w:val="21"/>
                    </w:rPr>
                  </w:pPr>
                  <w:r>
                    <w:rPr>
                      <w:rFonts w:hint="eastAsia"/>
                      <w:color w:val="auto"/>
                      <w:szCs w:val="21"/>
                    </w:rPr>
                    <w:t>200个</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4</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color w:val="auto"/>
                      <w:szCs w:val="21"/>
                    </w:rPr>
                    <w:t>纱布</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20</w:t>
                  </w:r>
                </w:p>
              </w:tc>
              <w:tc>
                <w:tcPr>
                  <w:tcW w:w="570" w:type="pct"/>
                  <w:tcBorders>
                    <w:tl2br w:val="nil"/>
                    <w:tr2bl w:val="nil"/>
                  </w:tcBorders>
                  <w:vAlign w:val="center"/>
                </w:tcPr>
                <w:p>
                  <w:pPr>
                    <w:jc w:val="center"/>
                    <w:rPr>
                      <w:color w:val="auto"/>
                      <w:szCs w:val="21"/>
                    </w:rPr>
                  </w:pPr>
                  <w:r>
                    <w:rPr>
                      <w:rFonts w:hint="eastAsia"/>
                      <w:color w:val="auto"/>
                      <w:szCs w:val="21"/>
                    </w:rPr>
                    <w:t>包</w:t>
                  </w:r>
                </w:p>
              </w:tc>
              <w:tc>
                <w:tcPr>
                  <w:tcW w:w="561" w:type="pct"/>
                  <w:tcBorders>
                    <w:tl2br w:val="nil"/>
                    <w:tr2bl w:val="nil"/>
                  </w:tcBorders>
                  <w:vAlign w:val="center"/>
                </w:tcPr>
                <w:p>
                  <w:pPr>
                    <w:jc w:val="center"/>
                    <w:rPr>
                      <w:color w:val="auto"/>
                      <w:szCs w:val="21"/>
                    </w:rPr>
                  </w:pPr>
                  <w:r>
                    <w:rPr>
                      <w:rFonts w:hint="eastAsia"/>
                      <w:color w:val="auto"/>
                      <w:szCs w:val="21"/>
                    </w:rPr>
                    <w:t>5包</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5</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中单、小单、被套</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20</w:t>
                  </w:r>
                </w:p>
              </w:tc>
              <w:tc>
                <w:tcPr>
                  <w:tcW w:w="570" w:type="pct"/>
                  <w:tcBorders>
                    <w:tl2br w:val="nil"/>
                    <w:tr2bl w:val="nil"/>
                  </w:tcBorders>
                  <w:vAlign w:val="center"/>
                </w:tcPr>
                <w:p>
                  <w:pPr>
                    <w:jc w:val="center"/>
                    <w:rPr>
                      <w:color w:val="auto"/>
                      <w:szCs w:val="21"/>
                    </w:rPr>
                  </w:pPr>
                  <w:r>
                    <w:rPr>
                      <w:rFonts w:hint="eastAsia"/>
                      <w:color w:val="auto"/>
                      <w:szCs w:val="21"/>
                    </w:rPr>
                    <w:t>套</w:t>
                  </w:r>
                </w:p>
              </w:tc>
              <w:tc>
                <w:tcPr>
                  <w:tcW w:w="561" w:type="pct"/>
                  <w:tcBorders>
                    <w:tl2br w:val="nil"/>
                    <w:tr2bl w:val="nil"/>
                  </w:tcBorders>
                  <w:vAlign w:val="center"/>
                </w:tcPr>
                <w:p>
                  <w:pPr>
                    <w:jc w:val="center"/>
                    <w:rPr>
                      <w:color w:val="auto"/>
                      <w:szCs w:val="21"/>
                    </w:rPr>
                  </w:pPr>
                  <w:r>
                    <w:rPr>
                      <w:rFonts w:hint="eastAsia"/>
                      <w:color w:val="auto"/>
                      <w:szCs w:val="21"/>
                    </w:rPr>
                    <w:t>20套</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6</w:t>
                  </w:r>
                </w:p>
              </w:tc>
              <w:tc>
                <w:tcPr>
                  <w:tcW w:w="408" w:type="pct"/>
                  <w:tcBorders>
                    <w:tl2br w:val="nil"/>
                    <w:tr2bl w:val="nil"/>
                  </w:tcBorders>
                  <w:vAlign w:val="center"/>
                </w:tcPr>
                <w:p>
                  <w:pPr>
                    <w:jc w:val="center"/>
                    <w:rPr>
                      <w:color w:val="auto"/>
                      <w:szCs w:val="21"/>
                    </w:rPr>
                  </w:pPr>
                  <w:r>
                    <w:rPr>
                      <w:color w:val="auto"/>
                      <w:szCs w:val="21"/>
                    </w:rPr>
                    <w:t>废水处理化学试剂</w:t>
                  </w:r>
                </w:p>
              </w:tc>
              <w:tc>
                <w:tcPr>
                  <w:tcW w:w="965" w:type="pct"/>
                  <w:tcBorders>
                    <w:tl2br w:val="nil"/>
                    <w:tr2bl w:val="nil"/>
                  </w:tcBorders>
                  <w:vAlign w:val="center"/>
                </w:tcPr>
                <w:p>
                  <w:pPr>
                    <w:jc w:val="center"/>
                    <w:rPr>
                      <w:color w:val="auto"/>
                      <w:szCs w:val="21"/>
                    </w:rPr>
                  </w:pPr>
                  <w:r>
                    <w:rPr>
                      <w:rFonts w:hint="eastAsia"/>
                      <w:color w:val="auto"/>
                      <w:szCs w:val="21"/>
                    </w:rPr>
                    <w:t>12%的</w:t>
                  </w:r>
                  <w:r>
                    <w:rPr>
                      <w:color w:val="auto"/>
                      <w:szCs w:val="21"/>
                    </w:rPr>
                    <w:t>次氯酸钠溶液</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0.555</w:t>
                  </w:r>
                </w:p>
              </w:tc>
              <w:tc>
                <w:tcPr>
                  <w:tcW w:w="570" w:type="pct"/>
                  <w:tcBorders>
                    <w:tl2br w:val="nil"/>
                    <w:tr2bl w:val="nil"/>
                  </w:tcBorders>
                  <w:vAlign w:val="center"/>
                </w:tcPr>
                <w:p>
                  <w:pPr>
                    <w:jc w:val="center"/>
                    <w:rPr>
                      <w:color w:val="auto"/>
                      <w:szCs w:val="21"/>
                    </w:rPr>
                  </w:pPr>
                  <w:r>
                    <w:rPr>
                      <w:rFonts w:hint="eastAsia"/>
                      <w:color w:val="auto"/>
                      <w:szCs w:val="21"/>
                    </w:rPr>
                    <w:t>t/a</w:t>
                  </w:r>
                </w:p>
              </w:tc>
              <w:tc>
                <w:tcPr>
                  <w:tcW w:w="561" w:type="pct"/>
                  <w:tcBorders>
                    <w:tl2br w:val="nil"/>
                    <w:tr2bl w:val="nil"/>
                  </w:tcBorders>
                  <w:vAlign w:val="center"/>
                </w:tcPr>
                <w:p>
                  <w:pPr>
                    <w:jc w:val="center"/>
                    <w:rPr>
                      <w:color w:val="auto"/>
                      <w:szCs w:val="21"/>
                    </w:rPr>
                  </w:pPr>
                  <w:r>
                    <w:rPr>
                      <w:rFonts w:hint="eastAsia"/>
                      <w:color w:val="auto"/>
                      <w:szCs w:val="21"/>
                    </w:rPr>
                    <w:t>0.2t</w:t>
                  </w:r>
                </w:p>
              </w:tc>
              <w:tc>
                <w:tcPr>
                  <w:tcW w:w="462" w:type="pct"/>
                  <w:tcBorders>
                    <w:tl2br w:val="nil"/>
                    <w:tr2bl w:val="nil"/>
                  </w:tcBorders>
                  <w:vAlign w:val="center"/>
                </w:tcPr>
                <w:p>
                  <w:pPr>
                    <w:jc w:val="center"/>
                    <w:rPr>
                      <w:color w:val="auto"/>
                      <w:szCs w:val="21"/>
                    </w:rPr>
                  </w:pPr>
                  <w:r>
                    <w:rPr>
                      <w:rFonts w:hint="eastAsia"/>
                      <w:color w:val="auto"/>
                      <w:szCs w:val="21"/>
                    </w:rPr>
                    <w:t>水处理设备间</w:t>
                  </w: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7</w:t>
                  </w:r>
                </w:p>
              </w:tc>
              <w:tc>
                <w:tcPr>
                  <w:tcW w:w="408" w:type="pct"/>
                  <w:vMerge w:val="restart"/>
                  <w:tcBorders>
                    <w:tl2br w:val="nil"/>
                    <w:tr2bl w:val="nil"/>
                  </w:tcBorders>
                  <w:vAlign w:val="center"/>
                </w:tcPr>
                <w:p>
                  <w:pPr>
                    <w:jc w:val="center"/>
                    <w:rPr>
                      <w:color w:val="auto"/>
                      <w:szCs w:val="21"/>
                    </w:rPr>
                  </w:pPr>
                  <w:r>
                    <w:rPr>
                      <w:rFonts w:hint="eastAsia"/>
                      <w:color w:val="auto"/>
                      <w:szCs w:val="21"/>
                    </w:rPr>
                    <w:t>医疗试剂</w:t>
                  </w:r>
                </w:p>
              </w:tc>
              <w:tc>
                <w:tcPr>
                  <w:tcW w:w="965" w:type="pct"/>
                  <w:tcBorders>
                    <w:tl2br w:val="nil"/>
                    <w:tr2bl w:val="nil"/>
                  </w:tcBorders>
                  <w:vAlign w:val="center"/>
                </w:tcPr>
                <w:p>
                  <w:pPr>
                    <w:jc w:val="center"/>
                    <w:rPr>
                      <w:color w:val="auto"/>
                      <w:szCs w:val="21"/>
                    </w:rPr>
                  </w:pPr>
                  <w:r>
                    <w:rPr>
                      <w:rFonts w:hint="eastAsia"/>
                      <w:color w:val="auto"/>
                      <w:szCs w:val="21"/>
                    </w:rPr>
                    <w:t>生理盐水</w:t>
                  </w:r>
                </w:p>
              </w:tc>
              <w:tc>
                <w:tcPr>
                  <w:tcW w:w="691" w:type="pct"/>
                  <w:tcBorders>
                    <w:tl2br w:val="nil"/>
                    <w:tr2bl w:val="nil"/>
                  </w:tcBorders>
                  <w:vAlign w:val="center"/>
                </w:tcPr>
                <w:p>
                  <w:pPr>
                    <w:jc w:val="center"/>
                    <w:rPr>
                      <w:color w:val="auto"/>
                      <w:szCs w:val="21"/>
                    </w:rPr>
                  </w:pPr>
                  <w:r>
                    <w:rPr>
                      <w:rFonts w:hint="eastAsia"/>
                      <w:color w:val="auto"/>
                      <w:szCs w:val="21"/>
                    </w:rPr>
                    <w:t>500mL/瓶</w:t>
                  </w:r>
                </w:p>
              </w:tc>
              <w:tc>
                <w:tcPr>
                  <w:tcW w:w="625" w:type="pct"/>
                  <w:tcBorders>
                    <w:tl2br w:val="nil"/>
                    <w:tr2bl w:val="nil"/>
                  </w:tcBorders>
                  <w:vAlign w:val="center"/>
                </w:tcPr>
                <w:p>
                  <w:pPr>
                    <w:jc w:val="center"/>
                    <w:rPr>
                      <w:color w:val="auto"/>
                      <w:szCs w:val="21"/>
                    </w:rPr>
                  </w:pPr>
                  <w:r>
                    <w:rPr>
                      <w:rFonts w:hint="eastAsia"/>
                      <w:color w:val="auto"/>
                      <w:szCs w:val="21"/>
                    </w:rPr>
                    <w:t>150</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50瓶</w:t>
                  </w:r>
                </w:p>
              </w:tc>
              <w:tc>
                <w:tcPr>
                  <w:tcW w:w="462" w:type="pct"/>
                  <w:vMerge w:val="restart"/>
                  <w:tcBorders>
                    <w:tl2br w:val="nil"/>
                    <w:tr2bl w:val="nil"/>
                  </w:tcBorders>
                  <w:vAlign w:val="center"/>
                </w:tcPr>
                <w:p>
                  <w:pPr>
                    <w:jc w:val="center"/>
                    <w:rPr>
                      <w:color w:val="auto"/>
                      <w:szCs w:val="21"/>
                    </w:rPr>
                  </w:pPr>
                  <w:r>
                    <w:rPr>
                      <w:rFonts w:hint="eastAsia"/>
                      <w:color w:val="auto"/>
                      <w:szCs w:val="21"/>
                    </w:rPr>
                    <w:t>药房</w:t>
                  </w: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8</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医用酒精</w:t>
                  </w:r>
                </w:p>
              </w:tc>
              <w:tc>
                <w:tcPr>
                  <w:tcW w:w="691" w:type="pct"/>
                  <w:tcBorders>
                    <w:tl2br w:val="nil"/>
                    <w:tr2bl w:val="nil"/>
                  </w:tcBorders>
                  <w:vAlign w:val="center"/>
                </w:tcPr>
                <w:p>
                  <w:pPr>
                    <w:jc w:val="center"/>
                    <w:rPr>
                      <w:color w:val="auto"/>
                      <w:szCs w:val="21"/>
                    </w:rPr>
                  </w:pPr>
                  <w:r>
                    <w:rPr>
                      <w:rFonts w:hint="eastAsia"/>
                      <w:color w:val="auto"/>
                      <w:szCs w:val="21"/>
                    </w:rPr>
                    <w:t>60mL/瓶</w:t>
                  </w:r>
                </w:p>
              </w:tc>
              <w:tc>
                <w:tcPr>
                  <w:tcW w:w="625" w:type="pct"/>
                  <w:tcBorders>
                    <w:tl2br w:val="nil"/>
                    <w:tr2bl w:val="nil"/>
                  </w:tcBorders>
                  <w:vAlign w:val="center"/>
                </w:tcPr>
                <w:p>
                  <w:pPr>
                    <w:jc w:val="center"/>
                    <w:rPr>
                      <w:color w:val="auto"/>
                      <w:szCs w:val="21"/>
                    </w:rPr>
                  </w:pPr>
                  <w:r>
                    <w:rPr>
                      <w:rFonts w:hint="eastAsia"/>
                      <w:color w:val="auto"/>
                      <w:szCs w:val="21"/>
                    </w:rPr>
                    <w:t>120</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50瓶</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9</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医用酒精</w:t>
                  </w:r>
                </w:p>
              </w:tc>
              <w:tc>
                <w:tcPr>
                  <w:tcW w:w="691" w:type="pct"/>
                  <w:tcBorders>
                    <w:tl2br w:val="nil"/>
                    <w:tr2bl w:val="nil"/>
                  </w:tcBorders>
                  <w:vAlign w:val="center"/>
                </w:tcPr>
                <w:p>
                  <w:pPr>
                    <w:jc w:val="center"/>
                    <w:rPr>
                      <w:color w:val="auto"/>
                      <w:szCs w:val="21"/>
                    </w:rPr>
                  </w:pPr>
                  <w:r>
                    <w:rPr>
                      <w:rFonts w:hint="eastAsia"/>
                      <w:color w:val="auto"/>
                      <w:szCs w:val="21"/>
                    </w:rPr>
                    <w:t>500mL/瓶</w:t>
                  </w:r>
                </w:p>
              </w:tc>
              <w:tc>
                <w:tcPr>
                  <w:tcW w:w="625" w:type="pct"/>
                  <w:tcBorders>
                    <w:tl2br w:val="nil"/>
                    <w:tr2bl w:val="nil"/>
                  </w:tcBorders>
                  <w:vAlign w:val="center"/>
                </w:tcPr>
                <w:p>
                  <w:pPr>
                    <w:jc w:val="center"/>
                    <w:rPr>
                      <w:color w:val="auto"/>
                      <w:szCs w:val="21"/>
                    </w:rPr>
                  </w:pPr>
                  <w:r>
                    <w:rPr>
                      <w:rFonts w:hint="eastAsia"/>
                      <w:color w:val="auto"/>
                      <w:szCs w:val="21"/>
                    </w:rPr>
                    <w:t>30</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5瓶</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10</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碘伏</w:t>
                  </w:r>
                </w:p>
              </w:tc>
              <w:tc>
                <w:tcPr>
                  <w:tcW w:w="691" w:type="pct"/>
                  <w:tcBorders>
                    <w:tl2br w:val="nil"/>
                    <w:tr2bl w:val="nil"/>
                  </w:tcBorders>
                  <w:vAlign w:val="center"/>
                </w:tcPr>
                <w:p>
                  <w:pPr>
                    <w:jc w:val="center"/>
                    <w:rPr>
                      <w:color w:val="auto"/>
                      <w:szCs w:val="21"/>
                    </w:rPr>
                  </w:pPr>
                  <w:r>
                    <w:rPr>
                      <w:rFonts w:hint="eastAsia"/>
                      <w:color w:val="auto"/>
                      <w:szCs w:val="21"/>
                    </w:rPr>
                    <w:t>60mL/瓶</w:t>
                  </w:r>
                </w:p>
              </w:tc>
              <w:tc>
                <w:tcPr>
                  <w:tcW w:w="625" w:type="pct"/>
                  <w:tcBorders>
                    <w:tl2br w:val="nil"/>
                    <w:tr2bl w:val="nil"/>
                  </w:tcBorders>
                  <w:vAlign w:val="center"/>
                </w:tcPr>
                <w:p>
                  <w:pPr>
                    <w:jc w:val="center"/>
                    <w:rPr>
                      <w:color w:val="auto"/>
                      <w:szCs w:val="21"/>
                    </w:rPr>
                  </w:pPr>
                  <w:r>
                    <w:rPr>
                      <w:rFonts w:hint="eastAsia"/>
                      <w:color w:val="auto"/>
                      <w:szCs w:val="21"/>
                    </w:rPr>
                    <w:t>100</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10瓶</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11</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color w:val="auto"/>
                      <w:szCs w:val="21"/>
                    </w:rPr>
                    <w:t>84消毒液</w:t>
                  </w:r>
                  <w:r>
                    <w:rPr>
                      <w:rFonts w:hint="eastAsia"/>
                      <w:color w:val="auto"/>
                      <w:szCs w:val="21"/>
                    </w:rPr>
                    <w:t>（次氯酸钠含量6%）</w:t>
                  </w:r>
                </w:p>
              </w:tc>
              <w:tc>
                <w:tcPr>
                  <w:tcW w:w="691" w:type="pct"/>
                  <w:tcBorders>
                    <w:tl2br w:val="nil"/>
                    <w:tr2bl w:val="nil"/>
                  </w:tcBorders>
                  <w:vAlign w:val="center"/>
                </w:tcPr>
                <w:p>
                  <w:pPr>
                    <w:jc w:val="center"/>
                    <w:rPr>
                      <w:color w:val="auto"/>
                      <w:szCs w:val="21"/>
                    </w:rPr>
                  </w:pPr>
                  <w:r>
                    <w:rPr>
                      <w:rFonts w:hint="eastAsia"/>
                      <w:color w:val="auto"/>
                      <w:szCs w:val="21"/>
                    </w:rPr>
                    <w:t>250mL/瓶</w:t>
                  </w:r>
                </w:p>
              </w:tc>
              <w:tc>
                <w:tcPr>
                  <w:tcW w:w="625" w:type="pct"/>
                  <w:tcBorders>
                    <w:tl2br w:val="nil"/>
                    <w:tr2bl w:val="nil"/>
                  </w:tcBorders>
                  <w:vAlign w:val="center"/>
                </w:tcPr>
                <w:p>
                  <w:pPr>
                    <w:jc w:val="center"/>
                    <w:rPr>
                      <w:color w:val="auto"/>
                      <w:szCs w:val="21"/>
                    </w:rPr>
                  </w:pPr>
                  <w:r>
                    <w:rPr>
                      <w:rFonts w:hint="eastAsia"/>
                      <w:color w:val="auto"/>
                      <w:szCs w:val="21"/>
                    </w:rPr>
                    <w:t>50</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10瓶</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12</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速干手消毒液</w:t>
                  </w:r>
                </w:p>
              </w:tc>
              <w:tc>
                <w:tcPr>
                  <w:tcW w:w="691" w:type="pct"/>
                  <w:tcBorders>
                    <w:tl2br w:val="nil"/>
                    <w:tr2bl w:val="nil"/>
                  </w:tcBorders>
                  <w:vAlign w:val="center"/>
                </w:tcPr>
                <w:p>
                  <w:pPr>
                    <w:jc w:val="center"/>
                    <w:rPr>
                      <w:color w:val="auto"/>
                      <w:szCs w:val="21"/>
                    </w:rPr>
                  </w:pPr>
                  <w:r>
                    <w:rPr>
                      <w:rFonts w:hint="eastAsia"/>
                      <w:color w:val="auto"/>
                      <w:szCs w:val="21"/>
                    </w:rPr>
                    <w:t>500mL/瓶</w:t>
                  </w:r>
                </w:p>
              </w:tc>
              <w:tc>
                <w:tcPr>
                  <w:tcW w:w="625" w:type="pct"/>
                  <w:tcBorders>
                    <w:tl2br w:val="nil"/>
                    <w:tr2bl w:val="nil"/>
                  </w:tcBorders>
                  <w:vAlign w:val="center"/>
                </w:tcPr>
                <w:p>
                  <w:pPr>
                    <w:jc w:val="center"/>
                    <w:rPr>
                      <w:color w:val="auto"/>
                      <w:szCs w:val="21"/>
                    </w:rPr>
                  </w:pPr>
                  <w:r>
                    <w:rPr>
                      <w:rFonts w:hint="eastAsia"/>
                      <w:color w:val="auto"/>
                      <w:szCs w:val="21"/>
                    </w:rPr>
                    <w:t>12</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5瓶</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13</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氢氧化钠</w:t>
                  </w:r>
                </w:p>
              </w:tc>
              <w:tc>
                <w:tcPr>
                  <w:tcW w:w="691" w:type="pct"/>
                  <w:tcBorders>
                    <w:tl2br w:val="nil"/>
                    <w:tr2bl w:val="nil"/>
                  </w:tcBorders>
                  <w:vAlign w:val="center"/>
                </w:tcPr>
                <w:p>
                  <w:pPr>
                    <w:jc w:val="center"/>
                    <w:rPr>
                      <w:color w:val="auto"/>
                      <w:szCs w:val="21"/>
                    </w:rPr>
                  </w:pPr>
                  <w:r>
                    <w:rPr>
                      <w:rFonts w:hint="eastAsia"/>
                      <w:color w:val="auto"/>
                      <w:szCs w:val="21"/>
                    </w:rPr>
                    <w:t>500g/瓶</w:t>
                  </w:r>
                </w:p>
              </w:tc>
              <w:tc>
                <w:tcPr>
                  <w:tcW w:w="625" w:type="pct"/>
                  <w:tcBorders>
                    <w:tl2br w:val="nil"/>
                    <w:tr2bl w:val="nil"/>
                  </w:tcBorders>
                  <w:vAlign w:val="center"/>
                </w:tcPr>
                <w:p>
                  <w:pPr>
                    <w:jc w:val="center"/>
                    <w:rPr>
                      <w:color w:val="auto"/>
                      <w:szCs w:val="21"/>
                    </w:rPr>
                  </w:pPr>
                  <w:r>
                    <w:rPr>
                      <w:rFonts w:hint="eastAsia"/>
                      <w:color w:val="auto"/>
                      <w:szCs w:val="21"/>
                    </w:rPr>
                    <w:t>4</w:t>
                  </w:r>
                </w:p>
              </w:tc>
              <w:tc>
                <w:tcPr>
                  <w:tcW w:w="570" w:type="pct"/>
                  <w:tcBorders>
                    <w:tl2br w:val="nil"/>
                    <w:tr2bl w:val="nil"/>
                  </w:tcBorders>
                  <w:vAlign w:val="center"/>
                </w:tcPr>
                <w:p>
                  <w:pPr>
                    <w:jc w:val="center"/>
                    <w:rPr>
                      <w:color w:val="auto"/>
                      <w:szCs w:val="21"/>
                    </w:rPr>
                  </w:pPr>
                  <w:r>
                    <w:rPr>
                      <w:rFonts w:hint="eastAsia"/>
                      <w:color w:val="auto"/>
                      <w:szCs w:val="21"/>
                    </w:rPr>
                    <w:t>瓶</w:t>
                  </w:r>
                </w:p>
              </w:tc>
              <w:tc>
                <w:tcPr>
                  <w:tcW w:w="561" w:type="pct"/>
                  <w:tcBorders>
                    <w:tl2br w:val="nil"/>
                    <w:tr2bl w:val="nil"/>
                  </w:tcBorders>
                  <w:vAlign w:val="center"/>
                </w:tcPr>
                <w:p>
                  <w:pPr>
                    <w:jc w:val="center"/>
                    <w:rPr>
                      <w:color w:val="auto"/>
                      <w:szCs w:val="21"/>
                    </w:rPr>
                  </w:pPr>
                  <w:r>
                    <w:rPr>
                      <w:rFonts w:hint="eastAsia"/>
                      <w:color w:val="auto"/>
                      <w:szCs w:val="21"/>
                    </w:rPr>
                    <w:t>2瓶</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14</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检验试剂盒</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107</w:t>
                  </w:r>
                </w:p>
              </w:tc>
              <w:tc>
                <w:tcPr>
                  <w:tcW w:w="570" w:type="pct"/>
                  <w:tcBorders>
                    <w:tl2br w:val="nil"/>
                    <w:tr2bl w:val="nil"/>
                  </w:tcBorders>
                  <w:vAlign w:val="center"/>
                </w:tcPr>
                <w:p>
                  <w:pPr>
                    <w:jc w:val="center"/>
                    <w:rPr>
                      <w:color w:val="auto"/>
                      <w:szCs w:val="21"/>
                    </w:rPr>
                  </w:pPr>
                  <w:r>
                    <w:rPr>
                      <w:rFonts w:hint="eastAsia"/>
                      <w:color w:val="auto"/>
                      <w:szCs w:val="21"/>
                    </w:rPr>
                    <w:t>盒</w:t>
                  </w:r>
                </w:p>
              </w:tc>
              <w:tc>
                <w:tcPr>
                  <w:tcW w:w="561" w:type="pct"/>
                  <w:tcBorders>
                    <w:tl2br w:val="nil"/>
                    <w:tr2bl w:val="nil"/>
                  </w:tcBorders>
                  <w:vAlign w:val="center"/>
                </w:tcPr>
                <w:p>
                  <w:pPr>
                    <w:jc w:val="center"/>
                    <w:rPr>
                      <w:color w:val="auto"/>
                      <w:szCs w:val="21"/>
                    </w:rPr>
                  </w:pPr>
                  <w:r>
                    <w:rPr>
                      <w:rFonts w:hint="eastAsia"/>
                      <w:color w:val="auto"/>
                      <w:szCs w:val="21"/>
                    </w:rPr>
                    <w:t>50盒</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15</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服用药品</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根据医疗情况定</w:t>
                  </w:r>
                </w:p>
              </w:tc>
              <w:tc>
                <w:tcPr>
                  <w:tcW w:w="570" w:type="pct"/>
                  <w:tcBorders>
                    <w:tl2br w:val="nil"/>
                    <w:tr2bl w:val="nil"/>
                  </w:tcBorders>
                  <w:vAlign w:val="center"/>
                </w:tcPr>
                <w:p>
                  <w:pPr>
                    <w:jc w:val="center"/>
                    <w:rPr>
                      <w:color w:val="auto"/>
                      <w:szCs w:val="21"/>
                    </w:rPr>
                  </w:pPr>
                  <w:r>
                    <w:rPr>
                      <w:rFonts w:hint="eastAsia"/>
                      <w:color w:val="auto"/>
                      <w:szCs w:val="21"/>
                    </w:rPr>
                    <w:t>/</w:t>
                  </w:r>
                </w:p>
              </w:tc>
              <w:tc>
                <w:tcPr>
                  <w:tcW w:w="561" w:type="pct"/>
                  <w:tcBorders>
                    <w:tl2br w:val="nil"/>
                    <w:tr2bl w:val="nil"/>
                  </w:tcBorders>
                  <w:vAlign w:val="center"/>
                </w:tcPr>
                <w:p>
                  <w:pPr>
                    <w:jc w:val="center"/>
                    <w:rPr>
                      <w:color w:val="auto"/>
                      <w:szCs w:val="21"/>
                    </w:rPr>
                  </w:pPr>
                  <w:r>
                    <w:rPr>
                      <w:rFonts w:hint="eastAsia"/>
                      <w:color w:val="auto"/>
                      <w:szCs w:val="21"/>
                    </w:rPr>
                    <w:t>/</w:t>
                  </w:r>
                </w:p>
              </w:tc>
              <w:tc>
                <w:tcPr>
                  <w:tcW w:w="462" w:type="pct"/>
                  <w:vMerge w:val="continue"/>
                  <w:tcBorders>
                    <w:tl2br w:val="nil"/>
                    <w:tr2bl w:val="nil"/>
                  </w:tcBorders>
                  <w:vAlign w:val="center"/>
                </w:tcPr>
                <w:p>
                  <w:pPr>
                    <w:jc w:val="center"/>
                    <w:rPr>
                      <w:color w:val="auto"/>
                      <w:szCs w:val="21"/>
                    </w:rPr>
                  </w:pP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16</w:t>
                  </w:r>
                </w:p>
              </w:tc>
              <w:tc>
                <w:tcPr>
                  <w:tcW w:w="408" w:type="pct"/>
                  <w:vMerge w:val="restart"/>
                  <w:tcBorders>
                    <w:tl2br w:val="nil"/>
                    <w:tr2bl w:val="nil"/>
                  </w:tcBorders>
                  <w:vAlign w:val="center"/>
                </w:tcPr>
                <w:p>
                  <w:pPr>
                    <w:jc w:val="center"/>
                    <w:rPr>
                      <w:color w:val="auto"/>
                      <w:szCs w:val="21"/>
                    </w:rPr>
                  </w:pPr>
                  <w:r>
                    <w:rPr>
                      <w:rFonts w:hint="eastAsia"/>
                      <w:color w:val="auto"/>
                      <w:szCs w:val="21"/>
                    </w:rPr>
                    <w:t>其他原辅料</w:t>
                  </w:r>
                </w:p>
              </w:tc>
              <w:tc>
                <w:tcPr>
                  <w:tcW w:w="965" w:type="pct"/>
                  <w:tcBorders>
                    <w:tl2br w:val="nil"/>
                    <w:tr2bl w:val="nil"/>
                  </w:tcBorders>
                  <w:vAlign w:val="center"/>
                </w:tcPr>
                <w:p>
                  <w:pPr>
                    <w:jc w:val="center"/>
                    <w:rPr>
                      <w:color w:val="auto"/>
                      <w:szCs w:val="21"/>
                    </w:rPr>
                  </w:pPr>
                  <w:r>
                    <w:rPr>
                      <w:rFonts w:hint="eastAsia"/>
                      <w:color w:val="auto"/>
                      <w:szCs w:val="21"/>
                    </w:rPr>
                    <w:t>柴油</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0.2</w:t>
                  </w:r>
                </w:p>
              </w:tc>
              <w:tc>
                <w:tcPr>
                  <w:tcW w:w="570" w:type="pct"/>
                  <w:tcBorders>
                    <w:tl2br w:val="nil"/>
                    <w:tr2bl w:val="nil"/>
                  </w:tcBorders>
                  <w:vAlign w:val="center"/>
                </w:tcPr>
                <w:p>
                  <w:pPr>
                    <w:jc w:val="center"/>
                    <w:rPr>
                      <w:color w:val="auto"/>
                      <w:szCs w:val="21"/>
                    </w:rPr>
                  </w:pPr>
                  <w:r>
                    <w:rPr>
                      <w:rFonts w:hint="eastAsia"/>
                      <w:color w:val="auto"/>
                      <w:szCs w:val="21"/>
                    </w:rPr>
                    <w:t>t/a</w:t>
                  </w:r>
                </w:p>
              </w:tc>
              <w:tc>
                <w:tcPr>
                  <w:tcW w:w="561" w:type="pct"/>
                  <w:tcBorders>
                    <w:tl2br w:val="nil"/>
                    <w:tr2bl w:val="nil"/>
                  </w:tcBorders>
                  <w:vAlign w:val="center"/>
                </w:tcPr>
                <w:p>
                  <w:pPr>
                    <w:jc w:val="center"/>
                    <w:rPr>
                      <w:color w:val="auto"/>
                      <w:szCs w:val="21"/>
                    </w:rPr>
                  </w:pPr>
                  <w:r>
                    <w:rPr>
                      <w:rFonts w:hint="eastAsia"/>
                      <w:color w:val="auto"/>
                      <w:szCs w:val="21"/>
                    </w:rPr>
                    <w:t>0.2t</w:t>
                  </w:r>
                </w:p>
              </w:tc>
              <w:tc>
                <w:tcPr>
                  <w:tcW w:w="462" w:type="pct"/>
                  <w:tcBorders>
                    <w:tl2br w:val="nil"/>
                    <w:tr2bl w:val="nil"/>
                  </w:tcBorders>
                  <w:vAlign w:val="center"/>
                </w:tcPr>
                <w:p>
                  <w:pPr>
                    <w:jc w:val="center"/>
                    <w:rPr>
                      <w:color w:val="auto"/>
                      <w:szCs w:val="21"/>
                    </w:rPr>
                  </w:pPr>
                  <w:r>
                    <w:rPr>
                      <w:rFonts w:hint="eastAsia"/>
                      <w:color w:val="auto"/>
                      <w:szCs w:val="21"/>
                    </w:rPr>
                    <w:t>发电机房</w:t>
                  </w: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17</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水</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3896.375</w:t>
                  </w:r>
                </w:p>
              </w:tc>
              <w:tc>
                <w:tcPr>
                  <w:tcW w:w="570" w:type="pct"/>
                  <w:tcBorders>
                    <w:tl2br w:val="nil"/>
                    <w:tr2bl w:val="nil"/>
                  </w:tcBorders>
                  <w:vAlign w:val="center"/>
                </w:tcPr>
                <w:p>
                  <w:pPr>
                    <w:jc w:val="center"/>
                    <w:rPr>
                      <w:color w:val="auto"/>
                      <w:szCs w:val="21"/>
                    </w:rPr>
                  </w:pPr>
                  <w:r>
                    <w:rPr>
                      <w:rFonts w:hint="eastAsia"/>
                      <w:color w:val="auto"/>
                      <w:szCs w:val="21"/>
                    </w:rPr>
                    <w:t>t/a</w:t>
                  </w:r>
                </w:p>
              </w:tc>
              <w:tc>
                <w:tcPr>
                  <w:tcW w:w="561" w:type="pct"/>
                  <w:tcBorders>
                    <w:tl2br w:val="nil"/>
                    <w:tr2bl w:val="nil"/>
                  </w:tcBorders>
                  <w:vAlign w:val="center"/>
                </w:tcPr>
                <w:p>
                  <w:pPr>
                    <w:jc w:val="center"/>
                    <w:rPr>
                      <w:color w:val="auto"/>
                      <w:szCs w:val="21"/>
                    </w:rPr>
                  </w:pPr>
                  <w:r>
                    <w:rPr>
                      <w:rFonts w:hint="eastAsia"/>
                      <w:color w:val="auto"/>
                      <w:szCs w:val="21"/>
                    </w:rPr>
                    <w:t>/</w:t>
                  </w:r>
                </w:p>
              </w:tc>
              <w:tc>
                <w:tcPr>
                  <w:tcW w:w="462" w:type="pct"/>
                  <w:tcBorders>
                    <w:tl2br w:val="nil"/>
                    <w:tr2bl w:val="nil"/>
                  </w:tcBorders>
                  <w:vAlign w:val="center"/>
                </w:tcPr>
                <w:p>
                  <w:pPr>
                    <w:jc w:val="center"/>
                    <w:rPr>
                      <w:color w:val="auto"/>
                      <w:szCs w:val="21"/>
                    </w:rPr>
                  </w:pPr>
                  <w:r>
                    <w:rPr>
                      <w:rFonts w:hint="eastAsia"/>
                      <w:color w:val="auto"/>
                      <w:szCs w:val="21"/>
                    </w:rPr>
                    <w:t>/</w:t>
                  </w:r>
                </w:p>
              </w:tc>
              <w:tc>
                <w:tcPr>
                  <w:tcW w:w="434" w:type="pct"/>
                  <w:vMerge w:val="continue"/>
                  <w:tcBorders>
                    <w:tl2br w:val="nil"/>
                    <w:tr2bl w:val="nil"/>
                  </w:tcBorders>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9" w:type="pct"/>
                  <w:tcBorders>
                    <w:tl2br w:val="nil"/>
                    <w:tr2bl w:val="nil"/>
                  </w:tcBorders>
                  <w:vAlign w:val="center"/>
                </w:tcPr>
                <w:p>
                  <w:pPr>
                    <w:jc w:val="center"/>
                    <w:rPr>
                      <w:color w:val="auto"/>
                      <w:szCs w:val="21"/>
                    </w:rPr>
                  </w:pPr>
                  <w:r>
                    <w:rPr>
                      <w:rFonts w:hint="eastAsia"/>
                      <w:color w:val="auto"/>
                      <w:szCs w:val="21"/>
                    </w:rPr>
                    <w:t>18</w:t>
                  </w:r>
                </w:p>
              </w:tc>
              <w:tc>
                <w:tcPr>
                  <w:tcW w:w="408" w:type="pct"/>
                  <w:vMerge w:val="continue"/>
                  <w:tcBorders>
                    <w:tl2br w:val="nil"/>
                    <w:tr2bl w:val="nil"/>
                  </w:tcBorders>
                  <w:vAlign w:val="center"/>
                </w:tcPr>
                <w:p>
                  <w:pPr>
                    <w:jc w:val="center"/>
                    <w:rPr>
                      <w:color w:val="auto"/>
                      <w:szCs w:val="21"/>
                    </w:rPr>
                  </w:pPr>
                </w:p>
              </w:tc>
              <w:tc>
                <w:tcPr>
                  <w:tcW w:w="965" w:type="pct"/>
                  <w:tcBorders>
                    <w:tl2br w:val="nil"/>
                    <w:tr2bl w:val="nil"/>
                  </w:tcBorders>
                  <w:vAlign w:val="center"/>
                </w:tcPr>
                <w:p>
                  <w:pPr>
                    <w:jc w:val="center"/>
                    <w:rPr>
                      <w:color w:val="auto"/>
                      <w:szCs w:val="21"/>
                    </w:rPr>
                  </w:pPr>
                  <w:r>
                    <w:rPr>
                      <w:rFonts w:hint="eastAsia"/>
                      <w:color w:val="auto"/>
                      <w:szCs w:val="21"/>
                    </w:rPr>
                    <w:t>电</w:t>
                  </w:r>
                </w:p>
              </w:tc>
              <w:tc>
                <w:tcPr>
                  <w:tcW w:w="691" w:type="pct"/>
                  <w:tcBorders>
                    <w:tl2br w:val="nil"/>
                    <w:tr2bl w:val="nil"/>
                  </w:tcBorders>
                  <w:vAlign w:val="center"/>
                </w:tcPr>
                <w:p>
                  <w:pPr>
                    <w:jc w:val="center"/>
                    <w:rPr>
                      <w:color w:val="auto"/>
                      <w:szCs w:val="21"/>
                    </w:rPr>
                  </w:pPr>
                  <w:r>
                    <w:rPr>
                      <w:rFonts w:hint="eastAsia"/>
                      <w:color w:val="auto"/>
                      <w:szCs w:val="21"/>
                    </w:rPr>
                    <w:t>/</w:t>
                  </w:r>
                </w:p>
              </w:tc>
              <w:tc>
                <w:tcPr>
                  <w:tcW w:w="625" w:type="pct"/>
                  <w:tcBorders>
                    <w:tl2br w:val="nil"/>
                    <w:tr2bl w:val="nil"/>
                  </w:tcBorders>
                  <w:vAlign w:val="center"/>
                </w:tcPr>
                <w:p>
                  <w:pPr>
                    <w:jc w:val="center"/>
                    <w:rPr>
                      <w:color w:val="auto"/>
                      <w:szCs w:val="21"/>
                    </w:rPr>
                  </w:pPr>
                  <w:r>
                    <w:rPr>
                      <w:rFonts w:hint="eastAsia"/>
                      <w:color w:val="auto"/>
                      <w:szCs w:val="21"/>
                    </w:rPr>
                    <w:t>6</w:t>
                  </w:r>
                </w:p>
              </w:tc>
              <w:tc>
                <w:tcPr>
                  <w:tcW w:w="570" w:type="pct"/>
                  <w:tcBorders>
                    <w:tl2br w:val="nil"/>
                    <w:tr2bl w:val="nil"/>
                  </w:tcBorders>
                  <w:vAlign w:val="center"/>
                </w:tcPr>
                <w:p>
                  <w:pPr>
                    <w:jc w:val="center"/>
                    <w:rPr>
                      <w:color w:val="auto"/>
                      <w:szCs w:val="21"/>
                    </w:rPr>
                  </w:pPr>
                  <w:r>
                    <w:rPr>
                      <w:rFonts w:hint="eastAsia"/>
                      <w:color w:val="auto"/>
                      <w:szCs w:val="21"/>
                    </w:rPr>
                    <w:t>万度/年</w:t>
                  </w:r>
                </w:p>
              </w:tc>
              <w:tc>
                <w:tcPr>
                  <w:tcW w:w="561" w:type="pct"/>
                  <w:tcBorders>
                    <w:tl2br w:val="nil"/>
                    <w:tr2bl w:val="nil"/>
                  </w:tcBorders>
                  <w:vAlign w:val="center"/>
                </w:tcPr>
                <w:p>
                  <w:pPr>
                    <w:jc w:val="center"/>
                    <w:rPr>
                      <w:color w:val="auto"/>
                      <w:szCs w:val="21"/>
                    </w:rPr>
                  </w:pPr>
                  <w:r>
                    <w:rPr>
                      <w:rFonts w:hint="eastAsia"/>
                      <w:color w:val="auto"/>
                      <w:szCs w:val="21"/>
                    </w:rPr>
                    <w:t>/</w:t>
                  </w:r>
                </w:p>
              </w:tc>
              <w:tc>
                <w:tcPr>
                  <w:tcW w:w="462" w:type="pct"/>
                  <w:tcBorders>
                    <w:tl2br w:val="nil"/>
                    <w:tr2bl w:val="nil"/>
                  </w:tcBorders>
                  <w:vAlign w:val="center"/>
                </w:tcPr>
                <w:p>
                  <w:pPr>
                    <w:jc w:val="center"/>
                    <w:rPr>
                      <w:color w:val="auto"/>
                      <w:szCs w:val="21"/>
                    </w:rPr>
                  </w:pPr>
                  <w:r>
                    <w:rPr>
                      <w:rFonts w:hint="eastAsia"/>
                      <w:color w:val="auto"/>
                      <w:szCs w:val="21"/>
                    </w:rPr>
                    <w:t>/</w:t>
                  </w:r>
                </w:p>
              </w:tc>
              <w:tc>
                <w:tcPr>
                  <w:tcW w:w="434" w:type="pct"/>
                  <w:vMerge w:val="continue"/>
                  <w:tcBorders>
                    <w:tl2br w:val="nil"/>
                    <w:tr2bl w:val="nil"/>
                  </w:tcBorders>
                  <w:vAlign w:val="center"/>
                </w:tcPr>
                <w:p>
                  <w:pPr>
                    <w:jc w:val="center"/>
                    <w:rPr>
                      <w:color w:val="auto"/>
                      <w:szCs w:val="21"/>
                    </w:rPr>
                  </w:pPr>
                </w:p>
              </w:tc>
            </w:tr>
          </w:tbl>
          <w:p>
            <w:pPr>
              <w:keepNext w:val="0"/>
              <w:keepLines w:val="0"/>
              <w:pageBreakBefore w:val="0"/>
              <w:widowControl w:val="0"/>
              <w:kinsoku/>
              <w:wordWrap/>
              <w:overflowPunct/>
              <w:topLinePunct w:val="0"/>
              <w:autoSpaceDE/>
              <w:autoSpaceDN/>
              <w:bidi w:val="0"/>
              <w:adjustRightInd w:val="0"/>
              <w:snapToGrid/>
              <w:ind w:firstLine="421" w:firstLineChars="200"/>
              <w:textAlignment w:val="baseline"/>
              <w:rPr>
                <w:b/>
                <w:color w:val="auto"/>
                <w:sz w:val="21"/>
                <w:szCs w:val="21"/>
              </w:rPr>
            </w:pPr>
            <w:r>
              <w:rPr>
                <w:rFonts w:hint="eastAsia"/>
                <w:b/>
                <w:color w:val="auto"/>
                <w:sz w:val="21"/>
                <w:szCs w:val="21"/>
              </w:rPr>
              <w:t>注：①本</w:t>
            </w:r>
            <w:r>
              <w:rPr>
                <w:b/>
                <w:color w:val="auto"/>
                <w:sz w:val="21"/>
                <w:szCs w:val="21"/>
              </w:rPr>
              <w:t>项目照片采用打印机打印，不涉及显影定影剂的使用，无洗片废水的产生。</w:t>
            </w:r>
          </w:p>
          <w:p>
            <w:pPr>
              <w:pStyle w:val="12"/>
              <w:keepNext w:val="0"/>
              <w:keepLines w:val="0"/>
              <w:pageBreakBefore w:val="0"/>
              <w:widowControl w:val="0"/>
              <w:kinsoku/>
              <w:wordWrap/>
              <w:overflowPunct/>
              <w:topLinePunct w:val="0"/>
              <w:autoSpaceDE/>
              <w:autoSpaceDN/>
              <w:bidi w:val="0"/>
              <w:adjustRightInd w:val="0"/>
              <w:snapToGrid/>
              <w:spacing w:after="0" w:line="240" w:lineRule="auto"/>
              <w:ind w:left="0" w:leftChars="0" w:firstLine="421" w:firstLineChars="200"/>
              <w:textAlignment w:val="baseline"/>
              <w:rPr>
                <w:b/>
                <w:color w:val="auto"/>
                <w:sz w:val="21"/>
                <w:szCs w:val="21"/>
              </w:rPr>
            </w:pPr>
            <w:r>
              <w:rPr>
                <w:rFonts w:hint="eastAsia"/>
                <w:b/>
                <w:color w:val="auto"/>
                <w:sz w:val="21"/>
                <w:szCs w:val="21"/>
              </w:rPr>
              <w:t>②</w:t>
            </w:r>
            <w:r>
              <w:rPr>
                <w:b/>
                <w:color w:val="auto"/>
                <w:sz w:val="21"/>
                <w:szCs w:val="21"/>
              </w:rPr>
              <w:t>本项目</w:t>
            </w:r>
            <w:r>
              <w:rPr>
                <w:rFonts w:hint="eastAsia"/>
                <w:b/>
                <w:color w:val="auto"/>
                <w:sz w:val="21"/>
                <w:szCs w:val="21"/>
              </w:rPr>
              <w:t>检验科-</w:t>
            </w:r>
            <w:r>
              <w:rPr>
                <w:b/>
                <w:color w:val="auto"/>
                <w:sz w:val="21"/>
                <w:szCs w:val="21"/>
              </w:rPr>
              <w:t>化验室全部采用标准配置的试剂盒进行医学检验，试剂盒成套购入，试剂盒中的试剂直接放入生化检验器，一次性使用，检验后试剂盒集中收集作为医疗废物处置，不进入医院</w:t>
            </w:r>
            <w:r>
              <w:rPr>
                <w:rFonts w:hint="eastAsia"/>
                <w:b/>
                <w:color w:val="auto"/>
                <w:sz w:val="21"/>
                <w:szCs w:val="21"/>
              </w:rPr>
              <w:t>污</w:t>
            </w:r>
            <w:r>
              <w:rPr>
                <w:b/>
                <w:color w:val="auto"/>
                <w:sz w:val="21"/>
                <w:szCs w:val="21"/>
              </w:rPr>
              <w:t>废水系统</w:t>
            </w:r>
            <w:r>
              <w:rPr>
                <w:rFonts w:hint="eastAsia"/>
                <w:b/>
                <w:color w:val="auto"/>
                <w:sz w:val="21"/>
                <w:szCs w:val="21"/>
              </w:rPr>
              <w:t>，</w:t>
            </w:r>
            <w:r>
              <w:rPr>
                <w:b/>
                <w:color w:val="auto"/>
                <w:sz w:val="21"/>
                <w:szCs w:val="21"/>
              </w:rPr>
              <w:t>不会产生含氰废水。</w:t>
            </w:r>
          </w:p>
          <w:p>
            <w:pPr>
              <w:keepNext w:val="0"/>
              <w:keepLines w:val="0"/>
              <w:pageBreakBefore w:val="0"/>
              <w:widowControl w:val="0"/>
              <w:kinsoku/>
              <w:wordWrap/>
              <w:overflowPunct/>
              <w:topLinePunct w:val="0"/>
              <w:autoSpaceDE/>
              <w:autoSpaceDN/>
              <w:bidi w:val="0"/>
              <w:adjustRightInd w:val="0"/>
              <w:snapToGrid/>
              <w:ind w:firstLine="421" w:firstLineChars="200"/>
              <w:textAlignment w:val="baseline"/>
              <w:rPr>
                <w:b/>
                <w:color w:val="auto"/>
                <w:sz w:val="21"/>
                <w:szCs w:val="21"/>
              </w:rPr>
            </w:pPr>
            <w:r>
              <w:rPr>
                <w:rFonts w:hint="eastAsia"/>
                <w:b/>
                <w:color w:val="auto"/>
                <w:sz w:val="21"/>
                <w:szCs w:val="21"/>
              </w:rPr>
              <w:t>③</w:t>
            </w:r>
            <w:r>
              <w:rPr>
                <w:b/>
                <w:color w:val="auto"/>
                <w:sz w:val="21"/>
                <w:szCs w:val="21"/>
              </w:rPr>
              <w:t>院内不设传染病和结核病房等，门诊一旦发现异常，则转送至传染病医院。</w:t>
            </w:r>
          </w:p>
          <w:p>
            <w:pPr>
              <w:keepNext w:val="0"/>
              <w:keepLines w:val="0"/>
              <w:pageBreakBefore w:val="0"/>
              <w:widowControl w:val="0"/>
              <w:kinsoku/>
              <w:wordWrap/>
              <w:overflowPunct/>
              <w:topLinePunct w:val="0"/>
              <w:autoSpaceDE/>
              <w:autoSpaceDN/>
              <w:bidi w:val="0"/>
              <w:adjustRightInd w:val="0"/>
              <w:snapToGrid/>
              <w:ind w:firstLine="421" w:firstLineChars="200"/>
              <w:textAlignment w:val="baseline"/>
              <w:rPr>
                <w:b/>
                <w:color w:val="auto"/>
                <w:sz w:val="21"/>
                <w:szCs w:val="21"/>
              </w:rPr>
            </w:pPr>
            <w:r>
              <w:rPr>
                <w:rFonts w:hint="eastAsia"/>
                <w:b/>
                <w:color w:val="auto"/>
                <w:sz w:val="21"/>
                <w:szCs w:val="21"/>
              </w:rPr>
              <w:t>④本项目使用的主要药品均为常规用药，病人要严格按照医生的要求服用。</w:t>
            </w:r>
          </w:p>
          <w:p>
            <w:pPr>
              <w:keepNext w:val="0"/>
              <w:keepLines w:val="0"/>
              <w:pageBreakBefore w:val="0"/>
              <w:kinsoku/>
              <w:wordWrap/>
              <w:overflowPunct/>
              <w:topLinePunct w:val="0"/>
              <w:bidi w:val="0"/>
              <w:adjustRightInd w:val="0"/>
              <w:snapToGrid/>
              <w:spacing w:line="360" w:lineRule="auto"/>
              <w:ind w:firstLine="480" w:firstLineChars="200"/>
              <w:textAlignment w:val="auto"/>
              <w:rPr>
                <w:bCs/>
                <w:color w:val="auto"/>
                <w:sz w:val="24"/>
              </w:rPr>
            </w:pPr>
            <w:r>
              <w:rPr>
                <w:rFonts w:hint="eastAsia"/>
                <w:bCs/>
                <w:color w:val="auto"/>
                <w:sz w:val="24"/>
              </w:rPr>
              <w:t>（2）部分原辅材料理化性质：</w:t>
            </w:r>
          </w:p>
          <w:p>
            <w:pPr>
              <w:keepNext w:val="0"/>
              <w:keepLines w:val="0"/>
              <w:pageBreakBefore w:val="0"/>
              <w:kinsoku/>
              <w:wordWrap/>
              <w:overflowPunct/>
              <w:topLinePunct w:val="0"/>
              <w:bidi w:val="0"/>
              <w:adjustRightInd w:val="0"/>
              <w:snapToGrid/>
              <w:spacing w:line="360" w:lineRule="auto"/>
              <w:ind w:firstLine="480" w:firstLineChars="200"/>
              <w:textAlignment w:val="auto"/>
              <w:rPr>
                <w:color w:val="auto"/>
                <w:sz w:val="24"/>
              </w:rPr>
            </w:pPr>
            <w:r>
              <w:rPr>
                <w:rFonts w:hint="eastAsia"/>
                <w:color w:val="auto"/>
                <w:sz w:val="24"/>
              </w:rPr>
              <w:t>1）医用酒精：即乙醇，在常温常压下是一种易燃、易挥发的无色透明液体，低毒性，纯液体不可直接饮用；具有特殊香味，并略带刺激；微甘，并伴有刺激的辛辣滋味。易燃，其蒸气能与空气形成爆炸性混合物，能与水以任意比互溶。能与氯仿、乙醚、甲醇、丙酮和其他多数有机溶剂混溶。乙醇液体密度是0.789g/cm³，乙醇气体密度为1.59kg/m³，相对密度（d15.56）0.816，式量（相对分子质量）为46.07g/mol。沸点是78.2℃，14℃闭口闪点，熔点是－114.3℃。纯乙醇是无色透明的液体，有特殊香味，易挥发，乙醇的用途很广，可用乙醇制造醋酸、饮料、香精、染料、燃料等。医疗上也常用体积分数为70%~75%的乙醇作为消毒剂等，在国防化工、医疗卫生、食品工业、工农业生产中都有广泛的用途。</w:t>
            </w:r>
          </w:p>
          <w:p>
            <w:pPr>
              <w:pStyle w:val="14"/>
              <w:keepNext w:val="0"/>
              <w:keepLines w:val="0"/>
              <w:pageBreakBefore w:val="0"/>
              <w:kinsoku/>
              <w:wordWrap/>
              <w:overflowPunct/>
              <w:topLinePunct w:val="0"/>
              <w:bidi w:val="0"/>
              <w:adjustRightInd w:val="0"/>
              <w:snapToGrid/>
              <w:spacing w:line="360" w:lineRule="auto"/>
              <w:ind w:firstLine="480" w:firstLineChars="200"/>
              <w:textAlignment w:val="auto"/>
              <w:rPr>
                <w:color w:val="auto"/>
                <w:sz w:val="24"/>
              </w:rPr>
            </w:pPr>
            <w:r>
              <w:rPr>
                <w:rFonts w:hint="eastAsia"/>
                <w:color w:val="auto"/>
                <w:sz w:val="24"/>
                <w:szCs w:val="21"/>
              </w:rPr>
              <w:t>2）</w:t>
            </w:r>
            <w:r>
              <w:rPr>
                <w:color w:val="auto"/>
                <w:sz w:val="24"/>
                <w:szCs w:val="21"/>
              </w:rPr>
              <w:t>生理盐水</w:t>
            </w:r>
            <w:r>
              <w:rPr>
                <w:rFonts w:hint="eastAsia"/>
                <w:color w:val="auto"/>
                <w:sz w:val="24"/>
                <w:szCs w:val="21"/>
              </w:rPr>
              <w:t>：生理盐水就是0.9%的氯化钠水溶液，为</w:t>
            </w:r>
            <w:r>
              <w:rPr>
                <w:color w:val="auto"/>
                <w:sz w:val="24"/>
                <w:szCs w:val="21"/>
              </w:rPr>
              <w:t>无色的澄明液体；味微咸</w:t>
            </w:r>
            <w:r>
              <w:rPr>
                <w:rFonts w:hint="eastAsia"/>
                <w:color w:val="auto"/>
                <w:sz w:val="24"/>
                <w:szCs w:val="21"/>
              </w:rPr>
              <w:t>，因其渗透压值和正常人的血浆、组织液都是大致一样的，所以可以用作补液（不会降低和增加正常人体内钠离子浓度）以及其他医疗用途，也常用作体外培养活组织、细胞。</w:t>
            </w:r>
          </w:p>
          <w:p>
            <w:pPr>
              <w:pStyle w:val="15"/>
              <w:keepNext w:val="0"/>
              <w:keepLines w:val="0"/>
              <w:pageBreakBefore w:val="0"/>
              <w:kinsoku/>
              <w:wordWrap/>
              <w:overflowPunct/>
              <w:topLinePunct w:val="0"/>
              <w:bidi w:val="0"/>
              <w:adjustRightInd w:val="0"/>
              <w:snapToGrid/>
              <w:spacing w:line="360" w:lineRule="auto"/>
              <w:ind w:firstLine="480"/>
              <w:textAlignment w:val="auto"/>
              <w:rPr>
                <w:rFonts w:ascii="Times New Roman" w:hAnsi="Times New Roman"/>
                <w:color w:val="auto"/>
                <w:sz w:val="24"/>
              </w:rPr>
            </w:pPr>
            <w:r>
              <w:rPr>
                <w:rFonts w:hint="eastAsia" w:ascii="Times New Roman" w:hAnsi="Times New Roman"/>
                <w:color w:val="auto"/>
                <w:sz w:val="24"/>
              </w:rPr>
              <w:t>3）84消毒液：84消毒液是一种以次氯酸钠为主要成分的含氯消毒剂，主要用于物体表面和环境等的消毒。次氯酸钠具有强氧化性，可水解生成具有强氧化性的次氯酸，能够将具有还原性的物质氧化，使微生物最终丧失机能，无法繁殖或感染。84消毒液为无色或淡黄色液体，且具有刺激性气味，有效氯含量5.5%～6.5%，现被广泛用于宾馆、旅游、医院、食品加工行业、家庭等的卫生消毒。</w:t>
            </w:r>
          </w:p>
          <w:p>
            <w:pPr>
              <w:pStyle w:val="15"/>
              <w:keepNext w:val="0"/>
              <w:keepLines w:val="0"/>
              <w:pageBreakBefore w:val="0"/>
              <w:kinsoku/>
              <w:wordWrap/>
              <w:overflowPunct/>
              <w:topLinePunct w:val="0"/>
              <w:bidi w:val="0"/>
              <w:adjustRightInd w:val="0"/>
              <w:snapToGrid/>
              <w:spacing w:line="360" w:lineRule="auto"/>
              <w:ind w:firstLine="480"/>
              <w:textAlignment w:val="auto"/>
              <w:rPr>
                <w:rFonts w:ascii="Times New Roman" w:hAnsi="Times New Roman"/>
                <w:color w:val="auto"/>
                <w:sz w:val="24"/>
                <w:szCs w:val="21"/>
              </w:rPr>
            </w:pPr>
            <w:r>
              <w:rPr>
                <w:rFonts w:hint="eastAsia" w:ascii="Times New Roman" w:hAnsi="Times New Roman"/>
                <w:color w:val="auto"/>
                <w:sz w:val="24"/>
                <w:szCs w:val="21"/>
              </w:rPr>
              <w:t>5）碘伏具有广谱杀菌作用，可杀灭细菌繁殖体、真菌、原虫和部分病毒，在医疗上用作杀菌消毒剂，可用于皮肤、粘膜的消毒，也可用于手术前和其它皮肤的消毒、各种注射部位皮肤消毒、器械浸泡消毒以及阴道手术前消毒等。</w:t>
            </w:r>
          </w:p>
          <w:p>
            <w:pPr>
              <w:keepNext w:val="0"/>
              <w:keepLines w:val="0"/>
              <w:pageBreakBefore w:val="0"/>
              <w:kinsoku/>
              <w:wordWrap/>
              <w:overflowPunct/>
              <w:topLinePunct w:val="0"/>
              <w:bidi w:val="0"/>
              <w:adjustRightInd w:val="0"/>
              <w:snapToGrid/>
              <w:spacing w:line="360" w:lineRule="auto"/>
              <w:ind w:firstLine="480" w:firstLineChars="200"/>
              <w:textAlignment w:val="auto"/>
              <w:rPr>
                <w:color w:val="auto"/>
                <w:sz w:val="24"/>
                <w:szCs w:val="21"/>
              </w:rPr>
            </w:pPr>
            <w:r>
              <w:rPr>
                <w:rFonts w:hint="eastAsia"/>
                <w:color w:val="auto"/>
                <w:sz w:val="24"/>
              </w:rPr>
              <w:t>6）氢氧化钠：</w:t>
            </w:r>
            <w:r>
              <w:rPr>
                <w:rFonts w:hint="eastAsia"/>
                <w:color w:val="auto"/>
                <w:sz w:val="24"/>
                <w:szCs w:val="21"/>
              </w:rPr>
              <w:t>氢氧化钠是一种强碱，具有强烈的刺激性和腐蚀性，与皮肤直接接触可引起灼伤，误服可造成消化道灼伤，粘膜糜烂、出血和休克，氢氧化钠能与酸发生中和发应并放热，遇潮时对铝、锌和锡有腐蚀性，并放出易燃易爆的氢气，本项目氢氧化钠用于检验科废水中和处理。</w:t>
            </w:r>
          </w:p>
          <w:p>
            <w:pPr>
              <w:pStyle w:val="35"/>
              <w:keepNext w:val="0"/>
              <w:keepLines w:val="0"/>
              <w:pageBreakBefore w:val="0"/>
              <w:kinsoku/>
              <w:wordWrap/>
              <w:overflowPunct/>
              <w:topLinePunct w:val="0"/>
              <w:bidi w:val="0"/>
              <w:adjustRightInd w:val="0"/>
              <w:snapToGrid/>
              <w:spacing w:line="360" w:lineRule="auto"/>
              <w:ind w:firstLine="480" w:firstLineChars="200"/>
              <w:jc w:val="both"/>
              <w:textAlignment w:val="auto"/>
              <w:rPr>
                <w:rFonts w:ascii="Times New Roman" w:hAnsi="Times New Roman" w:cs="Times New Roman"/>
                <w:color w:val="auto"/>
                <w:sz w:val="24"/>
                <w:szCs w:val="20"/>
              </w:rPr>
            </w:pPr>
            <w:r>
              <w:rPr>
                <w:rFonts w:hint="eastAsia" w:ascii="Times New Roman" w:hAnsi="Times New Roman" w:cs="Times New Roman"/>
                <w:color w:val="auto"/>
                <w:sz w:val="24"/>
                <w:szCs w:val="20"/>
              </w:rPr>
              <w:t>8）柴油：柴油，是轻质石油产品，复杂烃类（碳原子数约10～22）混合物，为柴油机燃料，主要由原油蒸馏、催化裂化、热裂化、加氢裂化、石油焦化等过程生产的柴油馏分调配而成，也可由页岩油加工和煤液化制取，一般是0.84--0.86g/cm³之间，分为轻柴油（沸点范围约180～370℃）和重柴油（沸点范围约350～410℃）两大类。广泛用于大型车辆、铁路机车、船舰。柴油最重要用途是用于车辆、船舶的柴油发动机。与汽油机相比，柴油机热效率高，燃油消耗率低。柴油具有低能耗，所以一些小型汽车甚至高性能汽车也改用柴油。</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5、</w:t>
            </w:r>
            <w:r>
              <w:rPr>
                <w:b/>
                <w:bCs/>
                <w:color w:val="auto"/>
                <w:sz w:val="24"/>
              </w:rPr>
              <w:t>公用工程</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Times New Roman" w:hAnsi="Times New Roman"/>
                <w:color w:val="auto"/>
                <w:sz w:val="24"/>
              </w:rPr>
            </w:pPr>
            <w:r>
              <w:rPr>
                <w:rFonts w:hint="eastAsia" w:ascii="Times New Roman" w:hAnsi="Times New Roman"/>
                <w:color w:val="auto"/>
                <w:sz w:val="24"/>
              </w:rPr>
              <w:t>（1）</w:t>
            </w:r>
            <w:r>
              <w:rPr>
                <w:rFonts w:ascii="Times New Roman" w:hAnsi="Times New Roman"/>
                <w:color w:val="auto"/>
                <w:sz w:val="24"/>
              </w:rPr>
              <w:t>供电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由</w:t>
            </w:r>
            <w:r>
              <w:rPr>
                <w:rFonts w:hint="eastAsia" w:ascii="Times New Roman" w:hAnsi="Times New Roman"/>
                <w:color w:val="auto"/>
                <w:sz w:val="24"/>
              </w:rPr>
              <w:t>乡镇</w:t>
            </w:r>
            <w:r>
              <w:rPr>
                <w:rFonts w:ascii="Times New Roman" w:hAnsi="Times New Roman"/>
                <w:color w:val="auto"/>
                <w:sz w:val="24"/>
              </w:rPr>
              <w:t>电网供给，可满足项目用电。</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Times New Roman" w:hAnsi="Times New Roman"/>
                <w:color w:val="auto"/>
                <w:sz w:val="24"/>
              </w:rPr>
            </w:pPr>
            <w:r>
              <w:rPr>
                <w:rFonts w:hint="eastAsia" w:ascii="Times New Roman" w:hAnsi="Times New Roman"/>
                <w:color w:val="auto"/>
                <w:sz w:val="24"/>
              </w:rPr>
              <w:t>（2）</w:t>
            </w:r>
            <w:r>
              <w:rPr>
                <w:rFonts w:ascii="Times New Roman" w:hAnsi="Times New Roman"/>
                <w:color w:val="auto"/>
                <w:sz w:val="24"/>
              </w:rPr>
              <w:t>给排</w:t>
            </w:r>
            <w:r>
              <w:rPr>
                <w:rFonts w:hint="eastAsia" w:ascii="Times New Roman" w:hAnsi="Times New Roman"/>
                <w:color w:val="auto"/>
                <w:sz w:val="24"/>
              </w:rPr>
              <w:t>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1）</w:t>
            </w:r>
            <w:r>
              <w:rPr>
                <w:rFonts w:ascii="Times New Roman" w:hAnsi="Times New Roman"/>
                <w:color w:val="auto"/>
                <w:sz w:val="24"/>
              </w:rPr>
              <w:t>给水：由</w:t>
            </w:r>
            <w:r>
              <w:rPr>
                <w:rFonts w:hint="eastAsia" w:ascii="Times New Roman" w:hAnsi="Times New Roman"/>
                <w:color w:val="auto"/>
                <w:sz w:val="24"/>
              </w:rPr>
              <w:t>市政</w:t>
            </w:r>
            <w:r>
              <w:rPr>
                <w:rFonts w:ascii="Times New Roman" w:hAnsi="Times New Roman"/>
                <w:color w:val="auto"/>
                <w:sz w:val="24"/>
              </w:rPr>
              <w:t>自来水供给。</w:t>
            </w:r>
            <w:r>
              <w:rPr>
                <w:rFonts w:hint="eastAsia" w:ascii="Times New Roman" w:hAnsi="Times New Roman"/>
                <w:color w:val="auto"/>
                <w:kern w:val="0"/>
                <w:sz w:val="24"/>
              </w:rPr>
              <w:t>医院用水主要为医务人员用水、行政人员用水、住院部病人用水、陪护人员用水、门诊用水、检验用水、病床</w:t>
            </w:r>
            <w:r>
              <w:rPr>
                <w:rFonts w:hint="eastAsia" w:ascii="Times New Roman" w:hAnsi="Times New Roman"/>
                <w:color w:val="auto"/>
                <w:sz w:val="24"/>
              </w:rPr>
              <w:t>床品衣物洗涤用水、食堂用水。</w:t>
            </w:r>
            <w:r>
              <w:rPr>
                <w:rFonts w:hint="eastAsia" w:ascii="Times New Roman" w:hAnsi="Times New Roman"/>
                <w:color w:val="auto"/>
                <w:kern w:val="0"/>
                <w:sz w:val="24"/>
              </w:rPr>
              <w:t>用水参数参考《综合医院建筑设计</w:t>
            </w:r>
            <w:r>
              <w:rPr>
                <w:rFonts w:hint="eastAsia" w:ascii="Times New Roman" w:hAnsi="Times New Roman"/>
                <w:color w:val="auto"/>
                <w:kern w:val="0"/>
                <w:sz w:val="24"/>
                <w:lang w:val="en-US" w:eastAsia="zh-CN"/>
              </w:rPr>
              <w:t>标准</w:t>
            </w:r>
            <w:r>
              <w:rPr>
                <w:rFonts w:hint="eastAsia" w:ascii="Times New Roman" w:hAnsi="Times New Roman"/>
                <w:color w:val="auto"/>
                <w:kern w:val="0"/>
                <w:sz w:val="24"/>
              </w:rPr>
              <w:t>》（GB51039-2014</w:t>
            </w:r>
            <w:r>
              <w:rPr>
                <w:rFonts w:hint="eastAsia" w:ascii="Times New Roman" w:hAnsi="Times New Roman"/>
                <w:color w:val="auto"/>
                <w:kern w:val="0"/>
                <w:sz w:val="24"/>
                <w:lang w:val="en-US" w:eastAsia="zh-CN"/>
              </w:rPr>
              <w:t>局部修订条文</w:t>
            </w:r>
            <w:r>
              <w:rPr>
                <w:rFonts w:hint="eastAsia" w:ascii="Times New Roman" w:hAnsi="Times New Roman"/>
                <w:color w:val="auto"/>
                <w:kern w:val="0"/>
                <w:sz w:val="24"/>
              </w:rPr>
              <w:t>）、《建筑给排水设计规范》（GB5</w:t>
            </w:r>
            <w:r>
              <w:rPr>
                <w:rFonts w:hint="eastAsia" w:ascii="Times New Roman" w:hAnsi="Times New Roman"/>
                <w:color w:val="auto"/>
                <w:kern w:val="0"/>
                <w:sz w:val="24"/>
                <w:lang w:val="en-US" w:eastAsia="zh-CN"/>
              </w:rPr>
              <w:t>0015</w:t>
            </w:r>
            <w:r>
              <w:rPr>
                <w:rFonts w:hint="eastAsia" w:ascii="Times New Roman" w:hAnsi="Times New Roman"/>
                <w:color w:val="auto"/>
                <w:kern w:val="0"/>
                <w:sz w:val="24"/>
              </w:rPr>
              <w:t>-201</w:t>
            </w:r>
            <w:r>
              <w:rPr>
                <w:rFonts w:hint="eastAsia" w:ascii="Times New Roman" w:hAnsi="Times New Roman"/>
                <w:color w:val="auto"/>
                <w:kern w:val="0"/>
                <w:sz w:val="24"/>
                <w:lang w:val="en-US" w:eastAsia="zh-CN"/>
              </w:rPr>
              <w:t>9</w:t>
            </w:r>
            <w:r>
              <w:rPr>
                <w:rFonts w:hint="eastAsia" w:ascii="Times New Roman" w:hAnsi="Times New Roman"/>
                <w:color w:val="auto"/>
                <w:kern w:val="0"/>
                <w:sz w:val="24"/>
              </w:rPr>
              <w:t>）</w:t>
            </w:r>
            <w:r>
              <w:rPr>
                <w:rFonts w:hint="eastAsia" w:ascii="Times New Roman" w:hAnsi="Times New Roman"/>
                <w:color w:val="auto"/>
                <w:sz w:val="24"/>
              </w:rPr>
              <w:t>，</w:t>
            </w:r>
            <w:r>
              <w:rPr>
                <w:rFonts w:hint="eastAsia" w:ascii="Times New Roman" w:hAnsi="Times New Roman"/>
                <w:color w:val="auto"/>
                <w:kern w:val="0"/>
                <w:sz w:val="24"/>
              </w:rPr>
              <w:t>并结合医院实际运营用水情况估算。</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ascii="Times New Roman" w:hAnsi="Times New Roman" w:cs="Calibri"/>
                <w:color w:val="auto"/>
                <w:sz w:val="24"/>
              </w:rPr>
              <w:t>①</w:t>
            </w:r>
            <w:r>
              <w:rPr>
                <w:rFonts w:hint="eastAsia" w:ascii="Times New Roman" w:hAnsi="Times New Roman"/>
                <w:color w:val="auto"/>
                <w:sz w:val="24"/>
              </w:rPr>
              <w:t>住院病人用水</w:t>
            </w:r>
          </w:p>
          <w:p>
            <w:pPr>
              <w:pStyle w:val="51"/>
              <w:keepNext w:val="0"/>
              <w:keepLines w:val="0"/>
              <w:pageBreakBefore w:val="0"/>
              <w:widowControl/>
              <w:kinsoku/>
              <w:wordWrap/>
              <w:overflowPunct/>
              <w:autoSpaceDE/>
              <w:autoSpaceDN/>
              <w:bidi w:val="0"/>
              <w:adjustRightInd w:val="0"/>
              <w:snapToGrid/>
              <w:spacing w:line="360" w:lineRule="auto"/>
              <w:ind w:firstLine="480"/>
              <w:textAlignment w:val="center"/>
              <w:rPr>
                <w:rFonts w:ascii="Times New Roman" w:hAnsi="Times New Roman"/>
                <w:color w:val="auto"/>
                <w:sz w:val="24"/>
              </w:rPr>
            </w:pPr>
            <w:r>
              <w:rPr>
                <w:rFonts w:hint="eastAsia" w:ascii="Times New Roman" w:hAnsi="Times New Roman"/>
                <w:color w:val="auto"/>
                <w:sz w:val="24"/>
              </w:rPr>
              <w:t>本项目床位20张，</w:t>
            </w:r>
            <w:r>
              <w:rPr>
                <w:rFonts w:hint="eastAsia" w:ascii="Times New Roman" w:hAnsi="Times New Roman"/>
                <w:color w:val="auto"/>
                <w:kern w:val="0"/>
                <w:sz w:val="24"/>
              </w:rPr>
              <w:t>参考《综合医院建筑设计</w:t>
            </w:r>
            <w:r>
              <w:rPr>
                <w:rFonts w:hint="eastAsia" w:ascii="Times New Roman" w:hAnsi="Times New Roman"/>
                <w:color w:val="auto"/>
                <w:kern w:val="0"/>
                <w:sz w:val="24"/>
                <w:lang w:val="en-US" w:eastAsia="zh-CN"/>
              </w:rPr>
              <w:t>标准</w:t>
            </w:r>
            <w:r>
              <w:rPr>
                <w:rFonts w:hint="eastAsia" w:ascii="Times New Roman" w:hAnsi="Times New Roman"/>
                <w:color w:val="auto"/>
                <w:kern w:val="0"/>
                <w:sz w:val="24"/>
              </w:rPr>
              <w:t>》（GB51039-2014</w:t>
            </w:r>
            <w:r>
              <w:rPr>
                <w:rFonts w:hint="eastAsia" w:ascii="Times New Roman" w:hAnsi="Times New Roman"/>
                <w:color w:val="auto"/>
                <w:kern w:val="0"/>
                <w:sz w:val="24"/>
                <w:lang w:val="en-US" w:eastAsia="zh-CN"/>
              </w:rPr>
              <w:t>局部修订条文</w:t>
            </w:r>
            <w:r>
              <w:rPr>
                <w:rFonts w:hint="eastAsia" w:ascii="Times New Roman" w:hAnsi="Times New Roman"/>
                <w:color w:val="auto"/>
                <w:kern w:val="0"/>
                <w:sz w:val="24"/>
              </w:rPr>
              <w:t>）</w:t>
            </w:r>
            <w:r>
              <w:rPr>
                <w:rFonts w:hint="eastAsia" w:ascii="Times New Roman" w:hAnsi="Times New Roman"/>
                <w:color w:val="auto"/>
                <w:sz w:val="24"/>
              </w:rPr>
              <w:t>，本项目</w:t>
            </w:r>
            <w:r>
              <w:rPr>
                <w:rFonts w:hint="eastAsia" w:ascii="Times New Roman" w:hAnsi="Times New Roman"/>
                <w:color w:val="auto"/>
                <w:sz w:val="24"/>
                <w:lang w:val="en-US" w:eastAsia="zh-CN"/>
              </w:rPr>
              <w:t>用水</w:t>
            </w:r>
            <w:r>
              <w:rPr>
                <w:rFonts w:hint="eastAsia" w:ascii="Times New Roman" w:hAnsi="Times New Roman"/>
                <w:color w:val="auto"/>
                <w:sz w:val="24"/>
              </w:rPr>
              <w:t>取200L/床·d，按满负荷计算，则住院病人用水量为4m³/d，即1460m³/a。</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s="Calibri"/>
                <w:color w:val="auto"/>
                <w:sz w:val="24"/>
              </w:rPr>
            </w:pPr>
            <w:r>
              <w:rPr>
                <w:rFonts w:ascii="Times New Roman" w:hAnsi="Times New Roman" w:cs="Calibri"/>
                <w:color w:val="auto"/>
                <w:sz w:val="24"/>
              </w:rPr>
              <w:t>②</w:t>
            </w:r>
            <w:r>
              <w:rPr>
                <w:rFonts w:hint="eastAsia" w:ascii="Times New Roman" w:hAnsi="Times New Roman" w:cs="Calibri"/>
                <w:color w:val="auto"/>
                <w:sz w:val="24"/>
              </w:rPr>
              <w:t>陪护人员用水</w:t>
            </w:r>
          </w:p>
          <w:p>
            <w:pPr>
              <w:pStyle w:val="51"/>
              <w:keepNext w:val="0"/>
              <w:keepLines w:val="0"/>
              <w:pageBreakBefore w:val="0"/>
              <w:widowControl/>
              <w:kinsoku/>
              <w:wordWrap/>
              <w:overflowPunct/>
              <w:autoSpaceDE/>
              <w:autoSpaceDN/>
              <w:bidi w:val="0"/>
              <w:adjustRightInd w:val="0"/>
              <w:snapToGrid/>
              <w:spacing w:line="360" w:lineRule="auto"/>
              <w:ind w:firstLine="480"/>
              <w:textAlignment w:val="center"/>
              <w:rPr>
                <w:rFonts w:ascii="Times New Roman" w:hAnsi="Times New Roman" w:cs="Calibri"/>
                <w:color w:val="auto"/>
                <w:sz w:val="24"/>
              </w:rPr>
            </w:pPr>
            <w:r>
              <w:rPr>
                <w:rFonts w:hint="eastAsia" w:ascii="Times New Roman" w:hAnsi="Times New Roman"/>
                <w:color w:val="auto"/>
                <w:sz w:val="24"/>
                <w:szCs w:val="24"/>
              </w:rPr>
              <w:t>项目床位20张，每张病床设一个陪护人员，则陪护人员20人，</w:t>
            </w:r>
            <w:r>
              <w:rPr>
                <w:rFonts w:hint="eastAsia" w:ascii="Times New Roman" w:hAnsi="Times New Roman"/>
                <w:color w:val="auto"/>
                <w:sz w:val="24"/>
              </w:rPr>
              <w:t>项目陪护人员用水量以50L/(人</w:t>
            </w:r>
            <w:r>
              <w:rPr>
                <w:rFonts w:hint="eastAsia" w:ascii="Times New Roman" w:hAnsi="Times New Roman" w:cs="宋体"/>
                <w:color w:val="auto"/>
                <w:sz w:val="24"/>
              </w:rPr>
              <w:t>•</w:t>
            </w:r>
            <w:r>
              <w:rPr>
                <w:rFonts w:hint="eastAsia" w:ascii="Times New Roman" w:hAnsi="Times New Roman"/>
                <w:color w:val="auto"/>
                <w:sz w:val="24"/>
              </w:rPr>
              <w:t>d)计，则</w:t>
            </w:r>
            <w:r>
              <w:rPr>
                <w:rFonts w:hint="eastAsia" w:ascii="Times New Roman" w:hAnsi="Times New Roman"/>
                <w:color w:val="auto"/>
                <w:sz w:val="24"/>
                <w:szCs w:val="24"/>
              </w:rPr>
              <w:t>陪护人员用水量为</w:t>
            </w:r>
            <w:r>
              <w:rPr>
                <w:rFonts w:hint="eastAsia" w:ascii="Times New Roman" w:hAnsi="Times New Roman"/>
                <w:color w:val="auto"/>
                <w:sz w:val="24"/>
              </w:rPr>
              <w:t>1</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w:t>
            </w:r>
            <w:r>
              <w:rPr>
                <w:rFonts w:hint="eastAsia" w:ascii="Times New Roman" w:hAnsi="Times New Roman"/>
                <w:color w:val="auto"/>
                <w:sz w:val="24"/>
              </w:rPr>
              <w:t>365</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/a。</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ascii="Times New Roman" w:hAnsi="Times New Roman" w:cs="Calibri"/>
                <w:color w:val="auto"/>
                <w:sz w:val="24"/>
              </w:rPr>
              <w:t>③</w:t>
            </w:r>
            <w:r>
              <w:rPr>
                <w:rFonts w:hint="eastAsia" w:ascii="Times New Roman" w:hAnsi="Times New Roman"/>
                <w:color w:val="auto"/>
                <w:sz w:val="24"/>
              </w:rPr>
              <w:t>门诊用水</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s="微软雅黑"/>
                <w:color w:val="auto"/>
                <w:sz w:val="24"/>
              </w:rPr>
            </w:pPr>
            <w:r>
              <w:rPr>
                <w:rFonts w:hint="eastAsia" w:ascii="Times New Roman" w:hAnsi="Times New Roman" w:cs="微软雅黑"/>
                <w:color w:val="auto"/>
                <w:sz w:val="24"/>
              </w:rPr>
              <w:t>项目日门诊</w:t>
            </w:r>
            <w:r>
              <w:rPr>
                <w:rFonts w:hint="eastAsia" w:ascii="Times New Roman" w:hAnsi="Times New Roman"/>
                <w:color w:val="auto"/>
                <w:sz w:val="24"/>
              </w:rPr>
              <w:t>量约20人次/d，</w:t>
            </w:r>
            <w:r>
              <w:rPr>
                <w:rFonts w:hint="eastAsia" w:ascii="Times New Roman" w:hAnsi="Times New Roman"/>
                <w:color w:val="auto"/>
                <w:kern w:val="0"/>
                <w:sz w:val="24"/>
              </w:rPr>
              <w:t>《综合医院建筑设计</w:t>
            </w:r>
            <w:r>
              <w:rPr>
                <w:rFonts w:hint="eastAsia" w:ascii="Times New Roman" w:hAnsi="Times New Roman"/>
                <w:color w:val="auto"/>
                <w:kern w:val="0"/>
                <w:sz w:val="24"/>
                <w:lang w:val="en-US" w:eastAsia="zh-CN"/>
              </w:rPr>
              <w:t>标准</w:t>
            </w:r>
            <w:r>
              <w:rPr>
                <w:rFonts w:hint="eastAsia" w:ascii="Times New Roman" w:hAnsi="Times New Roman"/>
                <w:color w:val="auto"/>
                <w:kern w:val="0"/>
                <w:sz w:val="24"/>
              </w:rPr>
              <w:t>》（GB51039-2014</w:t>
            </w:r>
            <w:r>
              <w:rPr>
                <w:rFonts w:hint="eastAsia" w:ascii="Times New Roman" w:hAnsi="Times New Roman"/>
                <w:color w:val="auto"/>
                <w:kern w:val="0"/>
                <w:sz w:val="24"/>
                <w:lang w:val="en-US" w:eastAsia="zh-CN"/>
              </w:rPr>
              <w:t>局部修订条文</w:t>
            </w:r>
            <w:r>
              <w:rPr>
                <w:rFonts w:hint="eastAsia" w:ascii="Times New Roman" w:hAnsi="Times New Roman"/>
                <w:color w:val="auto"/>
                <w:kern w:val="0"/>
                <w:sz w:val="24"/>
              </w:rPr>
              <w:t>）</w:t>
            </w:r>
            <w:r>
              <w:rPr>
                <w:rFonts w:hint="eastAsia" w:ascii="Times New Roman" w:hAnsi="Times New Roman"/>
                <w:color w:val="auto"/>
                <w:sz w:val="24"/>
              </w:rPr>
              <w:t>中“门诊类”用水标准，门诊用水按15L/人·次计算，则门诊用水量为0.3m</w:t>
            </w:r>
            <w:r>
              <w:rPr>
                <w:rFonts w:hint="eastAsia" w:ascii="Times New Roman" w:hAnsi="Times New Roman"/>
                <w:color w:val="auto"/>
                <w:sz w:val="24"/>
                <w:vertAlign w:val="superscript"/>
              </w:rPr>
              <w:t>3</w:t>
            </w:r>
            <w:r>
              <w:rPr>
                <w:rFonts w:hint="eastAsia" w:ascii="Times New Roman" w:hAnsi="Times New Roman"/>
                <w:color w:val="auto"/>
                <w:sz w:val="24"/>
              </w:rPr>
              <w:t>/d，109.5m</w:t>
            </w:r>
            <w:r>
              <w:rPr>
                <w:rFonts w:hint="eastAsia" w:ascii="Times New Roman" w:hAnsi="Times New Roman"/>
                <w:color w:val="auto"/>
                <w:sz w:val="24"/>
                <w:vertAlign w:val="superscript"/>
              </w:rPr>
              <w:t>3</w:t>
            </w:r>
            <w:r>
              <w:rPr>
                <w:rFonts w:hint="eastAsia" w:ascii="Times New Roman" w:hAnsi="Times New Roman"/>
                <w:color w:val="auto"/>
                <w:sz w:val="24"/>
              </w:rPr>
              <w:t>/a。</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s="微软雅黑"/>
                <w:color w:val="auto"/>
                <w:sz w:val="24"/>
              </w:rPr>
            </w:pPr>
            <w:r>
              <w:rPr>
                <w:rFonts w:hint="eastAsia" w:ascii="Times New Roman" w:hAnsi="Times New Roman" w:cs="微软雅黑"/>
                <w:color w:val="auto"/>
                <w:sz w:val="24"/>
              </w:rPr>
              <w:t>④检验用水</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hint="eastAsia" w:ascii="Times New Roman" w:hAnsi="Times New Roman"/>
                <w:color w:val="auto"/>
                <w:sz w:val="24"/>
              </w:rPr>
              <w:t>医院门诊一般需要化验，</w:t>
            </w:r>
            <w:r>
              <w:rPr>
                <w:rFonts w:ascii="Times New Roman" w:hAnsi="Times New Roman"/>
                <w:color w:val="auto"/>
                <w:kern w:val="0"/>
                <w:sz w:val="24"/>
              </w:rPr>
              <w:t>本项目检验室主要进行血常规、尿常规、大便常规的化验工作，主要使用成套的分析化验仪器如全自动生化分析仪、尿分析仪等设备进行分析，检验产生的血液分析仪废液、尿液分析仪废液和尿液废液、大便分析仪废液和大便均作为</w:t>
            </w:r>
            <w:r>
              <w:rPr>
                <w:rFonts w:hint="eastAsia" w:ascii="Times New Roman" w:hAnsi="Times New Roman"/>
                <w:color w:val="auto"/>
                <w:kern w:val="0"/>
                <w:sz w:val="24"/>
              </w:rPr>
              <w:t>医疗废物</w:t>
            </w:r>
            <w:r>
              <w:rPr>
                <w:rFonts w:ascii="Times New Roman" w:hAnsi="Times New Roman"/>
                <w:color w:val="auto"/>
                <w:kern w:val="0"/>
                <w:sz w:val="24"/>
              </w:rPr>
              <w:t>处置</w:t>
            </w:r>
            <w:r>
              <w:rPr>
                <w:rFonts w:hint="eastAsia" w:ascii="Times New Roman" w:hAnsi="Times New Roman"/>
                <w:color w:val="auto"/>
                <w:kern w:val="0"/>
                <w:sz w:val="24"/>
              </w:rPr>
              <w:t>，检验科仅进行常规化验，不使用铬类化合物以及氰类化合物作为检验药剂，无含铬、含氰废水，排放污水中不含第一类污染物。检验科用水主要为各类检验仪器清洗用水、各类器皿清洗用水和高压蒸汽灭菌锅用水，根据建设单位提供的资料，</w:t>
            </w:r>
            <w:r>
              <w:rPr>
                <w:rFonts w:hint="eastAsia" w:ascii="Times New Roman" w:hAnsi="Times New Roman"/>
                <w:color w:val="auto"/>
                <w:sz w:val="24"/>
              </w:rPr>
              <w:t>检验科用水量为0.3m</w:t>
            </w:r>
            <w:r>
              <w:rPr>
                <w:rFonts w:hint="eastAsia" w:ascii="Times New Roman" w:hAnsi="Times New Roman"/>
                <w:color w:val="auto"/>
                <w:sz w:val="24"/>
                <w:vertAlign w:val="superscript"/>
              </w:rPr>
              <w:t>3</w:t>
            </w:r>
            <w:r>
              <w:rPr>
                <w:rFonts w:hint="eastAsia" w:ascii="Times New Roman" w:hAnsi="Times New Roman"/>
                <w:color w:val="auto"/>
                <w:sz w:val="24"/>
              </w:rPr>
              <w:t>/d，109.5m</w:t>
            </w:r>
            <w:r>
              <w:rPr>
                <w:rFonts w:hint="eastAsia" w:ascii="Times New Roman" w:hAnsi="Times New Roman"/>
                <w:color w:val="auto"/>
                <w:sz w:val="24"/>
                <w:vertAlign w:val="superscript"/>
              </w:rPr>
              <w:t>3</w:t>
            </w:r>
            <w:r>
              <w:rPr>
                <w:rFonts w:hint="eastAsia" w:ascii="Times New Roman" w:hAnsi="Times New Roman"/>
                <w:color w:val="auto"/>
                <w:sz w:val="24"/>
              </w:rPr>
              <w:t>/a。</w:t>
            </w:r>
          </w:p>
          <w:p>
            <w:pPr>
              <w:pStyle w:val="14"/>
              <w:keepNext w:val="0"/>
              <w:keepLines w:val="0"/>
              <w:pageBreakBefore w:val="0"/>
              <w:kinsoku/>
              <w:wordWrap/>
              <w:overflowPunct/>
              <w:autoSpaceDE/>
              <w:autoSpaceDN/>
              <w:bidi w:val="0"/>
              <w:adjustRightInd w:val="0"/>
              <w:snapToGrid/>
              <w:spacing w:line="360" w:lineRule="auto"/>
              <w:ind w:firstLine="481" w:firstLineChars="200"/>
              <w:rPr>
                <w:rFonts w:ascii="Times New Roman" w:hAnsi="Times New Roman"/>
                <w:color w:val="auto"/>
                <w:sz w:val="24"/>
              </w:rPr>
            </w:pPr>
            <w:r>
              <w:rPr>
                <w:rFonts w:hint="eastAsia" w:ascii="Times New Roman" w:hAnsi="Times New Roman"/>
                <w:b/>
                <w:bCs/>
                <w:color w:val="auto"/>
                <w:sz w:val="24"/>
              </w:rPr>
              <w:t>注：项目卫生院检验科设置检验废液分类收集桶，检验科产生的废液分类收集后作为医疗废物处理，暂存于医疗废物暂存间，定期由资质单位处理，检验科废水不进入院内污水处理系统。</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hint="eastAsia" w:ascii="Times New Roman" w:hAnsi="Times New Roman" w:cs="微软雅黑"/>
                <w:color w:val="auto"/>
                <w:sz w:val="24"/>
              </w:rPr>
              <w:t>⑤</w:t>
            </w:r>
            <w:r>
              <w:rPr>
                <w:rFonts w:hint="eastAsia" w:ascii="Times New Roman" w:hAnsi="Times New Roman"/>
                <w:color w:val="auto"/>
                <w:sz w:val="24"/>
              </w:rPr>
              <w:t>医务人员用水</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hint="eastAsia" w:ascii="Times New Roman" w:hAnsi="Times New Roman"/>
                <w:color w:val="auto"/>
                <w:sz w:val="24"/>
              </w:rPr>
              <w:t>项目医务人员24人，根据</w:t>
            </w:r>
            <w:r>
              <w:rPr>
                <w:rFonts w:hint="eastAsia" w:ascii="Times New Roman" w:hAnsi="Times New Roman"/>
                <w:color w:val="auto"/>
                <w:kern w:val="0"/>
                <w:sz w:val="24"/>
              </w:rPr>
              <w:t>《综合医院建筑设计</w:t>
            </w:r>
            <w:r>
              <w:rPr>
                <w:rFonts w:hint="eastAsia" w:ascii="Times New Roman" w:hAnsi="Times New Roman"/>
                <w:color w:val="auto"/>
                <w:kern w:val="0"/>
                <w:sz w:val="24"/>
                <w:lang w:val="en-US" w:eastAsia="zh-CN"/>
              </w:rPr>
              <w:t>标准</w:t>
            </w:r>
            <w:r>
              <w:rPr>
                <w:rFonts w:hint="eastAsia" w:ascii="Times New Roman" w:hAnsi="Times New Roman"/>
                <w:color w:val="auto"/>
                <w:kern w:val="0"/>
                <w:sz w:val="24"/>
              </w:rPr>
              <w:t>》（GB51039-2014</w:t>
            </w:r>
            <w:r>
              <w:rPr>
                <w:rFonts w:hint="eastAsia" w:ascii="Times New Roman" w:hAnsi="Times New Roman"/>
                <w:color w:val="auto"/>
                <w:kern w:val="0"/>
                <w:sz w:val="24"/>
                <w:lang w:val="en-US" w:eastAsia="zh-CN"/>
              </w:rPr>
              <w:t>局部修订条文</w:t>
            </w:r>
            <w:r>
              <w:rPr>
                <w:rFonts w:hint="eastAsia" w:ascii="Times New Roman" w:hAnsi="Times New Roman"/>
                <w:color w:val="auto"/>
                <w:kern w:val="0"/>
                <w:sz w:val="24"/>
              </w:rPr>
              <w:t>）中医务人员用水定额，评价</w:t>
            </w:r>
            <w:r>
              <w:rPr>
                <w:rFonts w:ascii="Times New Roman" w:hAnsi="Times New Roman"/>
                <w:color w:val="auto"/>
                <w:kern w:val="0"/>
                <w:sz w:val="24"/>
                <w:lang w:bidi="ar"/>
              </w:rPr>
              <w:t>按150L/人·d计，</w:t>
            </w:r>
            <w:r>
              <w:rPr>
                <w:rFonts w:hint="eastAsia" w:ascii="Times New Roman" w:hAnsi="Times New Roman"/>
                <w:color w:val="auto"/>
                <w:kern w:val="0"/>
                <w:sz w:val="24"/>
                <w:lang w:bidi="ar"/>
              </w:rPr>
              <w:t>项目医务人员用水量3.6</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ascii="Times New Roman" w:hAnsi="Times New Roman"/>
                <w:color w:val="auto"/>
                <w:kern w:val="0"/>
                <w:sz w:val="24"/>
                <w:lang w:bidi="ar"/>
              </w:rPr>
              <w:t>/d，1314</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ascii="Times New Roman" w:hAnsi="Times New Roman"/>
                <w:color w:val="auto"/>
                <w:kern w:val="0"/>
                <w:sz w:val="24"/>
                <w:lang w:bidi="ar"/>
              </w:rPr>
              <w:t>/a。</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hint="eastAsia" w:ascii="Times New Roman" w:hAnsi="Times New Roman" w:cs="宋体"/>
                <w:color w:val="auto"/>
                <w:sz w:val="24"/>
              </w:rPr>
              <w:t>⑥</w:t>
            </w:r>
            <w:r>
              <w:rPr>
                <w:rFonts w:hint="eastAsia" w:ascii="Times New Roman" w:hAnsi="Times New Roman"/>
                <w:color w:val="auto"/>
                <w:sz w:val="24"/>
              </w:rPr>
              <w:t>行政人员用水</w:t>
            </w:r>
          </w:p>
          <w:p>
            <w:pPr>
              <w:keepNext w:val="0"/>
              <w:keepLines w:val="0"/>
              <w:pageBreakBefore w:val="0"/>
              <w:kinsoku/>
              <w:wordWrap/>
              <w:overflowPunct/>
              <w:autoSpaceDE/>
              <w:autoSpaceDN/>
              <w:bidi w:val="0"/>
              <w:adjustRightInd w:val="0"/>
              <w:snapToGrid/>
              <w:spacing w:line="360" w:lineRule="auto"/>
              <w:ind w:firstLine="480" w:firstLineChars="200"/>
              <w:textAlignment w:val="center"/>
              <w:rPr>
                <w:rFonts w:ascii="Times New Roman" w:hAnsi="Times New Roman"/>
                <w:color w:val="auto"/>
                <w:sz w:val="24"/>
              </w:rPr>
            </w:pPr>
            <w:r>
              <w:rPr>
                <w:rFonts w:hint="eastAsia" w:ascii="Times New Roman" w:hAnsi="Times New Roman"/>
                <w:color w:val="auto"/>
                <w:sz w:val="24"/>
              </w:rPr>
              <w:t>项目行政人员4人，根据</w:t>
            </w:r>
            <w:r>
              <w:rPr>
                <w:rFonts w:hint="eastAsia" w:ascii="Times New Roman" w:hAnsi="Times New Roman"/>
                <w:color w:val="auto"/>
                <w:kern w:val="0"/>
                <w:sz w:val="24"/>
              </w:rPr>
              <w:t>《建筑给排水设计规范》（GB5</w:t>
            </w:r>
            <w:r>
              <w:rPr>
                <w:rFonts w:hint="eastAsia" w:ascii="Times New Roman" w:hAnsi="Times New Roman"/>
                <w:color w:val="auto"/>
                <w:kern w:val="0"/>
                <w:sz w:val="24"/>
                <w:lang w:val="en-US" w:eastAsia="zh-CN"/>
              </w:rPr>
              <w:t>0015</w:t>
            </w:r>
            <w:r>
              <w:rPr>
                <w:rFonts w:hint="eastAsia" w:ascii="Times New Roman" w:hAnsi="Times New Roman"/>
                <w:color w:val="auto"/>
                <w:kern w:val="0"/>
                <w:sz w:val="24"/>
              </w:rPr>
              <w:t>-201</w:t>
            </w:r>
            <w:r>
              <w:rPr>
                <w:rFonts w:hint="eastAsia" w:ascii="Times New Roman" w:hAnsi="Times New Roman"/>
                <w:color w:val="auto"/>
                <w:kern w:val="0"/>
                <w:sz w:val="24"/>
                <w:lang w:val="en-US" w:eastAsia="zh-CN"/>
              </w:rPr>
              <w:t>9</w:t>
            </w:r>
            <w:r>
              <w:rPr>
                <w:rFonts w:hint="eastAsia" w:ascii="Times New Roman" w:hAnsi="Times New Roman"/>
                <w:color w:val="auto"/>
                <w:kern w:val="0"/>
                <w:sz w:val="24"/>
              </w:rPr>
              <w:t>）</w:t>
            </w:r>
            <w:r>
              <w:rPr>
                <w:rFonts w:hint="eastAsia" w:ascii="Times New Roman" w:hAnsi="Times New Roman"/>
                <w:color w:val="auto"/>
                <w:sz w:val="24"/>
              </w:rPr>
              <w:t>，项目行政人员在按用水量以50L/(人</w:t>
            </w:r>
            <w:r>
              <w:rPr>
                <w:rFonts w:hint="eastAsia" w:ascii="Times New Roman" w:hAnsi="Times New Roman" w:cs="宋体"/>
                <w:color w:val="auto"/>
                <w:sz w:val="24"/>
              </w:rPr>
              <w:t>•</w:t>
            </w:r>
            <w:r>
              <w:rPr>
                <w:rFonts w:hint="eastAsia" w:ascii="Times New Roman" w:hAnsi="Times New Roman"/>
                <w:color w:val="auto"/>
                <w:sz w:val="24"/>
              </w:rPr>
              <w:t>d)计，则行政人员用水量为0.2m³/d，73m³/a。</w:t>
            </w:r>
          </w:p>
          <w:p>
            <w:pPr>
              <w:pStyle w:val="51"/>
              <w:keepNext w:val="0"/>
              <w:keepLines w:val="0"/>
              <w:pageBreakBefore w:val="0"/>
              <w:widowControl/>
              <w:kinsoku/>
              <w:wordWrap/>
              <w:overflowPunct/>
              <w:autoSpaceDE/>
              <w:autoSpaceDN/>
              <w:bidi w:val="0"/>
              <w:adjustRightInd w:val="0"/>
              <w:snapToGrid/>
              <w:spacing w:line="360" w:lineRule="auto"/>
              <w:ind w:firstLine="480"/>
              <w:textAlignment w:val="center"/>
              <w:rPr>
                <w:rFonts w:ascii="Times New Roman" w:hAnsi="Times New Roman"/>
                <w:color w:val="auto"/>
                <w:sz w:val="24"/>
              </w:rPr>
            </w:pPr>
            <w:r>
              <w:rPr>
                <w:rFonts w:hint="eastAsia" w:ascii="Times New Roman" w:hAnsi="Times New Roman" w:cs="宋体"/>
                <w:color w:val="auto"/>
                <w:sz w:val="24"/>
              </w:rPr>
              <w:t>⑦</w:t>
            </w:r>
            <w:r>
              <w:rPr>
                <w:rFonts w:hint="eastAsia" w:ascii="Times New Roman" w:hAnsi="Times New Roman"/>
                <w:color w:val="auto"/>
                <w:sz w:val="24"/>
              </w:rPr>
              <w:t>病床床品衣服洗涤用水</w:t>
            </w:r>
          </w:p>
          <w:p>
            <w:pPr>
              <w:pStyle w:val="51"/>
              <w:keepNext w:val="0"/>
              <w:keepLines w:val="0"/>
              <w:pageBreakBefore w:val="0"/>
              <w:widowControl/>
              <w:kinsoku/>
              <w:wordWrap/>
              <w:overflowPunct/>
              <w:autoSpaceDE/>
              <w:autoSpaceDN/>
              <w:bidi w:val="0"/>
              <w:adjustRightInd w:val="0"/>
              <w:snapToGrid/>
              <w:spacing w:line="360" w:lineRule="auto"/>
              <w:ind w:firstLine="480"/>
              <w:textAlignment w:val="center"/>
              <w:rPr>
                <w:rFonts w:ascii="Times New Roman" w:hAnsi="Times New Roman" w:cs="宋体"/>
                <w:color w:val="auto"/>
                <w:sz w:val="24"/>
              </w:rPr>
            </w:pPr>
            <w:r>
              <w:rPr>
                <w:rFonts w:hint="eastAsia" w:ascii="Times New Roman" w:hAnsi="Times New Roman"/>
                <w:color w:val="auto"/>
                <w:sz w:val="24"/>
              </w:rPr>
              <w:t>本项目病床数20张，产生的病服、床单、被套等需进行洗涤。根据《建筑给排水设计规范》洗衣用水定额为40-80L/每千克干衣，取60L/每千克干衣，一套病服和一套床品总重量约2kg，平均清洗周期为1周/次，年清洗52次，则项目现有病床床品衣服洗涤用水量约为0.35m</w:t>
            </w:r>
            <w:r>
              <w:rPr>
                <w:rFonts w:hint="eastAsia" w:ascii="Times New Roman" w:hAnsi="Times New Roman"/>
                <w:color w:val="auto"/>
                <w:sz w:val="24"/>
                <w:vertAlign w:val="superscript"/>
              </w:rPr>
              <w:t>3</w:t>
            </w:r>
            <w:r>
              <w:rPr>
                <w:rFonts w:hint="eastAsia" w:ascii="Times New Roman" w:hAnsi="Times New Roman"/>
                <w:color w:val="auto"/>
                <w:sz w:val="24"/>
              </w:rPr>
              <w:t>/d，127.75m</w:t>
            </w:r>
            <w:r>
              <w:rPr>
                <w:rFonts w:hint="eastAsia" w:ascii="Times New Roman" w:hAnsi="Times New Roman"/>
                <w:color w:val="auto"/>
                <w:sz w:val="24"/>
                <w:vertAlign w:val="superscript"/>
              </w:rPr>
              <w:t>3</w:t>
            </w:r>
            <w:r>
              <w:rPr>
                <w:rFonts w:hint="eastAsia" w:ascii="Times New Roman" w:hAnsi="Times New Roman"/>
                <w:color w:val="auto"/>
                <w:sz w:val="24"/>
              </w:rPr>
              <w:t>/a。</w:t>
            </w:r>
          </w:p>
          <w:p>
            <w:pPr>
              <w:pStyle w:val="15"/>
              <w:keepNext w:val="0"/>
              <w:keepLines w:val="0"/>
              <w:pageBreakBefore w:val="0"/>
              <w:kinsoku/>
              <w:wordWrap/>
              <w:overflowPunct/>
              <w:autoSpaceDE/>
              <w:autoSpaceDN/>
              <w:bidi w:val="0"/>
              <w:adjustRightInd w:val="0"/>
              <w:snapToGrid/>
              <w:spacing w:line="360" w:lineRule="auto"/>
              <w:ind w:firstLine="480"/>
              <w:textAlignment w:val="center"/>
              <w:rPr>
                <w:rFonts w:ascii="Times New Roman" w:hAnsi="Times New Roman"/>
                <w:color w:val="auto"/>
                <w:sz w:val="24"/>
              </w:rPr>
            </w:pPr>
            <w:r>
              <w:rPr>
                <w:rFonts w:hint="eastAsia" w:ascii="Times New Roman" w:hAnsi="Times New Roman" w:cs="宋体"/>
                <w:color w:val="auto"/>
                <w:sz w:val="24"/>
              </w:rPr>
              <w:t>⑧</w:t>
            </w:r>
            <w:r>
              <w:rPr>
                <w:rFonts w:hint="eastAsia" w:ascii="Times New Roman" w:hAnsi="Times New Roman"/>
                <w:color w:val="auto"/>
                <w:sz w:val="24"/>
              </w:rPr>
              <w:t>食堂用水</w:t>
            </w:r>
          </w:p>
          <w:p>
            <w:pPr>
              <w:pStyle w:val="15"/>
              <w:keepNext w:val="0"/>
              <w:keepLines w:val="0"/>
              <w:pageBreakBefore w:val="0"/>
              <w:kinsoku/>
              <w:wordWrap/>
              <w:overflowPunct/>
              <w:autoSpaceDE/>
              <w:autoSpaceDN/>
              <w:bidi w:val="0"/>
              <w:adjustRightInd w:val="0"/>
              <w:snapToGrid/>
              <w:spacing w:line="360" w:lineRule="auto"/>
              <w:ind w:firstLine="480"/>
              <w:textAlignment w:val="center"/>
              <w:rPr>
                <w:rFonts w:ascii="Times New Roman" w:hAnsi="Times New Roman"/>
                <w:color w:val="auto"/>
                <w:sz w:val="24"/>
              </w:rPr>
            </w:pPr>
            <w:r>
              <w:rPr>
                <w:rFonts w:hint="eastAsia" w:ascii="Times New Roman" w:hAnsi="Times New Roman"/>
                <w:color w:val="auto"/>
                <w:sz w:val="24"/>
              </w:rPr>
              <w:t>项目设一个员工食堂，仅医院工作人员用餐，</w:t>
            </w:r>
            <w:r>
              <w:rPr>
                <w:rFonts w:ascii="Times New Roman" w:hAnsi="Times New Roman"/>
                <w:color w:val="auto"/>
                <w:sz w:val="24"/>
              </w:rPr>
              <w:t>根据</w:t>
            </w:r>
            <w:r>
              <w:rPr>
                <w:rFonts w:hint="eastAsia" w:ascii="Times New Roman" w:hAnsi="Times New Roman"/>
                <w:color w:val="auto"/>
                <w:kern w:val="0"/>
                <w:sz w:val="24"/>
              </w:rPr>
              <w:t>《综合医院建筑设计</w:t>
            </w:r>
            <w:r>
              <w:rPr>
                <w:rFonts w:hint="eastAsia" w:ascii="Times New Roman" w:hAnsi="Times New Roman"/>
                <w:color w:val="auto"/>
                <w:kern w:val="0"/>
                <w:sz w:val="24"/>
                <w:lang w:val="en-US" w:eastAsia="zh-CN"/>
              </w:rPr>
              <w:t>标准</w:t>
            </w:r>
            <w:r>
              <w:rPr>
                <w:rFonts w:hint="eastAsia" w:ascii="Times New Roman" w:hAnsi="Times New Roman"/>
                <w:color w:val="auto"/>
                <w:kern w:val="0"/>
                <w:sz w:val="24"/>
              </w:rPr>
              <w:t>》（GB51039-2014</w:t>
            </w:r>
            <w:r>
              <w:rPr>
                <w:rFonts w:hint="eastAsia" w:ascii="Times New Roman" w:hAnsi="Times New Roman"/>
                <w:color w:val="auto"/>
                <w:kern w:val="0"/>
                <w:sz w:val="24"/>
                <w:lang w:val="en-US" w:eastAsia="zh-CN"/>
              </w:rPr>
              <w:t>局部修订条文</w:t>
            </w:r>
            <w:r>
              <w:rPr>
                <w:rFonts w:hint="eastAsia" w:ascii="Times New Roman" w:hAnsi="Times New Roman"/>
                <w:color w:val="auto"/>
                <w:kern w:val="0"/>
                <w:sz w:val="24"/>
              </w:rPr>
              <w:t>）</w:t>
            </w:r>
            <w:r>
              <w:rPr>
                <w:rFonts w:ascii="Times New Roman" w:hAnsi="Times New Roman"/>
                <w:color w:val="auto"/>
                <w:sz w:val="24"/>
                <w:szCs w:val="24"/>
                <w:shd w:val="clear" w:color="auto" w:fill="FFFFFF"/>
              </w:rPr>
              <w:t>食堂用水定额为20-25L/人·次，取25升/人·次，</w:t>
            </w:r>
            <w:r>
              <w:rPr>
                <w:rFonts w:hint="eastAsia" w:ascii="Times New Roman" w:hAnsi="Times New Roman"/>
                <w:color w:val="auto"/>
                <w:sz w:val="24"/>
              </w:rPr>
              <w:t>项目提供午餐和晚餐，中午有21人就餐，晚上6人就餐，则食堂用水0.675t/d，246.4t/a。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kern w:val="0"/>
                <w:sz w:val="24"/>
              </w:rPr>
            </w:pPr>
            <w:r>
              <w:rPr>
                <w:rFonts w:hint="eastAsia" w:ascii="Times New Roman" w:hAnsi="Times New Roman"/>
                <w:color w:val="auto"/>
                <w:sz w:val="24"/>
              </w:rPr>
              <w:t>本</w:t>
            </w:r>
            <w:r>
              <w:rPr>
                <w:rFonts w:ascii="Times New Roman" w:hAnsi="Times New Roman"/>
                <w:color w:val="auto"/>
                <w:sz w:val="24"/>
              </w:rPr>
              <w:t>项目用排水量计算</w:t>
            </w:r>
            <w:r>
              <w:rPr>
                <w:rFonts w:ascii="Times New Roman" w:hAnsi="Times New Roman"/>
                <w:color w:val="auto"/>
                <w:kern w:val="0"/>
                <w:sz w:val="24"/>
              </w:rPr>
              <w:t>详见表</w:t>
            </w:r>
            <w:r>
              <w:rPr>
                <w:rFonts w:hint="eastAsia" w:ascii="Times New Roman" w:hAnsi="Times New Roman"/>
                <w:color w:val="auto"/>
                <w:kern w:val="0"/>
                <w:sz w:val="24"/>
              </w:rPr>
              <w:t>2-4</w:t>
            </w:r>
            <w:r>
              <w:rPr>
                <w:rFonts w:ascii="Times New Roman" w:hAnsi="Times New Roman"/>
                <w:color w:val="auto"/>
                <w:kern w:val="0"/>
                <w:sz w:val="24"/>
              </w:rPr>
              <w:t>。</w:t>
            </w:r>
          </w:p>
          <w:p>
            <w:pPr>
              <w:pStyle w:val="43"/>
              <w:keepNext w:val="0"/>
              <w:keepLines w:val="0"/>
              <w:pageBreakBefore w:val="0"/>
              <w:widowControl/>
              <w:kinsoku/>
              <w:wordWrap/>
              <w:overflowPunct w:val="0"/>
              <w:topLinePunct w:val="0"/>
              <w:autoSpaceDE w:val="0"/>
              <w:autoSpaceDN w:val="0"/>
              <w:bidi w:val="0"/>
              <w:adjustRightInd w:val="0"/>
              <w:snapToGrid/>
              <w:textAlignment w:val="baseline"/>
              <w:rPr>
                <w:rFonts w:ascii="Times New Roman" w:hAnsi="Times New Roman" w:eastAsia="宋体"/>
                <w:b/>
                <w:color w:val="auto"/>
                <w:sz w:val="21"/>
              </w:rPr>
            </w:pPr>
            <w:r>
              <w:rPr>
                <w:rFonts w:hint="eastAsia" w:ascii="Times New Roman" w:hAnsi="Times New Roman" w:eastAsia="宋体"/>
                <w:b/>
                <w:color w:val="auto"/>
                <w:sz w:val="21"/>
              </w:rPr>
              <w:t>表</w:t>
            </w:r>
            <w:r>
              <w:rPr>
                <w:rFonts w:hint="eastAsia" w:ascii="Times New Roman" w:hAnsi="Times New Roman" w:eastAsia="宋体"/>
                <w:b/>
                <w:color w:val="auto"/>
                <w:sz w:val="21"/>
                <w:lang w:val="en-US"/>
              </w:rPr>
              <w:t>2-4</w:t>
            </w:r>
            <w:r>
              <w:rPr>
                <w:rFonts w:hint="eastAsia"/>
                <w:b/>
                <w:color w:val="auto"/>
                <w:sz w:val="21"/>
                <w:lang w:val="en-US" w:eastAsia="zh-CN"/>
              </w:rPr>
              <w:t xml:space="preserve"> </w:t>
            </w:r>
            <w:r>
              <w:rPr>
                <w:rFonts w:hint="eastAsia" w:ascii="Times New Roman" w:hAnsi="Times New Roman" w:eastAsia="宋体"/>
                <w:b/>
                <w:color w:val="auto"/>
                <w:sz w:val="21"/>
              </w:rPr>
              <w:t>项目用、排水核算表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57" w:type="dxa"/>
                <w:bottom w:w="28" w:type="dxa"/>
                <w:right w:w="57" w:type="dxa"/>
              </w:tblCellMar>
            </w:tblPr>
            <w:tblGrid>
              <w:gridCol w:w="655"/>
              <w:gridCol w:w="663"/>
              <w:gridCol w:w="1521"/>
              <w:gridCol w:w="1091"/>
              <w:gridCol w:w="1481"/>
              <w:gridCol w:w="1076"/>
              <w:gridCol w:w="818"/>
              <w:gridCol w:w="108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性质</w:t>
                  </w:r>
                </w:p>
              </w:tc>
              <w:tc>
                <w:tcPr>
                  <w:tcW w:w="395"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90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用水部门</w:t>
                  </w:r>
                </w:p>
              </w:tc>
              <w:tc>
                <w:tcPr>
                  <w:tcW w:w="65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规模</w:t>
                  </w:r>
                </w:p>
              </w:tc>
              <w:tc>
                <w:tcPr>
                  <w:tcW w:w="88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用水标准</w:t>
                  </w:r>
                </w:p>
              </w:tc>
              <w:tc>
                <w:tcPr>
                  <w:tcW w:w="64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用水量（m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lang w:val="en-US"/>
                    </w:rPr>
                    <w:t>d</w:t>
                  </w:r>
                  <w:r>
                    <w:rPr>
                      <w:rFonts w:hint="eastAsia" w:ascii="Times New Roman" w:hAnsi="Times New Roman" w:eastAsia="宋体"/>
                      <w:color w:val="auto"/>
                      <w:sz w:val="21"/>
                      <w:szCs w:val="21"/>
                    </w:rPr>
                    <w:t>）</w:t>
                  </w:r>
                </w:p>
              </w:tc>
              <w:tc>
                <w:tcPr>
                  <w:tcW w:w="48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排放系数</w:t>
                  </w:r>
                </w:p>
              </w:tc>
              <w:tc>
                <w:tcPr>
                  <w:tcW w:w="64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lang w:val="en-US"/>
                    </w:rPr>
                    <w:t>废</w:t>
                  </w:r>
                  <w:r>
                    <w:rPr>
                      <w:rFonts w:hint="eastAsia" w:ascii="Times New Roman" w:hAnsi="Times New Roman" w:eastAsia="宋体"/>
                      <w:color w:val="auto"/>
                      <w:sz w:val="21"/>
                      <w:szCs w:val="21"/>
                    </w:rPr>
                    <w:t>水量（m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rPr>
                    <w:t>d</w:t>
                  </w:r>
                  <w:r>
                    <w:rPr>
                      <w:rFonts w:hint="eastAsia" w:ascii="Times New Roman" w:hAnsi="Times New Roman" w:eastAsia="宋体"/>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病区用水</w:t>
                  </w:r>
                </w:p>
              </w:tc>
              <w:tc>
                <w:tcPr>
                  <w:tcW w:w="39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门诊用水</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20人次/d</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15L/人次</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0.3</w:t>
                  </w:r>
                </w:p>
              </w:tc>
              <w:tc>
                <w:tcPr>
                  <w:tcW w:w="48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0.255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39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906"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检验用水</w:t>
                  </w:r>
                </w:p>
              </w:tc>
              <w:tc>
                <w:tcPr>
                  <w:tcW w:w="650"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20人次/d</w:t>
                  </w:r>
                </w:p>
              </w:tc>
              <w:tc>
                <w:tcPr>
                  <w:tcW w:w="881"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641"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0.3</w:t>
                  </w:r>
                </w:p>
              </w:tc>
              <w:tc>
                <w:tcPr>
                  <w:tcW w:w="487"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647"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39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住院部（设单独卫生间）</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20床</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200L/床·d</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4.0</w:t>
                  </w:r>
                </w:p>
              </w:tc>
              <w:tc>
                <w:tcPr>
                  <w:tcW w:w="48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39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病床床品衣物洗涤</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20套</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60L/kg（干衣）</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0.35</w:t>
                  </w:r>
                </w:p>
              </w:tc>
              <w:tc>
                <w:tcPr>
                  <w:tcW w:w="48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非病区用水</w:t>
                  </w:r>
                </w:p>
              </w:tc>
              <w:tc>
                <w:tcPr>
                  <w:tcW w:w="39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医务人员</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24人</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kern w:val="0"/>
                      <w:sz w:val="21"/>
                      <w:szCs w:val="21"/>
                      <w:lang w:bidi="ar"/>
                    </w:rPr>
                    <w:t>150L/人</w:t>
                  </w:r>
                  <w:r>
                    <w:rPr>
                      <w:rFonts w:hint="eastAsia" w:ascii="Times New Roman" w:hAnsi="Times New Roman" w:eastAsia="宋体"/>
                      <w:color w:val="auto"/>
                      <w:sz w:val="21"/>
                      <w:szCs w:val="21"/>
                    </w:rPr>
                    <w:t>·</w:t>
                  </w:r>
                  <w:r>
                    <w:rPr>
                      <w:rFonts w:ascii="Times New Roman" w:hAnsi="Times New Roman" w:eastAsia="宋体"/>
                      <w:color w:val="auto"/>
                      <w:kern w:val="0"/>
                      <w:sz w:val="21"/>
                      <w:szCs w:val="21"/>
                      <w:lang w:bidi="ar"/>
                    </w:rPr>
                    <w:t>d</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3.6</w:t>
                  </w:r>
                </w:p>
              </w:tc>
              <w:tc>
                <w:tcPr>
                  <w:tcW w:w="48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39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6</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陪护人员</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20人</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50L/人·d</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48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9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39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7</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行政人员</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50L/人·d</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0.2</w:t>
                  </w:r>
                </w:p>
              </w:tc>
              <w:tc>
                <w:tcPr>
                  <w:tcW w:w="48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90" w:hRule="atLeast"/>
                <w:jc w:val="center"/>
              </w:trPr>
              <w:tc>
                <w:tcPr>
                  <w:tcW w:w="39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39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8</w:t>
                  </w:r>
                </w:p>
              </w:tc>
              <w:tc>
                <w:tcPr>
                  <w:tcW w:w="9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食堂</w:t>
                  </w:r>
                </w:p>
              </w:tc>
              <w:tc>
                <w:tcPr>
                  <w:tcW w:w="65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27人次/d</w:t>
                  </w:r>
                </w:p>
              </w:tc>
              <w:tc>
                <w:tcPr>
                  <w:tcW w:w="88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25L/人次</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0.675</w:t>
                  </w:r>
                </w:p>
              </w:tc>
              <w:tc>
                <w:tcPr>
                  <w:tcW w:w="48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0.85</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0.574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397" w:hRule="atLeast"/>
                <w:jc w:val="center"/>
              </w:trPr>
              <w:tc>
                <w:tcPr>
                  <w:tcW w:w="3223" w:type="pct"/>
                  <w:gridSpan w:val="5"/>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合计</w:t>
                  </w:r>
                </w:p>
              </w:tc>
              <w:tc>
                <w:tcPr>
                  <w:tcW w:w="6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10.425</w:t>
                  </w:r>
                </w:p>
              </w:tc>
              <w:tc>
                <w:tcPr>
                  <w:tcW w:w="48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8.909</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2）</w:t>
            </w:r>
            <w:r>
              <w:rPr>
                <w:color w:val="auto"/>
                <w:sz w:val="24"/>
              </w:rPr>
              <w:t>排</w:t>
            </w:r>
            <w:r>
              <w:rPr>
                <w:rFonts w:hint="eastAsia"/>
                <w:color w:val="auto"/>
                <w:sz w:val="24"/>
              </w:rPr>
              <w:t>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bCs/>
                <w:color w:val="auto"/>
                <w:sz w:val="24"/>
                <w:lang w:val="zh-CN"/>
              </w:rPr>
              <w:t>项目排水采用雨污分流，雨水经雨水管</w:t>
            </w:r>
            <w:r>
              <w:rPr>
                <w:rFonts w:hint="eastAsia"/>
                <w:bCs/>
                <w:color w:val="auto"/>
                <w:sz w:val="24"/>
              </w:rPr>
              <w:t>收</w:t>
            </w:r>
            <w:r>
              <w:rPr>
                <w:bCs/>
                <w:color w:val="auto"/>
                <w:sz w:val="24"/>
                <w:lang w:val="zh-CN"/>
              </w:rPr>
              <w:t>集后，</w:t>
            </w:r>
            <w:r>
              <w:rPr>
                <w:rFonts w:hint="eastAsia"/>
                <w:bCs/>
                <w:color w:val="auto"/>
                <w:sz w:val="24"/>
              </w:rPr>
              <w:t>由雨水沟</w:t>
            </w:r>
            <w:r>
              <w:rPr>
                <w:bCs/>
                <w:color w:val="auto"/>
                <w:sz w:val="24"/>
                <w:lang w:val="zh-CN"/>
              </w:rPr>
              <w:t>排入</w:t>
            </w:r>
            <w:r>
              <w:rPr>
                <w:rFonts w:hint="eastAsia"/>
                <w:bCs/>
                <w:color w:val="auto"/>
                <w:sz w:val="24"/>
              </w:rPr>
              <w:t>市政雨水管网</w:t>
            </w:r>
            <w:r>
              <w:rPr>
                <w:rFonts w:hint="eastAsia"/>
                <w:bCs/>
                <w:color w:val="auto"/>
                <w:sz w:val="24"/>
                <w:lang w:val="zh-CN"/>
              </w:rPr>
              <w:t>，</w:t>
            </w:r>
            <w:r>
              <w:rPr>
                <w:bCs/>
                <w:color w:val="auto"/>
                <w:sz w:val="24"/>
                <w:lang w:val="zh-CN"/>
              </w:rPr>
              <w:t>污水分类收集</w:t>
            </w:r>
            <w:r>
              <w:rPr>
                <w:rFonts w:hint="eastAsia"/>
                <w:bCs/>
                <w:color w:val="auto"/>
                <w:sz w:val="24"/>
                <w:lang w:val="zh-CN"/>
              </w:rPr>
              <w:t>处理后</w:t>
            </w:r>
            <w:r>
              <w:rPr>
                <w:rFonts w:hint="eastAsia"/>
                <w:bCs/>
                <w:color w:val="auto"/>
                <w:sz w:val="24"/>
              </w:rPr>
              <w:t>汇入医院污水处理站处理，然后接入市政污水管网，排入温泉镇污水处理厂进一步处理，尾水最终排入鄱阳湖。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3）项目水平衡图</w:t>
            </w:r>
          </w:p>
          <w:tbl>
            <w:tblPr>
              <w:tblStyle w:val="2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9" w:type="dxa"/>
                </w:tcPr>
                <w:p>
                  <w:pPr>
                    <w:pStyle w:val="22"/>
                    <w:ind w:left="0" w:leftChars="0" w:firstLine="0" w:firstLineChars="0"/>
                    <w:jc w:val="center"/>
                    <w:rPr>
                      <w:color w:val="auto"/>
                    </w:rPr>
                  </w:pPr>
                  <w:r>
                    <w:rPr>
                      <w:color w:val="auto"/>
                    </w:rPr>
                    <mc:AlternateContent>
                      <mc:Choice Requires="wps">
                        <w:drawing>
                          <wp:anchor distT="0" distB="0" distL="114300" distR="114300" simplePos="0" relativeHeight="251662336" behindDoc="0" locked="0" layoutInCell="1" allowOverlap="1">
                            <wp:simplePos x="0" y="0"/>
                            <wp:positionH relativeFrom="column">
                              <wp:posOffset>2276475</wp:posOffset>
                            </wp:positionH>
                            <wp:positionV relativeFrom="paragraph">
                              <wp:posOffset>3059430</wp:posOffset>
                            </wp:positionV>
                            <wp:extent cx="422275" cy="262255"/>
                            <wp:effectExtent l="0" t="0" r="0" b="0"/>
                            <wp:wrapNone/>
                            <wp:docPr id="21" name="文本框 21"/>
                            <wp:cNvGraphicFramePr/>
                            <a:graphic xmlns:a="http://schemas.openxmlformats.org/drawingml/2006/main">
                              <a:graphicData uri="http://schemas.microsoft.com/office/word/2010/wordprocessingShape">
                                <wps:wsp>
                                  <wps:cNvSpPr txBox="1"/>
                                  <wps:spPr>
                                    <a:xfrm>
                                      <a:off x="3584575" y="5986145"/>
                                      <a:ext cx="42227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1"/>
                                            <w:szCs w:val="11"/>
                                          </w:rPr>
                                        </w:pPr>
                                        <w:r>
                                          <w:rPr>
                                            <w:rFonts w:hint="eastAsia"/>
                                            <w:sz w:val="11"/>
                                            <w:szCs w:val="11"/>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25pt;margin-top:240.9pt;height:20.65pt;width:33.25pt;z-index:251662336;mso-width-relative:page;mso-height-relative:page;" filled="f" stroked="f" coordsize="21600,21600" o:gfxdata="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">
                            <v:fill on="f" focussize="0,0"/>
                            <v:stroke on="f" weight="0.5pt"/>
                            <v:imagedata o:title=""/>
                            <o:lock v:ext="edit" aspectratio="f"/>
                            <v:textbox>
                              <w:txbxContent>
                                <w:p>
                                  <w:pPr>
                                    <w:rPr>
                                      <w:sz w:val="11"/>
                                      <w:szCs w:val="11"/>
                                    </w:rPr>
                                  </w:pPr>
                                  <w:r>
                                    <w:rPr>
                                      <w:rFonts w:hint="eastAsia"/>
                                      <w:sz w:val="11"/>
                                      <w:szCs w:val="11"/>
                                    </w:rPr>
                                    <w:t>0.3</w:t>
                                  </w:r>
                                </w:p>
                              </w:txbxContent>
                            </v:textbox>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2228850</wp:posOffset>
                            </wp:positionH>
                            <wp:positionV relativeFrom="paragraph">
                              <wp:posOffset>2938780</wp:posOffset>
                            </wp:positionV>
                            <wp:extent cx="303530" cy="300990"/>
                            <wp:effectExtent l="6350" t="6350" r="13970" b="16510"/>
                            <wp:wrapNone/>
                            <wp:docPr id="19" name="矩形 19"/>
                            <wp:cNvGraphicFramePr/>
                            <a:graphic xmlns:a="http://schemas.openxmlformats.org/drawingml/2006/main">
                              <a:graphicData uri="http://schemas.microsoft.com/office/word/2010/wordprocessingShape">
                                <wps:wsp>
                                  <wps:cNvSpPr/>
                                  <wps:spPr>
                                    <a:xfrm>
                                      <a:off x="3560445" y="6002020"/>
                                      <a:ext cx="303530" cy="30099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rPr>
                                          <w:t>0.3.3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5pt;margin-top:231.4pt;height:23.7pt;width:23.9pt;z-index:251661312;v-text-anchor:middle;mso-width-relative:page;mso-height-relative:page;" fillcolor="#FFFFFF [3212]" filled="t" stroked="t" coordsize="21600,21600" o:gfxdata="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">
                            <v:fill on="t" focussize="0,0"/>
                            <v:stroke weight="1pt" color="#FFFFFF [3212]" miterlimit="8" joinstyle="miter"/>
                            <v:imagedata o:title=""/>
                            <o:lock v:ext="edit" aspectratio="f"/>
                            <v:textbox>
                              <w:txbxContent>
                                <w:p>
                                  <w:pPr>
                                    <w:jc w:val="center"/>
                                  </w:pPr>
                                  <w:r>
                                    <w:rPr>
                                      <w:rFonts w:hint="eastAsia"/>
                                    </w:rPr>
                                    <w:t>0.3.3</w:t>
                                  </w:r>
                                </w:p>
                              </w:txbxContent>
                            </v:textbox>
                          </v:rect>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1729105</wp:posOffset>
                            </wp:positionH>
                            <wp:positionV relativeFrom="paragraph">
                              <wp:posOffset>3080385</wp:posOffset>
                            </wp:positionV>
                            <wp:extent cx="464185" cy="75565"/>
                            <wp:effectExtent l="6350" t="6350" r="24765" b="13335"/>
                            <wp:wrapNone/>
                            <wp:docPr id="17" name="矩形 17"/>
                            <wp:cNvGraphicFramePr/>
                            <a:graphic xmlns:a="http://schemas.openxmlformats.org/drawingml/2006/main">
                              <a:graphicData uri="http://schemas.microsoft.com/office/word/2010/wordprocessingShape">
                                <wps:wsp>
                                  <wps:cNvSpPr/>
                                  <wps:spPr>
                                    <a:xfrm>
                                      <a:off x="3060700" y="5936615"/>
                                      <a:ext cx="464185" cy="7556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15pt;margin-top:242.55pt;height:5.95pt;width:36.55pt;z-index:251660288;v-text-anchor:middle;mso-width-relative:page;mso-height-relative:page;" fillcolor="#FFFFFF [3212]" filled="t" stroked="t" coordsize="21600,21600" o:gfxdata="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">
                            <v:fill on="t" focussize="0,0"/>
                            <v:stroke weight="1pt" color="#FFFFFF [3212]" miterlimit="8" joinstyle="miter"/>
                            <v:imagedata o:title=""/>
                            <o:lock v:ext="edit" aspectratio="f"/>
                          </v:rect>
                        </w:pict>
                      </mc:Fallback>
                    </mc:AlternateContent>
                  </w:r>
                  <w:r>
                    <w:rPr>
                      <w:color w:val="auto"/>
                    </w:rPr>
                    <w:drawing>
                      <wp:inline distT="0" distB="0" distL="114300" distR="114300">
                        <wp:extent cx="5259705" cy="3362960"/>
                        <wp:effectExtent l="0" t="0" r="17145" b="889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a:stretch>
                                  <a:fillRect/>
                                </a:stretch>
                              </pic:blipFill>
                              <pic:spPr>
                                <a:xfrm>
                                  <a:off x="0" y="0"/>
                                  <a:ext cx="5259705" cy="33629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9" w:type="dxa"/>
                </w:tcPr>
                <w:p>
                  <w:pPr>
                    <w:pStyle w:val="22"/>
                    <w:spacing w:after="0"/>
                    <w:ind w:left="0" w:leftChars="0" w:firstLine="0" w:firstLineChars="0"/>
                    <w:jc w:val="center"/>
                    <w:rPr>
                      <w:color w:val="auto"/>
                    </w:rPr>
                  </w:pPr>
                  <w:r>
                    <w:rPr>
                      <w:rFonts w:hint="eastAsia"/>
                      <w:b/>
                      <w:bCs/>
                      <w:color w:val="auto"/>
                    </w:rPr>
                    <w:t>图2-</w:t>
                  </w:r>
                  <w:r>
                    <w:rPr>
                      <w:rFonts w:hint="eastAsia"/>
                      <w:b/>
                      <w:bCs/>
                      <w:color w:val="auto"/>
                      <w:lang w:val="en-US" w:eastAsia="zh-CN"/>
                    </w:rPr>
                    <w:t>2</w:t>
                  </w:r>
                  <w:r>
                    <w:rPr>
                      <w:rFonts w:hint="eastAsia"/>
                      <w:b/>
                      <w:bCs/>
                      <w:color w:val="auto"/>
                    </w:rPr>
                    <w:t>项目水平衡图（m</w:t>
                  </w:r>
                  <w:r>
                    <w:rPr>
                      <w:rFonts w:hint="eastAsia"/>
                      <w:b/>
                      <w:bCs/>
                      <w:color w:val="auto"/>
                      <w:vertAlign w:val="superscript"/>
                    </w:rPr>
                    <w:t>3</w:t>
                  </w:r>
                  <w:r>
                    <w:rPr>
                      <w:rFonts w:hint="eastAsia"/>
                      <w:b/>
                      <w:bCs/>
                      <w:color w:val="auto"/>
                    </w:rPr>
                    <w:t>/d）</w:t>
                  </w:r>
                </w:p>
              </w:tc>
            </w:tr>
          </w:tbl>
          <w:p>
            <w:pPr>
              <w:pStyle w:val="2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jc w:val="both"/>
              <w:textAlignment w:val="auto"/>
              <w:rPr>
                <w:color w:val="auto"/>
                <w:sz w:val="24"/>
              </w:rPr>
            </w:pPr>
            <w:r>
              <w:rPr>
                <w:rFonts w:hint="eastAsia"/>
                <w:color w:val="auto"/>
                <w:sz w:val="24"/>
              </w:rPr>
              <w:t>综上，项目用水量为10.425m</w:t>
            </w:r>
            <w:r>
              <w:rPr>
                <w:rFonts w:hint="eastAsia"/>
                <w:color w:val="auto"/>
                <w:sz w:val="24"/>
                <w:vertAlign w:val="superscript"/>
              </w:rPr>
              <w:t>3</w:t>
            </w:r>
            <w:r>
              <w:rPr>
                <w:rFonts w:hint="eastAsia"/>
                <w:color w:val="auto"/>
                <w:sz w:val="24"/>
              </w:rPr>
              <w:t>/d，10.425</w:t>
            </w:r>
            <w:r>
              <w:rPr>
                <w:color w:val="auto"/>
                <w:sz w:val="24"/>
              </w:rPr>
              <w:t>×</w:t>
            </w:r>
            <w:r>
              <w:rPr>
                <w:rFonts w:hint="eastAsia"/>
                <w:color w:val="auto"/>
                <w:sz w:val="24"/>
              </w:rPr>
              <w:t>365=3805.125m</w:t>
            </w:r>
            <w:r>
              <w:rPr>
                <w:rFonts w:hint="eastAsia"/>
                <w:color w:val="auto"/>
                <w:sz w:val="24"/>
                <w:vertAlign w:val="superscript"/>
              </w:rPr>
              <w:t>3</w:t>
            </w:r>
            <w:r>
              <w:rPr>
                <w:rFonts w:hint="eastAsia"/>
                <w:color w:val="auto"/>
                <w:sz w:val="24"/>
              </w:rPr>
              <w:t>/a，排放系数取0.85，检验废水做为医疗废物处理，不外排，则项目排水量约为8.609m</w:t>
            </w:r>
            <w:r>
              <w:rPr>
                <w:rFonts w:hint="eastAsia"/>
                <w:color w:val="auto"/>
                <w:sz w:val="24"/>
                <w:vertAlign w:val="superscript"/>
              </w:rPr>
              <w:t>3</w:t>
            </w:r>
            <w:r>
              <w:rPr>
                <w:rFonts w:hint="eastAsia"/>
                <w:color w:val="auto"/>
                <w:sz w:val="24"/>
              </w:rPr>
              <w:t>/d，3142.285m</w:t>
            </w:r>
            <w:r>
              <w:rPr>
                <w:rFonts w:hint="eastAsia"/>
                <w:color w:val="auto"/>
                <w:sz w:val="24"/>
                <w:vertAlign w:val="superscript"/>
              </w:rPr>
              <w:t>3</w:t>
            </w:r>
            <w:r>
              <w:rPr>
                <w:rFonts w:hint="eastAsia"/>
                <w:color w:val="auto"/>
                <w:sz w:val="24"/>
              </w:rPr>
              <w:t>/a。</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eastAsia="宋体"/>
                <w:color w:val="auto"/>
                <w:sz w:val="24"/>
              </w:rPr>
            </w:pPr>
            <w:r>
              <w:rPr>
                <w:rFonts w:hint="eastAsia" w:eastAsia="宋体"/>
                <w:color w:val="auto"/>
                <w:sz w:val="24"/>
              </w:rPr>
              <w:t>（3）</w:t>
            </w:r>
            <w:r>
              <w:rPr>
                <w:rFonts w:eastAsia="宋体"/>
                <w:color w:val="auto"/>
                <w:sz w:val="24"/>
              </w:rPr>
              <w:t>人员及工作制度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eastAsia="宋体"/>
                <w:bCs/>
                <w:color w:val="auto"/>
                <w:sz w:val="24"/>
              </w:rPr>
            </w:pPr>
            <w:r>
              <w:rPr>
                <w:rFonts w:hint="eastAsia" w:eastAsia="宋体"/>
                <w:bCs/>
                <w:color w:val="auto"/>
                <w:sz w:val="24"/>
              </w:rPr>
              <w:t>本项目员工总数28人，24人为医务人员，4人为行政人员，医务人员中9人实行24小时轮班制，每天3人；其余15名医务人员和行政人员上行政班，每天工作8h，年工作365天。</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eastAsia="宋体"/>
                <w:color w:val="auto"/>
                <w:sz w:val="24"/>
              </w:rPr>
            </w:pPr>
            <w:r>
              <w:rPr>
                <w:rFonts w:eastAsia="宋体"/>
                <w:color w:val="auto"/>
                <w:sz w:val="24"/>
                <w:lang w:val="zh-CN"/>
              </w:rPr>
              <w:t>（</w:t>
            </w:r>
            <w:r>
              <w:rPr>
                <w:rFonts w:hint="eastAsia" w:eastAsia="宋体"/>
                <w:color w:val="auto"/>
                <w:sz w:val="24"/>
              </w:rPr>
              <w:t>4</w:t>
            </w:r>
            <w:r>
              <w:rPr>
                <w:rFonts w:eastAsia="宋体"/>
                <w:color w:val="auto"/>
                <w:sz w:val="24"/>
                <w:lang w:val="zh-CN"/>
              </w:rPr>
              <w:t>）</w:t>
            </w:r>
            <w:r>
              <w:rPr>
                <w:rFonts w:hint="eastAsia" w:eastAsia="宋体"/>
                <w:color w:val="auto"/>
                <w:sz w:val="24"/>
              </w:rPr>
              <w:t>供热供暖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eastAsia="宋体"/>
                <w:color w:val="auto"/>
                <w:sz w:val="24"/>
              </w:rPr>
            </w:pPr>
            <w:r>
              <w:rPr>
                <w:rFonts w:hint="eastAsia" w:eastAsia="宋体"/>
                <w:color w:val="auto"/>
                <w:sz w:val="24"/>
              </w:rPr>
              <w:t>项目</w:t>
            </w:r>
            <w:r>
              <w:rPr>
                <w:rFonts w:eastAsia="宋体"/>
                <w:color w:val="auto"/>
                <w:sz w:val="24"/>
                <w:lang w:val="zh-CN"/>
              </w:rPr>
              <w:t>采用一拖一空调机组，不设置中央空调，不设置冷却塔、冷却水泵等</w:t>
            </w:r>
            <w:r>
              <w:rPr>
                <w:rFonts w:hint="eastAsia" w:eastAsia="宋体"/>
                <w:color w:val="auto"/>
                <w:sz w:val="24"/>
                <w:lang w:val="zh-CN"/>
              </w:rPr>
              <w:t>；</w:t>
            </w:r>
            <w:r>
              <w:rPr>
                <w:rFonts w:hint="eastAsia" w:eastAsia="宋体"/>
                <w:color w:val="auto"/>
                <w:sz w:val="24"/>
              </w:rPr>
              <w:t>项目热水由电热水器供应，不设锅炉；不设冷库，采用常规电冰箱对药品进行冷藏保存。</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eastAsia="宋体"/>
                <w:color w:val="auto"/>
                <w:sz w:val="24"/>
                <w:lang w:val="zh-CN"/>
              </w:rPr>
            </w:pPr>
            <w:r>
              <w:rPr>
                <w:rFonts w:eastAsia="宋体"/>
                <w:color w:val="auto"/>
                <w:sz w:val="24"/>
                <w:lang w:val="zh-CN"/>
              </w:rPr>
              <w:t>（</w:t>
            </w:r>
            <w:r>
              <w:rPr>
                <w:rFonts w:hint="eastAsia"/>
                <w:color w:val="auto"/>
                <w:sz w:val="24"/>
                <w:lang w:val="en-US" w:eastAsia="zh-CN"/>
              </w:rPr>
              <w:t>5</w:t>
            </w:r>
            <w:r>
              <w:rPr>
                <w:rFonts w:eastAsia="宋体"/>
                <w:color w:val="auto"/>
                <w:sz w:val="24"/>
                <w:lang w:val="zh-CN"/>
              </w:rPr>
              <w:t>）消毒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eastAsia="宋体"/>
                <w:color w:val="auto"/>
                <w:sz w:val="21"/>
                <w:lang w:val="zh-CN"/>
              </w:rPr>
            </w:pPr>
            <w:r>
              <w:rPr>
                <w:rFonts w:eastAsia="宋体"/>
                <w:color w:val="auto"/>
                <w:sz w:val="24"/>
                <w:lang w:val="zh-CN"/>
              </w:rPr>
              <w:t>拟建项目消毒包括医用器械清洗消毒、通风系统、化粪池、污水处理站、医务人员、地面、病房等，具体消毒环节及方式见</w:t>
            </w:r>
            <w:r>
              <w:rPr>
                <w:rFonts w:hint="eastAsia" w:eastAsia="宋体"/>
                <w:color w:val="auto"/>
                <w:sz w:val="24"/>
                <w:lang w:val="zh-CN"/>
              </w:rPr>
              <w:t>下表。</w:t>
            </w:r>
          </w:p>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ascii="Times New Roman" w:hAnsi="Times New Roman" w:eastAsia="宋体"/>
                <w:b/>
                <w:bCs/>
                <w:color w:val="auto"/>
                <w:sz w:val="21"/>
                <w:szCs w:val="21"/>
                <w:lang w:val="zh-CN"/>
              </w:rPr>
            </w:pPr>
            <w:r>
              <w:rPr>
                <w:rFonts w:ascii="Times New Roman" w:hAnsi="Times New Roman" w:eastAsia="宋体"/>
                <w:b/>
                <w:bCs/>
                <w:color w:val="auto"/>
                <w:sz w:val="21"/>
                <w:szCs w:val="21"/>
                <w:lang w:val="zh-CN"/>
              </w:rPr>
              <w:t>表2-5</w:t>
            </w:r>
            <w:r>
              <w:rPr>
                <w:rFonts w:hint="eastAsia"/>
                <w:b/>
                <w:bCs/>
                <w:color w:val="auto"/>
                <w:sz w:val="21"/>
                <w:szCs w:val="21"/>
                <w:lang w:val="en-US" w:eastAsia="zh-CN"/>
              </w:rPr>
              <w:t xml:space="preserve"> </w:t>
            </w:r>
            <w:r>
              <w:rPr>
                <w:rFonts w:hint="eastAsia" w:ascii="Times New Roman" w:hAnsi="Times New Roman" w:eastAsia="宋体"/>
                <w:b/>
                <w:bCs/>
                <w:color w:val="auto"/>
                <w:sz w:val="21"/>
                <w:szCs w:val="21"/>
                <w:lang w:val="zh-CN"/>
              </w:rPr>
              <w:t>本项目</w:t>
            </w:r>
            <w:r>
              <w:rPr>
                <w:rFonts w:ascii="Times New Roman" w:hAnsi="Times New Roman" w:eastAsia="宋体"/>
                <w:b/>
                <w:bCs/>
                <w:color w:val="auto"/>
                <w:sz w:val="21"/>
                <w:szCs w:val="21"/>
                <w:lang w:val="zh-CN"/>
              </w:rPr>
              <w:t>院区消毒方式一览表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1020"/>
              <w:gridCol w:w="3071"/>
              <w:gridCol w:w="2467"/>
              <w:gridCol w:w="1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b/>
                      <w:bCs/>
                      <w:color w:val="auto"/>
                      <w:sz w:val="21"/>
                      <w:szCs w:val="21"/>
                      <w:lang w:val="zh-CN"/>
                    </w:rPr>
                  </w:pPr>
                  <w:r>
                    <w:rPr>
                      <w:rFonts w:ascii="Times New Roman" w:hAnsi="Times New Roman" w:eastAsia="宋体"/>
                      <w:b/>
                      <w:bCs/>
                      <w:color w:val="auto"/>
                      <w:sz w:val="21"/>
                      <w:szCs w:val="21"/>
                      <w:lang w:val="zh-CN"/>
                    </w:rPr>
                    <w:t>序号</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b/>
                      <w:bCs/>
                      <w:color w:val="auto"/>
                      <w:sz w:val="21"/>
                      <w:szCs w:val="21"/>
                      <w:lang w:val="zh-CN"/>
                    </w:rPr>
                  </w:pPr>
                  <w:r>
                    <w:rPr>
                      <w:rFonts w:ascii="Times New Roman" w:hAnsi="Times New Roman" w:eastAsia="宋体"/>
                      <w:b/>
                      <w:bCs/>
                      <w:color w:val="auto"/>
                      <w:sz w:val="21"/>
                      <w:szCs w:val="21"/>
                      <w:lang w:val="zh-CN"/>
                    </w:rPr>
                    <w:t>消毒环节</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b/>
                      <w:bCs/>
                      <w:color w:val="auto"/>
                      <w:sz w:val="21"/>
                      <w:szCs w:val="21"/>
                      <w:lang w:val="zh-CN"/>
                    </w:rPr>
                  </w:pPr>
                  <w:r>
                    <w:rPr>
                      <w:rFonts w:ascii="Times New Roman" w:hAnsi="Times New Roman" w:eastAsia="宋体"/>
                      <w:b/>
                      <w:bCs/>
                      <w:color w:val="auto"/>
                      <w:sz w:val="21"/>
                      <w:szCs w:val="21"/>
                      <w:lang w:val="zh-CN"/>
                    </w:rPr>
                    <w:t>消毒方式</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b/>
                      <w:bCs/>
                      <w:color w:val="auto"/>
                      <w:sz w:val="21"/>
                      <w:szCs w:val="21"/>
                      <w:lang w:val="zh-CN"/>
                    </w:rPr>
                  </w:pPr>
                  <w:r>
                    <w:rPr>
                      <w:rFonts w:ascii="Times New Roman" w:hAnsi="Times New Roman" w:eastAsia="宋体"/>
                      <w:b/>
                      <w:bCs/>
                      <w:color w:val="auto"/>
                      <w:sz w:val="21"/>
                      <w:szCs w:val="21"/>
                      <w:lang w:val="zh-CN"/>
                    </w:rPr>
                    <w:t>消毒周期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医用器械消毒</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压力蒸汽灭菌器</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hint="eastAsia" w:ascii="Times New Roman" w:hAnsi="Times New Roman" w:eastAsia="宋体"/>
                      <w:color w:val="auto"/>
                      <w:sz w:val="21"/>
                      <w:szCs w:val="21"/>
                    </w:rPr>
                    <w:t>1次/</w:t>
                  </w:r>
                  <w:r>
                    <w:rPr>
                      <w:rFonts w:hint="eastAsia" w:ascii="Times New Roman" w:hAnsi="Times New Roman" w:eastAsia="宋体"/>
                      <w:color w:val="auto"/>
                      <w:sz w:val="21"/>
                      <w:szCs w:val="21"/>
                      <w:lang w:val="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通风系统</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紫外线及空气消毒机</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hint="eastAsia" w:ascii="Times New Roman" w:hAnsi="Times New Roman" w:eastAsia="宋体"/>
                      <w:color w:val="auto"/>
                      <w:sz w:val="21"/>
                      <w:szCs w:val="21"/>
                      <w:lang w:val="zh-CN"/>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污水处理站</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次氯酸钠</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医务人员</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hint="eastAsia" w:ascii="Times New Roman" w:hAnsi="Times New Roman" w:eastAsia="宋体"/>
                      <w:color w:val="auto"/>
                      <w:sz w:val="21"/>
                      <w:szCs w:val="21"/>
                    </w:rPr>
                    <w:t>速干手消毒液</w:t>
                  </w:r>
                  <w:r>
                    <w:rPr>
                      <w:rFonts w:hint="eastAsia" w:ascii="Times New Roman" w:hAnsi="Times New Roman" w:eastAsia="宋体"/>
                      <w:color w:val="auto"/>
                      <w:sz w:val="21"/>
                      <w:szCs w:val="21"/>
                      <w:lang w:val="zh-CN"/>
                    </w:rPr>
                    <w:t>、医用酒精</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n次/天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地面</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84消毒液</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6</w:t>
                  </w:r>
                </w:p>
              </w:tc>
              <w:tc>
                <w:tcPr>
                  <w:tcW w:w="18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病房</w:t>
                  </w:r>
                </w:p>
              </w:tc>
              <w:tc>
                <w:tcPr>
                  <w:tcW w:w="1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紫外线</w:t>
                  </w:r>
                </w:p>
              </w:tc>
              <w:tc>
                <w:tcPr>
                  <w:tcW w:w="10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lang w:val="zh-CN"/>
                    </w:rPr>
                  </w:pPr>
                  <w:r>
                    <w:rPr>
                      <w:rFonts w:ascii="Times New Roman" w:hAnsi="Times New Roman" w:eastAsia="宋体"/>
                      <w:color w:val="auto"/>
                      <w:sz w:val="21"/>
                      <w:szCs w:val="21"/>
                      <w:lang w:val="zh-CN"/>
                    </w:rPr>
                    <w:t>1次/天</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24"/>
              </w:rPr>
            </w:pPr>
            <w:r>
              <w:rPr>
                <w:rFonts w:hint="eastAsia"/>
                <w:b/>
                <w:bCs/>
                <w:color w:val="auto"/>
                <w:sz w:val="24"/>
              </w:rPr>
              <w:t>6</w:t>
            </w:r>
            <w:r>
              <w:rPr>
                <w:b/>
                <w:bCs/>
                <w:color w:val="auto"/>
                <w:sz w:val="24"/>
              </w:rPr>
              <w:t>、项目平面布置合理性分析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（1）</w:t>
            </w:r>
            <w:r>
              <w:rPr>
                <w:color w:val="auto"/>
                <w:sz w:val="24"/>
              </w:rPr>
              <w:t>总体平面布置合理性分析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项目主体为一栋建筑面积4602m</w:t>
            </w:r>
            <w:r>
              <w:rPr>
                <w:rFonts w:hint="eastAsia"/>
                <w:color w:val="auto"/>
                <w:sz w:val="24"/>
                <w:vertAlign w:val="superscript"/>
              </w:rPr>
              <w:t>2</w:t>
            </w:r>
            <w:r>
              <w:rPr>
                <w:rFonts w:hint="eastAsia"/>
                <w:color w:val="auto"/>
                <w:sz w:val="24"/>
              </w:rPr>
              <w:t>的4层急救大楼，项目平面</w:t>
            </w:r>
            <w:r>
              <w:rPr>
                <w:color w:val="auto"/>
                <w:sz w:val="24"/>
              </w:rPr>
              <w:t>布置力求功能分区明确，洁污路线分流，尽量避免交叉感染。</w:t>
            </w:r>
            <w:r>
              <w:rPr>
                <w:rFonts w:hint="eastAsia"/>
                <w:color w:val="auto"/>
                <w:sz w:val="24"/>
              </w:rPr>
              <w:t>项目共设七个出入口，肠道门诊出入口设于急救大楼北侧，发热门诊和预防接种室出入口设于南侧正门左右两侧靠近墙角的位置，同时发热门诊、肠道门诊、预防接种室靠近东西两侧的副出入口。急救大楼设计医梯和污梯分离，医梯位于东侧上下楼梯旁，污梯位于西侧上下楼梯旁，项目每层医废间设计在西边卫生间处，医疗废物暂存间位于项目西北角，靠近污梯，项目产生的医疗废物由医废间经污梯运至一层，再由西侧出口运至医废暂存间，污物运输通道短捷畅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项目</w:t>
            </w:r>
            <w:r>
              <w:rPr>
                <w:color w:val="auto"/>
                <w:sz w:val="24"/>
              </w:rPr>
              <w:t>总</w:t>
            </w:r>
            <w:r>
              <w:rPr>
                <w:rFonts w:hint="eastAsia"/>
                <w:color w:val="auto"/>
                <w:sz w:val="24"/>
              </w:rPr>
              <w:t>体</w:t>
            </w:r>
            <w:r>
              <w:rPr>
                <w:color w:val="auto"/>
                <w:sz w:val="24"/>
              </w:rPr>
              <w:t>布局功能分区基本合理，</w:t>
            </w:r>
            <w:r>
              <w:rPr>
                <w:rFonts w:hint="eastAsia"/>
                <w:color w:val="auto"/>
                <w:sz w:val="24"/>
              </w:rPr>
              <w:t>有</w:t>
            </w:r>
            <w:r>
              <w:rPr>
                <w:color w:val="auto"/>
                <w:sz w:val="24"/>
              </w:rPr>
              <w:t>利于病人就诊，方便管理。项目总体采用集中式布局方式，医疗流程短捷，从功能上安排了发热门诊和肠道门诊的接诊通道</w:t>
            </w:r>
            <w:r>
              <w:rPr>
                <w:rFonts w:hint="eastAsia"/>
                <w:color w:val="auto"/>
                <w:sz w:val="24"/>
              </w:rPr>
              <w:t>，设置了处置室和隔离观察区，X射线室设置在地下一层。</w:t>
            </w:r>
            <w:r>
              <w:rPr>
                <w:color w:val="auto"/>
                <w:sz w:val="24"/>
              </w:rPr>
              <w:t>各科室</w:t>
            </w:r>
            <w:r>
              <w:rPr>
                <w:rFonts w:hint="eastAsia"/>
                <w:color w:val="auto"/>
                <w:sz w:val="24"/>
              </w:rPr>
              <w:t>间</w:t>
            </w:r>
            <w:r>
              <w:rPr>
                <w:color w:val="auto"/>
                <w:sz w:val="24"/>
              </w:rPr>
              <w:t>根据相互功能关系，予以合理安排，实现临近科室相邻布置，可较好地满足现代医疗功能的需求</w:t>
            </w:r>
            <w:r>
              <w:rPr>
                <w:rFonts w:hint="eastAsia"/>
                <w:color w:val="auto"/>
                <w:sz w:val="24"/>
              </w:rPr>
              <w:t>，项目</w:t>
            </w:r>
            <w:r>
              <w:rPr>
                <w:color w:val="auto"/>
                <w:sz w:val="24"/>
              </w:rPr>
              <w:t>楼层设置满足了病人就医需要，避免了各病区的相互干扰，同时也按病区分类原则将其相互分开，符合现代化医院功能分区要求。</w:t>
            </w:r>
            <w:r>
              <w:rPr>
                <w:rFonts w:hint="eastAsia"/>
                <w:color w:val="auto"/>
                <w:sz w:val="24"/>
              </w:rPr>
              <w:t>项目</w:t>
            </w:r>
            <w:r>
              <w:rPr>
                <w:color w:val="auto"/>
                <w:sz w:val="24"/>
              </w:rPr>
              <w:t>充分重视环保节能设计，主要医疗用房为南北朝向，大部分用房均有外窗，一般情况下，可自然采光通风</w:t>
            </w:r>
            <w:r>
              <w:rPr>
                <w:rFonts w:hint="eastAsia"/>
                <w:color w:val="auto"/>
                <w:sz w:val="24"/>
              </w:rPr>
              <w:t>，</w:t>
            </w:r>
            <w:r>
              <w:rPr>
                <w:color w:val="auto"/>
                <w:sz w:val="24"/>
              </w:rPr>
              <w:t>不仅</w:t>
            </w:r>
            <w:r>
              <w:rPr>
                <w:rFonts w:hint="eastAsia"/>
                <w:color w:val="auto"/>
                <w:sz w:val="24"/>
              </w:rPr>
              <w:t>能</w:t>
            </w:r>
            <w:r>
              <w:rPr>
                <w:color w:val="auto"/>
                <w:sz w:val="24"/>
              </w:rPr>
              <w:t>有效地控制医院的交叉感染，</w:t>
            </w:r>
            <w:r>
              <w:rPr>
                <w:rFonts w:hint="eastAsia"/>
                <w:color w:val="auto"/>
                <w:sz w:val="24"/>
              </w:rPr>
              <w:t>还能节约用电，</w:t>
            </w:r>
            <w:r>
              <w:rPr>
                <w:color w:val="auto"/>
                <w:sz w:val="24"/>
              </w:rPr>
              <w:t>降低医院的运行成本。</w:t>
            </w:r>
          </w:p>
          <w:p>
            <w:pPr>
              <w:keepNext w:val="0"/>
              <w:keepLines w:val="0"/>
              <w:pageBreakBefore w:val="0"/>
              <w:widowControl w:val="0"/>
              <w:tabs>
                <w:tab w:val="left" w:pos="6090"/>
              </w:tabs>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szCs w:val="21"/>
              </w:rPr>
              <w:t>综上，</w:t>
            </w:r>
            <w:r>
              <w:rPr>
                <w:color w:val="auto"/>
                <w:sz w:val="24"/>
                <w:szCs w:val="21"/>
              </w:rPr>
              <w:t>项目院区平面布置从环保角度考虑了设施布置情况，尽量避免了各设施之间相互影响的可能，较为合理。</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（2）</w:t>
            </w:r>
            <w:r>
              <w:rPr>
                <w:color w:val="auto"/>
                <w:sz w:val="24"/>
              </w:rPr>
              <w:t>环保设施布置合理性分析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①</w:t>
            </w:r>
            <w:r>
              <w:rPr>
                <w:color w:val="auto"/>
                <w:sz w:val="24"/>
              </w:rPr>
              <w:t>医院污水处理站布置的合理性</w:t>
            </w:r>
          </w:p>
          <w:p>
            <w:pPr>
              <w:pStyle w:val="47"/>
              <w:keepNext w:val="0"/>
              <w:keepLines w:val="0"/>
              <w:pageBreakBefore w:val="0"/>
              <w:widowControl w:val="0"/>
              <w:kinsoku/>
              <w:wordWrap/>
              <w:overflowPunct/>
              <w:topLinePunct w:val="0"/>
              <w:autoSpaceDE/>
              <w:autoSpaceDN/>
              <w:bidi w:val="0"/>
              <w:adjustRightInd/>
              <w:snapToGrid/>
              <w:textAlignment w:val="auto"/>
              <w:rPr>
                <w:rFonts w:cs="Times New Roman"/>
                <w:color w:val="auto"/>
                <w:sz w:val="24"/>
                <w:szCs w:val="21"/>
              </w:rPr>
            </w:pPr>
            <w:r>
              <w:rPr>
                <w:color w:val="auto"/>
                <w:sz w:val="24"/>
              </w:rPr>
              <w:t>项目医院污水处理站</w:t>
            </w:r>
            <w:r>
              <w:rPr>
                <w:rFonts w:hint="eastAsia"/>
                <w:color w:val="auto"/>
                <w:sz w:val="24"/>
              </w:rPr>
              <w:t>为地埋式，</w:t>
            </w:r>
            <w:r>
              <w:rPr>
                <w:color w:val="auto"/>
                <w:sz w:val="24"/>
              </w:rPr>
              <w:t>拟布置在院区</w:t>
            </w:r>
            <w:r>
              <w:rPr>
                <w:rFonts w:hint="eastAsia"/>
                <w:color w:val="auto"/>
                <w:sz w:val="24"/>
              </w:rPr>
              <w:t>院内西南侧</w:t>
            </w:r>
            <w:r>
              <w:rPr>
                <w:color w:val="auto"/>
                <w:sz w:val="24"/>
              </w:rPr>
              <w:t>，设置专用的污水处理站区域，废水设施各构筑物</w:t>
            </w:r>
            <w:r>
              <w:rPr>
                <w:rFonts w:hint="eastAsia"/>
                <w:color w:val="auto"/>
                <w:sz w:val="24"/>
              </w:rPr>
              <w:t>密闭</w:t>
            </w:r>
            <w:r>
              <w:rPr>
                <w:color w:val="auto"/>
                <w:sz w:val="24"/>
              </w:rPr>
              <w:t>，</w:t>
            </w:r>
            <w:r>
              <w:rPr>
                <w:rFonts w:cs="Times New Roman"/>
                <w:color w:val="auto"/>
                <w:sz w:val="24"/>
                <w:szCs w:val="21"/>
              </w:rPr>
              <w:t>项目医院污水处理站的布置与《医院污水处理技术指南》</w:t>
            </w:r>
            <w:r>
              <w:rPr>
                <w:rFonts w:hint="eastAsia" w:cs="Times New Roman"/>
                <w:color w:val="auto"/>
                <w:sz w:val="24"/>
                <w:szCs w:val="21"/>
                <w:lang w:eastAsia="zh-CN"/>
              </w:rPr>
              <w:t>（</w:t>
            </w:r>
            <w:r>
              <w:rPr>
                <w:rFonts w:cs="Times New Roman"/>
                <w:color w:val="auto"/>
                <w:sz w:val="24"/>
                <w:szCs w:val="21"/>
              </w:rPr>
              <w:t>环发[2003]197号</w:t>
            </w:r>
            <w:r>
              <w:rPr>
                <w:rFonts w:hint="eastAsia" w:cs="Times New Roman"/>
                <w:color w:val="auto"/>
                <w:sz w:val="24"/>
                <w:szCs w:val="21"/>
                <w:lang w:eastAsia="zh-CN"/>
              </w:rPr>
              <w:t>）</w:t>
            </w:r>
            <w:r>
              <w:rPr>
                <w:rFonts w:cs="Times New Roman"/>
                <w:color w:val="auto"/>
                <w:sz w:val="24"/>
                <w:szCs w:val="21"/>
              </w:rPr>
              <w:t>、《医</w:t>
            </w:r>
            <w:r>
              <w:rPr>
                <w:rFonts w:hint="eastAsia" w:cs="Times New Roman"/>
                <w:color w:val="auto"/>
                <w:sz w:val="24"/>
                <w:szCs w:val="21"/>
              </w:rPr>
              <w:t>院</w:t>
            </w:r>
            <w:r>
              <w:rPr>
                <w:rFonts w:cs="Times New Roman"/>
                <w:color w:val="auto"/>
                <w:sz w:val="24"/>
                <w:szCs w:val="21"/>
              </w:rPr>
              <w:t>污水处理工程技术规范》(HJ2029-2013)</w:t>
            </w:r>
            <w:r>
              <w:rPr>
                <w:rFonts w:hint="eastAsia" w:cs="Times New Roman"/>
                <w:color w:val="auto"/>
                <w:sz w:val="24"/>
                <w:szCs w:val="21"/>
              </w:rPr>
              <w:t>、《医疗机构污水处理工程技术标准》（GB459-2024）</w:t>
            </w:r>
            <w:r>
              <w:rPr>
                <w:rFonts w:cs="Times New Roman"/>
                <w:color w:val="auto"/>
                <w:sz w:val="24"/>
                <w:szCs w:val="21"/>
              </w:rPr>
              <w:t>中相关要求的符合性分析见表</w:t>
            </w:r>
            <w:r>
              <w:rPr>
                <w:rFonts w:hint="eastAsia" w:cs="Times New Roman"/>
                <w:color w:val="auto"/>
                <w:sz w:val="24"/>
                <w:szCs w:val="21"/>
              </w:rPr>
              <w:t>2</w:t>
            </w:r>
            <w:r>
              <w:rPr>
                <w:rFonts w:cs="Times New Roman"/>
                <w:color w:val="auto"/>
                <w:sz w:val="24"/>
                <w:szCs w:val="21"/>
              </w:rPr>
              <w:t>-</w:t>
            </w:r>
            <w:r>
              <w:rPr>
                <w:rFonts w:hint="eastAsia" w:cs="Times New Roman"/>
                <w:color w:val="auto"/>
                <w:sz w:val="24"/>
                <w:szCs w:val="21"/>
                <w:lang w:val="en-US" w:eastAsia="zh-CN"/>
              </w:rPr>
              <w:t>6</w:t>
            </w:r>
            <w:r>
              <w:rPr>
                <w:rFonts w:cs="Times New Roman"/>
                <w:color w:val="auto"/>
                <w:sz w:val="24"/>
                <w:szCs w:val="21"/>
              </w:rPr>
              <w:t>。</w:t>
            </w:r>
          </w:p>
          <w:p>
            <w:pPr>
              <w:pStyle w:val="43"/>
              <w:ind w:firstLine="421" w:firstLineChars="200"/>
              <w:rPr>
                <w:color w:val="auto"/>
              </w:rPr>
            </w:pPr>
            <w:r>
              <w:rPr>
                <w:color w:val="auto"/>
              </w:rPr>
              <w:t>表</w:t>
            </w:r>
            <w:r>
              <w:rPr>
                <w:rFonts w:hint="eastAsia"/>
                <w:color w:val="auto"/>
                <w:lang w:val="en-US"/>
              </w:rPr>
              <w:t>2-6</w:t>
            </w:r>
            <w:r>
              <w:rPr>
                <w:rFonts w:hint="eastAsia"/>
                <w:color w:val="auto"/>
                <w:lang w:val="en-US" w:eastAsia="zh-CN"/>
              </w:rPr>
              <w:t xml:space="preserve"> </w:t>
            </w:r>
            <w:r>
              <w:rPr>
                <w:color w:val="auto"/>
              </w:rPr>
              <w:t>医院污水处理站布置与相关要求对比表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556"/>
              <w:gridCol w:w="2182"/>
              <w:gridCol w:w="5072"/>
              <w:gridCol w:w="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lang w:val="en-US"/>
                    </w:rPr>
                  </w:pPr>
                  <w:r>
                    <w:rPr>
                      <w:rFonts w:ascii="Times New Roman" w:hAnsi="Times New Roman" w:eastAsia="宋体"/>
                      <w:color w:val="auto"/>
                      <w:sz w:val="21"/>
                      <w:lang w:val="en-US"/>
                    </w:rPr>
                    <w:t>序号</w:t>
                  </w:r>
                </w:p>
              </w:tc>
              <w:tc>
                <w:tcPr>
                  <w:tcW w:w="130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lang w:val="en-US"/>
                    </w:rPr>
                  </w:pPr>
                  <w:r>
                    <w:rPr>
                      <w:rFonts w:ascii="Times New Roman" w:hAnsi="Times New Roman" w:eastAsia="宋体"/>
                      <w:color w:val="auto"/>
                      <w:sz w:val="21"/>
                      <w:lang w:val="en-US"/>
                    </w:rPr>
                    <w:t>医院污水处理站布置相关要求</w:t>
                  </w:r>
                </w:p>
              </w:tc>
              <w:tc>
                <w:tcPr>
                  <w:tcW w:w="3022"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lang w:val="en-US"/>
                    </w:rPr>
                  </w:pPr>
                  <w:r>
                    <w:rPr>
                      <w:rFonts w:ascii="Times New Roman" w:hAnsi="Times New Roman" w:eastAsia="宋体"/>
                      <w:color w:val="auto"/>
                      <w:sz w:val="21"/>
                      <w:lang w:val="en-US"/>
                    </w:rPr>
                    <w:t>医院污水处理站布置情况</w:t>
                  </w:r>
                </w:p>
              </w:tc>
              <w:tc>
                <w:tcPr>
                  <w:tcW w:w="344"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lang w:val="en-US"/>
                    </w:rPr>
                  </w:pPr>
                  <w:r>
                    <w:rPr>
                      <w:rFonts w:ascii="Times New Roman" w:hAnsi="Times New Roman" w:eastAsia="宋体"/>
                      <w:color w:val="auto"/>
                      <w:sz w:val="21"/>
                      <w:lang w:val="en-US"/>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5000" w:type="pct"/>
                  <w:gridSpan w:val="4"/>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一、与《医院污水处理技术指南》中对医院污水处理站布置相关要求的一致性分析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2.1</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位置宜设在医院建筑物当地夏季主导风向的下风向。</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庐山市温泉镇夏季主导风向为东南风，项目废水设施设于院区西南侧，位于夏季主导风向（东南风）的下风向</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基本符合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2.2</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应与病房、居民区等建筑物保持一定的距离，应设绿化防护带或隔离带。</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独立设置，与</w:t>
                  </w:r>
                  <w:r>
                    <w:rPr>
                      <w:rFonts w:hint="eastAsia" w:ascii="Times New Roman" w:hAnsi="Times New Roman" w:eastAsia="宋体"/>
                      <w:color w:val="auto"/>
                      <w:sz w:val="21"/>
                    </w:rPr>
                    <w:t>周边</w:t>
                  </w:r>
                  <w:r>
                    <w:rPr>
                      <w:rFonts w:ascii="Times New Roman" w:hAnsi="Times New Roman" w:eastAsia="宋体"/>
                      <w:color w:val="auto"/>
                      <w:sz w:val="21"/>
                    </w:rPr>
                    <w:t>最近</w:t>
                  </w:r>
                  <w:r>
                    <w:rPr>
                      <w:rFonts w:hint="eastAsia" w:ascii="Times New Roman" w:hAnsi="Times New Roman" w:eastAsia="宋体"/>
                      <w:color w:val="auto"/>
                      <w:sz w:val="21"/>
                    </w:rPr>
                    <w:t>构筑物</w:t>
                  </w:r>
                  <w:r>
                    <w:rPr>
                      <w:rFonts w:ascii="Times New Roman" w:hAnsi="Times New Roman" w:eastAsia="宋体"/>
                      <w:color w:val="auto"/>
                      <w:sz w:val="21"/>
                    </w:rPr>
                    <w:t>距离为</w:t>
                  </w:r>
                  <w:r>
                    <w:rPr>
                      <w:rFonts w:hint="eastAsia" w:ascii="Times New Roman" w:hAnsi="Times New Roman" w:eastAsia="宋体"/>
                      <w:color w:val="auto"/>
                      <w:sz w:val="21"/>
                    </w:rPr>
                    <w:t>20</w:t>
                  </w:r>
                  <w:r>
                    <w:rPr>
                      <w:rFonts w:ascii="Times New Roman" w:hAnsi="Times New Roman" w:eastAsia="宋体"/>
                      <w:color w:val="auto"/>
                      <w:sz w:val="21"/>
                    </w:rPr>
                    <w:t>m，与项目最近</w:t>
                  </w:r>
                  <w:r>
                    <w:rPr>
                      <w:rFonts w:hint="eastAsia" w:ascii="Times New Roman" w:hAnsi="Times New Roman" w:eastAsia="宋体"/>
                      <w:color w:val="auto"/>
                      <w:sz w:val="21"/>
                    </w:rPr>
                    <w:t>的隘口村居民</w:t>
                  </w:r>
                  <w:r>
                    <w:rPr>
                      <w:rFonts w:ascii="Times New Roman" w:hAnsi="Times New Roman" w:eastAsia="宋体"/>
                      <w:color w:val="auto"/>
                      <w:sz w:val="21"/>
                    </w:rPr>
                    <w:t>相距</w:t>
                  </w:r>
                  <w:r>
                    <w:rPr>
                      <w:rFonts w:hint="eastAsia" w:ascii="Times New Roman" w:hAnsi="Times New Roman" w:eastAsia="宋体"/>
                      <w:color w:val="auto"/>
                      <w:sz w:val="21"/>
                    </w:rPr>
                    <w:t>约130</w:t>
                  </w:r>
                  <w:r>
                    <w:rPr>
                      <w:rFonts w:ascii="Times New Roman" w:hAnsi="Times New Roman" w:eastAsia="宋体"/>
                      <w:color w:val="auto"/>
                      <w:sz w:val="21"/>
                    </w:rPr>
                    <w:t>m</w:t>
                  </w:r>
                  <w:r>
                    <w:rPr>
                      <w:rFonts w:hint="eastAsia" w:ascii="Times New Roman" w:hAnsi="Times New Roman" w:eastAsia="宋体"/>
                      <w:color w:val="auto"/>
                      <w:sz w:val="21"/>
                    </w:rPr>
                    <w:t>，</w:t>
                  </w:r>
                  <w:r>
                    <w:rPr>
                      <w:rFonts w:ascii="Times New Roman" w:hAnsi="Times New Roman" w:eastAsia="宋体"/>
                      <w:color w:val="auto"/>
                      <w:sz w:val="21"/>
                    </w:rPr>
                    <w:t>本项目污水构筑物</w:t>
                  </w:r>
                  <w:r>
                    <w:rPr>
                      <w:rFonts w:hint="eastAsia" w:ascii="Times New Roman" w:hAnsi="Times New Roman" w:eastAsia="宋体"/>
                      <w:color w:val="auto"/>
                      <w:sz w:val="21"/>
                    </w:rPr>
                    <w:t>采用地埋式一体化设备</w:t>
                  </w:r>
                  <w:r>
                    <w:rPr>
                      <w:rFonts w:ascii="Times New Roman" w:hAnsi="Times New Roman" w:eastAsia="宋体"/>
                      <w:color w:val="auto"/>
                      <w:sz w:val="21"/>
                    </w:rPr>
                    <w:t>，</w:t>
                  </w:r>
                  <w:r>
                    <w:rPr>
                      <w:rFonts w:hint="eastAsia" w:ascii="Times New Roman" w:hAnsi="Times New Roman" w:eastAsia="宋体"/>
                      <w:color w:val="auto"/>
                      <w:sz w:val="21"/>
                    </w:rPr>
                    <w:t>同时设草地绿化，</w:t>
                  </w:r>
                  <w:r>
                    <w:rPr>
                      <w:rFonts w:ascii="Times New Roman" w:hAnsi="Times New Roman" w:eastAsia="宋体"/>
                      <w:color w:val="auto"/>
                      <w:sz w:val="21"/>
                    </w:rPr>
                    <w:t>可取到有效的安全隔离效果</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2.3</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应设围墙或封闭设施，其高度不宜小于</w:t>
                  </w:r>
                  <w:r>
                    <w:rPr>
                      <w:rFonts w:ascii="Times New Roman" w:hAnsi="Times New Roman" w:eastAsia="宋体"/>
                      <w:color w:val="auto"/>
                      <w:sz w:val="21"/>
                    </w:rPr>
                    <w:t>2.5m</w:t>
                  </w:r>
                  <w:r>
                    <w:rPr>
                      <w:rFonts w:hint="eastAsia" w:ascii="Times New Roman" w:hAnsi="Times New Roman" w:eastAsia="宋体"/>
                      <w:color w:val="auto"/>
                      <w:sz w:val="21"/>
                    </w:rPr>
                    <w:t>。</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项目污水构筑物采用地埋式一体化处理设备，周边设有围栏</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2.4</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应有方便的交通、运输和水电条件；便于污水排放和污泥贮运。</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邻省道S212，交通条件较好，水电均可由市政接入；区域市政供水供电均正常；污水接入市政污水管网，水处理污泥消毒后委托资质单位处理</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5000" w:type="pct"/>
                  <w:gridSpan w:val="4"/>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二、与《医院污水处理工程技术规范》中对医院污水处理站布置相关要求的一致性分析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3.1</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位置宜设在医院主体建筑物当地夏季主导风向的下风向。</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庐山市温泉镇夏季主导风向为东南风，项目废水设施设于院区西南侧，位于夏季主导风向（东南风）的下风向</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基本符合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3.2</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应有便利的交通、运输和水电条件，便于污水排放和污泥贮运。</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邻省道S212，交通条件较好，水电均可由市政接入；区域市政供水供电均正常；污水接入市政污水管网，水处理污泥消毒后委托资质单位处理</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3.3</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应与病房、居民区等构筑物之间设置绿化防护带或隔离带，以减少臭气和噪声对病人或居民的干扰。</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独立设置，与</w:t>
                  </w:r>
                  <w:r>
                    <w:rPr>
                      <w:rFonts w:hint="eastAsia" w:ascii="Times New Roman" w:hAnsi="Times New Roman" w:eastAsia="宋体"/>
                      <w:color w:val="auto"/>
                      <w:sz w:val="21"/>
                    </w:rPr>
                    <w:t>周边</w:t>
                  </w:r>
                  <w:r>
                    <w:rPr>
                      <w:rFonts w:ascii="Times New Roman" w:hAnsi="Times New Roman" w:eastAsia="宋体"/>
                      <w:color w:val="auto"/>
                      <w:sz w:val="21"/>
                    </w:rPr>
                    <w:t>最近</w:t>
                  </w:r>
                  <w:r>
                    <w:rPr>
                      <w:rFonts w:hint="eastAsia" w:ascii="Times New Roman" w:hAnsi="Times New Roman" w:eastAsia="宋体"/>
                      <w:color w:val="auto"/>
                      <w:sz w:val="21"/>
                    </w:rPr>
                    <w:t>构筑物</w:t>
                  </w:r>
                  <w:r>
                    <w:rPr>
                      <w:rFonts w:ascii="Times New Roman" w:hAnsi="Times New Roman" w:eastAsia="宋体"/>
                      <w:color w:val="auto"/>
                      <w:sz w:val="21"/>
                    </w:rPr>
                    <w:t>距离为</w:t>
                  </w:r>
                  <w:r>
                    <w:rPr>
                      <w:rFonts w:hint="eastAsia" w:ascii="Times New Roman" w:hAnsi="Times New Roman" w:eastAsia="宋体"/>
                      <w:color w:val="auto"/>
                      <w:sz w:val="21"/>
                    </w:rPr>
                    <w:t>20</w:t>
                  </w:r>
                  <w:r>
                    <w:rPr>
                      <w:rFonts w:ascii="Times New Roman" w:hAnsi="Times New Roman" w:eastAsia="宋体"/>
                      <w:color w:val="auto"/>
                      <w:sz w:val="21"/>
                    </w:rPr>
                    <w:t>m</w:t>
                  </w:r>
                  <w:r>
                    <w:rPr>
                      <w:rFonts w:hint="eastAsia" w:ascii="Times New Roman" w:hAnsi="Times New Roman" w:eastAsia="宋体"/>
                      <w:color w:val="auto"/>
                      <w:sz w:val="21"/>
                    </w:rPr>
                    <w:t>，</w:t>
                  </w:r>
                  <w:r>
                    <w:rPr>
                      <w:rFonts w:ascii="Times New Roman" w:hAnsi="Times New Roman" w:eastAsia="宋体"/>
                      <w:color w:val="auto"/>
                      <w:sz w:val="21"/>
                    </w:rPr>
                    <w:t>与项目最近</w:t>
                  </w:r>
                  <w:r>
                    <w:rPr>
                      <w:rFonts w:hint="eastAsia" w:ascii="Times New Roman" w:hAnsi="Times New Roman" w:eastAsia="宋体"/>
                      <w:color w:val="auto"/>
                      <w:sz w:val="21"/>
                    </w:rPr>
                    <w:t>的隘口村居民</w:t>
                  </w:r>
                  <w:r>
                    <w:rPr>
                      <w:rFonts w:ascii="Times New Roman" w:hAnsi="Times New Roman" w:eastAsia="宋体"/>
                      <w:color w:val="auto"/>
                      <w:sz w:val="21"/>
                    </w:rPr>
                    <w:t>相距</w:t>
                  </w:r>
                  <w:r>
                    <w:rPr>
                      <w:rFonts w:hint="eastAsia" w:ascii="Times New Roman" w:hAnsi="Times New Roman" w:eastAsia="宋体"/>
                      <w:color w:val="auto"/>
                      <w:sz w:val="21"/>
                    </w:rPr>
                    <w:t>约130</w:t>
                  </w:r>
                  <w:r>
                    <w:rPr>
                      <w:rFonts w:ascii="Times New Roman" w:hAnsi="Times New Roman" w:eastAsia="宋体"/>
                      <w:color w:val="auto"/>
                      <w:sz w:val="21"/>
                    </w:rPr>
                    <w:t>m</w:t>
                  </w:r>
                  <w:r>
                    <w:rPr>
                      <w:rFonts w:hint="eastAsia" w:ascii="Times New Roman" w:hAnsi="Times New Roman" w:eastAsia="宋体"/>
                      <w:color w:val="auto"/>
                      <w:sz w:val="21"/>
                    </w:rPr>
                    <w:t>，</w:t>
                  </w:r>
                  <w:r>
                    <w:rPr>
                      <w:rFonts w:ascii="Times New Roman" w:hAnsi="Times New Roman" w:eastAsia="宋体"/>
                      <w:color w:val="auto"/>
                      <w:sz w:val="21"/>
                    </w:rPr>
                    <w:t>本项目污水构筑物</w:t>
                  </w:r>
                  <w:r>
                    <w:rPr>
                      <w:rFonts w:hint="eastAsia" w:ascii="Times New Roman" w:hAnsi="Times New Roman" w:eastAsia="宋体"/>
                      <w:color w:val="auto"/>
                      <w:sz w:val="21"/>
                    </w:rPr>
                    <w:t>采用地埋式一体化设备</w:t>
                  </w:r>
                  <w:r>
                    <w:rPr>
                      <w:rFonts w:ascii="Times New Roman" w:hAnsi="Times New Roman" w:eastAsia="宋体"/>
                      <w:color w:val="auto"/>
                      <w:sz w:val="21"/>
                    </w:rPr>
                    <w:t>，</w:t>
                  </w:r>
                  <w:r>
                    <w:rPr>
                      <w:rFonts w:hint="eastAsia" w:ascii="Times New Roman" w:hAnsi="Times New Roman" w:eastAsia="宋体"/>
                      <w:color w:val="auto"/>
                      <w:sz w:val="21"/>
                    </w:rPr>
                    <w:t>同时设草地绿化，</w:t>
                  </w:r>
                  <w:r>
                    <w:rPr>
                      <w:rFonts w:ascii="Times New Roman" w:hAnsi="Times New Roman" w:eastAsia="宋体"/>
                      <w:color w:val="auto"/>
                      <w:sz w:val="21"/>
                    </w:rPr>
                    <w:t>可取到有效的安全隔离效果</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5000" w:type="pct"/>
                  <w:gridSpan w:val="4"/>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三、与</w:t>
                  </w:r>
                  <w:r>
                    <w:rPr>
                      <w:rFonts w:hint="eastAsia" w:ascii="Times New Roman" w:hAnsi="Times New Roman" w:eastAsia="宋体"/>
                      <w:color w:val="auto"/>
                      <w:sz w:val="21"/>
                      <w:szCs w:val="21"/>
                    </w:rPr>
                    <w:t>《医疗机构污水处理工程技术标准》</w:t>
                  </w:r>
                  <w:r>
                    <w:rPr>
                      <w:rFonts w:hint="eastAsia" w:ascii="Times New Roman" w:hAnsi="Times New Roman" w:eastAsia="宋体"/>
                      <w:color w:val="auto"/>
                      <w:sz w:val="21"/>
                    </w:rPr>
                    <w:t>中对医院污水处理站布置相关要求的一致性分析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4.1</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新建医疗机构污水处理站应独立设置</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项目污水处理站独立设置，位于院内西南侧</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4.2</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非传染病医疗机构污水处理站与病房、居民区建筑物的距离不宜小于10m</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项目污水处理站与医院大楼距离为20m，距最近居民区隘口村130m</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4.3</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传染病医疗机构污水处理站与周边建筑的距离不应小于20m，并应有安全隔离措施</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项目不属于传染病医疗机构，不设传染病病房</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4.4</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污水处理站区域宜设置围栏，高度不宜小于2m</w:t>
                  </w:r>
                </w:p>
              </w:tc>
              <w:tc>
                <w:tcPr>
                  <w:tcW w:w="30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项目污水处理站位于院区西南角空地，周边有医院围栏，同时周边种植草地和树木</w:t>
                  </w:r>
                </w:p>
              </w:tc>
              <w:tc>
                <w:tcPr>
                  <w:tcW w:w="34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符合</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color w:val="auto"/>
                <w:sz w:val="24"/>
                <w:lang w:val="zh-CN"/>
              </w:rPr>
              <w:t>由上表可见，项目医院污水处理站位于</w:t>
            </w:r>
            <w:r>
              <w:rPr>
                <w:rFonts w:hint="eastAsia"/>
                <w:color w:val="auto"/>
                <w:sz w:val="24"/>
                <w:lang w:val="zh-CN"/>
              </w:rPr>
              <w:t>医院</w:t>
            </w:r>
            <w:r>
              <w:rPr>
                <w:rFonts w:hint="eastAsia"/>
                <w:color w:val="auto"/>
                <w:sz w:val="24"/>
              </w:rPr>
              <w:t>西南侧</w:t>
            </w:r>
            <w:r>
              <w:rPr>
                <w:color w:val="auto"/>
                <w:sz w:val="24"/>
                <w:lang w:val="zh-CN"/>
              </w:rPr>
              <w:t>，</w:t>
            </w:r>
            <w:r>
              <w:rPr>
                <w:rFonts w:hint="eastAsia"/>
                <w:color w:val="auto"/>
                <w:sz w:val="24"/>
              </w:rPr>
              <w:t>采取地埋式设计，周边种植草地绿化</w:t>
            </w:r>
            <w:r>
              <w:rPr>
                <w:color w:val="auto"/>
                <w:sz w:val="24"/>
                <w:lang w:val="zh-CN"/>
              </w:rPr>
              <w:t>，</w:t>
            </w:r>
            <w:r>
              <w:rPr>
                <w:rFonts w:hint="eastAsia"/>
                <w:color w:val="auto"/>
                <w:sz w:val="24"/>
              </w:rPr>
              <w:t>加药</w:t>
            </w:r>
            <w:r>
              <w:rPr>
                <w:color w:val="auto"/>
                <w:sz w:val="24"/>
                <w:lang w:val="zh-CN"/>
              </w:rPr>
              <w:t>间设置</w:t>
            </w:r>
            <w:r>
              <w:rPr>
                <w:rFonts w:hint="eastAsia"/>
                <w:color w:val="auto"/>
                <w:sz w:val="24"/>
              </w:rPr>
              <w:t>在地下一层</w:t>
            </w:r>
            <w:r>
              <w:rPr>
                <w:color w:val="auto"/>
                <w:sz w:val="24"/>
                <w:lang w:val="zh-CN"/>
              </w:rPr>
              <w:t>，可有效减少臭气和机械噪声对病人</w:t>
            </w:r>
            <w:r>
              <w:rPr>
                <w:rFonts w:hint="eastAsia"/>
                <w:color w:val="auto"/>
                <w:sz w:val="24"/>
              </w:rPr>
              <w:t>及周边</w:t>
            </w:r>
            <w:r>
              <w:rPr>
                <w:color w:val="auto"/>
                <w:sz w:val="24"/>
                <w:lang w:val="zh-CN"/>
              </w:rPr>
              <w:t>居民的干扰</w:t>
            </w:r>
            <w:r>
              <w:rPr>
                <w:rFonts w:hint="eastAsia"/>
                <w:color w:val="auto"/>
                <w:sz w:val="24"/>
                <w:lang w:val="zh-CN"/>
              </w:rPr>
              <w:t>，</w:t>
            </w:r>
            <w:r>
              <w:rPr>
                <w:color w:val="auto"/>
                <w:sz w:val="24"/>
                <w:lang w:val="zh-CN"/>
              </w:rPr>
              <w:t>项目医院污水处理站的布置符合《医院污水处理技术指南》（环发</w:t>
            </w:r>
            <w:r>
              <w:rPr>
                <w:rFonts w:hint="eastAsia"/>
                <w:color w:val="auto"/>
                <w:sz w:val="24"/>
                <w:lang w:val="zh-CN"/>
              </w:rPr>
              <w:t>〔</w:t>
            </w:r>
            <w:r>
              <w:rPr>
                <w:color w:val="auto"/>
                <w:sz w:val="24"/>
                <w:lang w:val="zh-CN"/>
              </w:rPr>
              <w:t>2003</w:t>
            </w:r>
            <w:r>
              <w:rPr>
                <w:rFonts w:hint="eastAsia"/>
                <w:color w:val="auto"/>
                <w:sz w:val="24"/>
                <w:lang w:val="zh-CN"/>
              </w:rPr>
              <w:t>〕</w:t>
            </w:r>
            <w:r>
              <w:rPr>
                <w:color w:val="auto"/>
                <w:sz w:val="24"/>
                <w:lang w:val="zh-CN"/>
              </w:rPr>
              <w:t>197号）、《医</w:t>
            </w:r>
            <w:r>
              <w:rPr>
                <w:rFonts w:hint="eastAsia"/>
                <w:color w:val="auto"/>
                <w:sz w:val="24"/>
              </w:rPr>
              <w:t>院</w:t>
            </w:r>
            <w:r>
              <w:rPr>
                <w:color w:val="auto"/>
                <w:sz w:val="24"/>
                <w:lang w:val="zh-CN"/>
              </w:rPr>
              <w:t>污水处理工程技术规范》</w:t>
            </w:r>
            <w:r>
              <w:rPr>
                <w:rFonts w:hint="eastAsia"/>
                <w:color w:val="auto"/>
                <w:sz w:val="24"/>
                <w:lang w:val="zh-CN"/>
              </w:rPr>
              <w:t>、</w:t>
            </w:r>
            <w:r>
              <w:rPr>
                <w:rFonts w:hint="eastAsia"/>
                <w:color w:val="auto"/>
                <w:sz w:val="24"/>
                <w:szCs w:val="21"/>
              </w:rPr>
              <w:t>《医疗机构污水处理工程技术标准》（GB459-2024）</w:t>
            </w:r>
            <w:r>
              <w:rPr>
                <w:color w:val="auto"/>
                <w:sz w:val="24"/>
                <w:lang w:val="zh-CN"/>
              </w:rPr>
              <w:t>的相关要求，布置合理。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rFonts w:hint="eastAsia"/>
                <w:color w:val="auto"/>
                <w:sz w:val="24"/>
                <w:lang w:val="zh-CN"/>
              </w:rPr>
              <w:t>②</w:t>
            </w:r>
            <w:r>
              <w:rPr>
                <w:color w:val="auto"/>
                <w:sz w:val="24"/>
                <w:lang w:val="zh-CN"/>
              </w:rPr>
              <w:t>医疗废物暂存间布置的合理性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color w:val="auto"/>
                <w:sz w:val="24"/>
                <w:lang w:val="zh-CN"/>
              </w:rPr>
              <w:t>根据《医疗废物管理条例》、《医疗卫生机构医疗废物管理办法》、《医疗废物集中处置技术规范》：医疗废物暂存场所应当与医疗区、食品加工区和人员活动区、生活垃圾存放场所等隔开，并设置明显的警示标识和防渗漏、防鼠、防蚊蝇、防蟑螂、防盗以及预防儿童接触等安全措施，方便医疗废物的装卸、装卸人员及运送车辆的出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color w:val="auto"/>
                <w:sz w:val="24"/>
                <w:lang w:val="zh-CN"/>
              </w:rPr>
              <w:t>项目医疗废物暂存间位于</w:t>
            </w:r>
            <w:r>
              <w:rPr>
                <w:rFonts w:hint="eastAsia"/>
                <w:color w:val="auto"/>
                <w:sz w:val="24"/>
              </w:rPr>
              <w:t>项目西北角</w:t>
            </w:r>
            <w:r>
              <w:rPr>
                <w:color w:val="auto"/>
                <w:sz w:val="24"/>
                <w:lang w:val="zh-CN"/>
              </w:rPr>
              <w:t>，既与门诊科室、病房等保持了一定的距离，又方便医疗废物的装卸、装卸人员及运送车辆的出入，通过规范化设置和加强管理，可以避免医疗废物暂存过程中发生污染，因此，项目医疗废物暂存间的布置合理。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rFonts w:hint="eastAsia"/>
                <w:color w:val="auto"/>
                <w:sz w:val="24"/>
                <w:lang w:val="zh-CN"/>
              </w:rPr>
              <w:t>③</w:t>
            </w:r>
            <w:r>
              <w:rPr>
                <w:color w:val="auto"/>
                <w:sz w:val="24"/>
                <w:lang w:val="zh-CN"/>
              </w:rPr>
              <w:t>设备噪声排放源布置的合理性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color w:val="auto"/>
                <w:sz w:val="24"/>
                <w:lang w:val="zh-CN"/>
              </w:rPr>
              <w:t>项目主要噪声设备为空调机组、污水处理站的污水泵等。室外空调机组布置在</w:t>
            </w:r>
            <w:r>
              <w:rPr>
                <w:rFonts w:hint="eastAsia"/>
                <w:color w:val="auto"/>
                <w:sz w:val="24"/>
              </w:rPr>
              <w:t>各楼层</w:t>
            </w:r>
            <w:r>
              <w:rPr>
                <w:color w:val="auto"/>
                <w:sz w:val="24"/>
                <w:lang w:val="zh-CN"/>
              </w:rPr>
              <w:t>外立面；污水泵</w:t>
            </w:r>
            <w:r>
              <w:rPr>
                <w:rFonts w:hint="eastAsia"/>
                <w:color w:val="auto"/>
                <w:sz w:val="24"/>
              </w:rPr>
              <w:t>等设备放置在地下一层的水处理设备间，能有效降低噪声对环境的影响，</w:t>
            </w:r>
            <w:r>
              <w:rPr>
                <w:color w:val="auto"/>
                <w:sz w:val="24"/>
                <w:lang w:val="zh-CN"/>
              </w:rPr>
              <w:t>在落实隔声、降噪的措施后，项目设备噪声对项目室内声环境及邻近居民的影响</w:t>
            </w:r>
            <w:r>
              <w:rPr>
                <w:rFonts w:hint="eastAsia"/>
                <w:color w:val="auto"/>
                <w:sz w:val="24"/>
              </w:rPr>
              <w:t>较</w:t>
            </w:r>
            <w:r>
              <w:rPr>
                <w:color w:val="auto"/>
                <w:sz w:val="24"/>
                <w:lang w:val="zh-CN"/>
              </w:rPr>
              <w:t>小，项目设备噪声排放源布置基本合理。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rFonts w:hint="eastAsia"/>
                <w:color w:val="auto"/>
                <w:sz w:val="24"/>
                <w:lang w:val="zh-CN"/>
              </w:rPr>
              <w:t>④</w:t>
            </w:r>
            <w:r>
              <w:rPr>
                <w:color w:val="auto"/>
                <w:sz w:val="24"/>
                <w:lang w:val="zh-CN"/>
              </w:rPr>
              <w:t>废气排放源布置的合理性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color w:val="auto"/>
                <w:sz w:val="24"/>
                <w:lang w:val="zh-CN"/>
              </w:rPr>
              <w:t>项目医院污水</w:t>
            </w:r>
            <w:r>
              <w:rPr>
                <w:rFonts w:hint="eastAsia"/>
                <w:color w:val="auto"/>
                <w:sz w:val="24"/>
              </w:rPr>
              <w:t>处理设施采用地埋式一体化设备，各处理构筑物密闭</w:t>
            </w:r>
            <w:r>
              <w:rPr>
                <w:color w:val="auto"/>
                <w:sz w:val="24"/>
                <w:lang w:val="zh-CN"/>
              </w:rPr>
              <w:t>，</w:t>
            </w:r>
            <w:r>
              <w:rPr>
                <w:rFonts w:hint="eastAsia"/>
                <w:color w:val="auto"/>
                <w:sz w:val="24"/>
              </w:rPr>
              <w:t>同时周边种植绿化</w:t>
            </w:r>
            <w:r>
              <w:rPr>
                <w:color w:val="auto"/>
                <w:sz w:val="24"/>
                <w:lang w:val="zh-CN"/>
              </w:rPr>
              <w:t>，具有隔离效果</w:t>
            </w:r>
            <w:r>
              <w:rPr>
                <w:rFonts w:hint="eastAsia"/>
                <w:color w:val="auto"/>
                <w:sz w:val="24"/>
                <w:lang w:val="zh-CN"/>
              </w:rPr>
              <w:t>，</w:t>
            </w:r>
            <w:r>
              <w:rPr>
                <w:color w:val="auto"/>
                <w:sz w:val="24"/>
                <w:lang w:val="zh-CN"/>
              </w:rPr>
              <w:t>布置基本合理。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综上所述，项目建筑布局紧凑，交通便捷，管理方便；对废弃物的处理作出妥善的安排，符合有关环境保护法令、法规规定的医院污水处理站、医疗废物暂存间等环保设施的要求，布局基本合理。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7" w:type="dxa"/>
            <w:tcBorders>
              <w:tl2br w:val="nil"/>
              <w:tr2bl w:val="nil"/>
            </w:tcBorders>
            <w:vAlign w:val="center"/>
          </w:tcPr>
          <w:p>
            <w:pPr>
              <w:jc w:val="center"/>
              <w:rPr>
                <w:b/>
                <w:color w:val="auto"/>
                <w:sz w:val="24"/>
              </w:rPr>
            </w:pPr>
            <w:r>
              <w:rPr>
                <w:rFonts w:hint="eastAsia"/>
                <w:b/>
                <w:bCs/>
                <w:color w:val="auto"/>
                <w:sz w:val="24"/>
              </w:rPr>
              <w:t>工艺流程和产排污环节</w:t>
            </w:r>
          </w:p>
        </w:tc>
        <w:tc>
          <w:tcPr>
            <w:tcW w:w="7595" w:type="dxa"/>
            <w:tcBorders>
              <w:tl2br w:val="nil"/>
              <w:tr2bl w:val="nil"/>
            </w:tcBorders>
          </w:tcPr>
          <w:p>
            <w:pPr>
              <w:keepNext/>
              <w:keepLines/>
              <w:pageBreakBefore w:val="0"/>
              <w:widowControl w:val="0"/>
              <w:kinsoku/>
              <w:wordWrap/>
              <w:overflowPunct/>
              <w:topLinePunct w:val="0"/>
              <w:autoSpaceDE/>
              <w:autoSpaceDN/>
              <w:bidi w:val="0"/>
              <w:adjustRightInd w:val="0"/>
              <w:snapToGrid/>
              <w:spacing w:line="360" w:lineRule="auto"/>
              <w:ind w:firstLine="481" w:firstLineChars="200"/>
              <w:textAlignment w:val="auto"/>
              <w:rPr>
                <w:color w:val="auto"/>
                <w:sz w:val="24"/>
                <w:szCs w:val="28"/>
              </w:rPr>
            </w:pPr>
            <w:r>
              <w:rPr>
                <w:rFonts w:hint="eastAsia"/>
                <w:b/>
                <w:bCs/>
                <w:color w:val="auto"/>
                <w:sz w:val="24"/>
                <w:szCs w:val="28"/>
              </w:rPr>
              <w:t>一</w:t>
            </w:r>
            <w:r>
              <w:rPr>
                <w:b/>
                <w:bCs/>
                <w:color w:val="auto"/>
                <w:sz w:val="24"/>
                <w:szCs w:val="28"/>
              </w:rPr>
              <w:t>、施工期</w:t>
            </w:r>
          </w:p>
          <w:p>
            <w:pPr>
              <w:pStyle w:val="48"/>
              <w:pageBreakBefore w:val="0"/>
              <w:widowControl w:val="0"/>
              <w:kinsoku/>
              <w:wordWrap/>
              <w:overflowPunct/>
              <w:topLinePunct w:val="0"/>
              <w:autoSpaceDE/>
              <w:autoSpaceDN/>
              <w:bidi w:val="0"/>
              <w:adjustRightInd w:val="0"/>
              <w:snapToGrid/>
              <w:ind w:firstLine="480"/>
              <w:textAlignment w:val="auto"/>
              <w:rPr>
                <w:color w:val="auto"/>
                <w:sz w:val="24"/>
              </w:rPr>
            </w:pPr>
            <w:r>
              <w:rPr>
                <w:rFonts w:hint="eastAsia"/>
                <w:color w:val="auto"/>
                <w:sz w:val="24"/>
              </w:rPr>
              <w:t>本项目属于搬迁项目，</w:t>
            </w:r>
            <w:r>
              <w:rPr>
                <w:rFonts w:hint="eastAsia"/>
                <w:color w:val="auto"/>
                <w:sz w:val="24"/>
                <w:szCs w:val="24"/>
              </w:rPr>
              <w:t>建设地点位于</w:t>
            </w:r>
            <w:r>
              <w:rPr>
                <w:rFonts w:hint="eastAsia"/>
                <w:color w:val="auto"/>
                <w:sz w:val="24"/>
              </w:rPr>
              <w:t>江西省九江市庐山市温泉镇212省道（环南山公路老隘口村旁），施工内容主要为</w:t>
            </w:r>
            <w:r>
              <w:rPr>
                <w:color w:val="auto"/>
                <w:sz w:val="24"/>
              </w:rPr>
              <w:t>4602平方米急救大楼装修设计，室外场地硬化、新建围墙门卫，废水处理系统，污水处理</w:t>
            </w:r>
            <w:r>
              <w:rPr>
                <w:rFonts w:hint="eastAsia"/>
                <w:color w:val="auto"/>
                <w:sz w:val="24"/>
              </w:rPr>
              <w:t>。现场调查发现，温泉镇中心卫生院目前已完成新院（急救中心大楼）建设内容的建设</w:t>
            </w:r>
            <w:r>
              <w:rPr>
                <w:rFonts w:hint="eastAsia"/>
                <w:color w:val="auto"/>
                <w:sz w:val="24"/>
                <w:lang w:eastAsia="zh-CN"/>
              </w:rPr>
              <w:t>，</w:t>
            </w:r>
            <w:r>
              <w:rPr>
                <w:rFonts w:hint="eastAsia"/>
                <w:color w:val="auto"/>
                <w:sz w:val="24"/>
                <w:lang w:val="en-US" w:eastAsia="zh-CN"/>
              </w:rPr>
              <w:t>并投入使用，不存在施工期，</w:t>
            </w:r>
            <w:r>
              <w:rPr>
                <w:rFonts w:hint="eastAsia"/>
                <w:color w:val="auto"/>
                <w:sz w:val="24"/>
              </w:rPr>
              <w:t>因此本评价</w:t>
            </w:r>
            <w:r>
              <w:rPr>
                <w:rFonts w:hint="eastAsia"/>
                <w:color w:val="auto"/>
                <w:sz w:val="24"/>
                <w:lang w:val="en-US" w:eastAsia="zh-CN"/>
              </w:rPr>
              <w:t>不</w:t>
            </w:r>
            <w:r>
              <w:rPr>
                <w:rFonts w:hint="eastAsia"/>
                <w:color w:val="auto"/>
                <w:sz w:val="24"/>
              </w:rPr>
              <w:t>对施工期</w:t>
            </w:r>
            <w:r>
              <w:rPr>
                <w:rFonts w:hint="eastAsia"/>
                <w:color w:val="auto"/>
                <w:sz w:val="24"/>
                <w:lang w:val="en-US" w:eastAsia="zh-CN"/>
              </w:rPr>
              <w:t>影响进行</w:t>
            </w:r>
            <w:r>
              <w:rPr>
                <w:rFonts w:hint="eastAsia"/>
                <w:color w:val="auto"/>
                <w:sz w:val="24"/>
              </w:rPr>
              <w:t>分析。</w:t>
            </w:r>
          </w:p>
          <w:p>
            <w:pPr>
              <w:spacing w:line="360" w:lineRule="auto"/>
              <w:ind w:firstLine="481" w:firstLineChars="200"/>
              <w:rPr>
                <w:color w:val="auto"/>
                <w:sz w:val="24"/>
              </w:rPr>
            </w:pPr>
            <w:r>
              <w:rPr>
                <w:rFonts w:hint="eastAsia"/>
                <w:b/>
                <w:bCs/>
                <w:color w:val="auto"/>
                <w:sz w:val="24"/>
              </w:rPr>
              <w:t>二</w:t>
            </w:r>
            <w:r>
              <w:rPr>
                <w:b/>
                <w:bCs/>
                <w:color w:val="auto"/>
                <w:sz w:val="24"/>
              </w:rPr>
              <w:t>、营运期</w:t>
            </w:r>
          </w:p>
          <w:tbl>
            <w:tblPr>
              <w:tblStyle w:val="2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91" w:type="dxa"/>
                  <w:vAlign w:val="center"/>
                </w:tcPr>
                <w:p>
                  <w:pPr>
                    <w:pStyle w:val="49"/>
                    <w:keepNext w:val="0"/>
                    <w:keepLines w:val="0"/>
                    <w:pageBreakBefore w:val="0"/>
                    <w:widowControl w:val="0"/>
                    <w:kinsoku/>
                    <w:wordWrap/>
                    <w:overflowPunct/>
                    <w:topLinePunct w:val="0"/>
                    <w:autoSpaceDE/>
                    <w:autoSpaceDN/>
                    <w:bidi w:val="0"/>
                    <w:adjustRightInd w:val="0"/>
                    <w:snapToGrid/>
                    <w:ind w:left="0" w:firstLine="0" w:firstLineChars="0"/>
                    <w:jc w:val="center"/>
                    <w:textAlignment w:val="auto"/>
                    <w:rPr>
                      <w:color w:val="auto"/>
                      <w:szCs w:val="21"/>
                    </w:rPr>
                  </w:pPr>
                  <w:r>
                    <w:rPr>
                      <w:color w:val="auto"/>
                    </w:rPr>
                    <w:drawing>
                      <wp:inline distT="0" distB="0" distL="114300" distR="114300">
                        <wp:extent cx="4319905" cy="3063240"/>
                        <wp:effectExtent l="0" t="0" r="4445"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4319905" cy="30632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8391" w:type="dxa"/>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color w:val="auto"/>
                      <w:szCs w:val="21"/>
                    </w:rPr>
                  </w:pPr>
                  <w:r>
                    <w:rPr>
                      <w:b/>
                      <w:bCs/>
                      <w:color w:val="auto"/>
                      <w:szCs w:val="21"/>
                    </w:rPr>
                    <w:t>图</w:t>
                  </w:r>
                  <w:r>
                    <w:rPr>
                      <w:rFonts w:hint="eastAsia"/>
                      <w:b/>
                      <w:bCs/>
                      <w:color w:val="auto"/>
                      <w:szCs w:val="21"/>
                    </w:rPr>
                    <w:t>2-</w:t>
                  </w:r>
                  <w:r>
                    <w:rPr>
                      <w:rFonts w:hint="eastAsia"/>
                      <w:b/>
                      <w:bCs/>
                      <w:color w:val="auto"/>
                      <w:szCs w:val="21"/>
                      <w:lang w:val="en-US" w:eastAsia="zh-CN"/>
                    </w:rPr>
                    <w:t>4</w:t>
                  </w:r>
                  <w:r>
                    <w:rPr>
                      <w:rFonts w:hint="eastAsia"/>
                      <w:b/>
                      <w:bCs/>
                      <w:color w:val="auto"/>
                      <w:szCs w:val="21"/>
                    </w:rPr>
                    <w:t>项目医院就医流程图</w:t>
                  </w:r>
                </w:p>
              </w:tc>
            </w:tr>
          </w:tbl>
          <w:p>
            <w:pPr>
              <w:pStyle w:val="14"/>
              <w:keepNext w:val="0"/>
              <w:keepLines w:val="0"/>
              <w:pageBreakBefore w:val="0"/>
              <w:widowControl w:val="0"/>
              <w:kinsoku/>
              <w:wordWrap/>
              <w:overflowPunct/>
              <w:topLinePunct w:val="0"/>
              <w:bidi w:val="0"/>
              <w:adjustRightInd w:val="0"/>
              <w:snapToGrid/>
              <w:spacing w:line="360" w:lineRule="auto"/>
              <w:textAlignment w:val="auto"/>
              <w:rPr>
                <w:rFonts w:ascii="Times New Roman" w:hAnsi="Times New Roman"/>
                <w:color w:val="auto"/>
                <w:sz w:val="24"/>
                <w:szCs w:val="21"/>
              </w:rPr>
            </w:pPr>
            <w:r>
              <w:rPr>
                <w:rFonts w:hint="eastAsia" w:ascii="Times New Roman" w:hAnsi="Times New Roman"/>
                <w:b/>
                <w:color w:val="auto"/>
                <w:sz w:val="24"/>
                <w:szCs w:val="22"/>
              </w:rPr>
              <w:t>注：本项目不设传染病病房，当门诊接收到传染病人后立即转送当地传染病医院。</w:t>
            </w:r>
          </w:p>
          <w:p>
            <w:pPr>
              <w:keepNext w:val="0"/>
              <w:keepLines w:val="0"/>
              <w:pageBreakBefore w:val="0"/>
              <w:widowControl w:val="0"/>
              <w:kinsoku/>
              <w:wordWrap/>
              <w:overflowPunct/>
              <w:topLinePunct w:val="0"/>
              <w:bidi w:val="0"/>
              <w:adjustRightInd w:val="0"/>
              <w:snapToGrid/>
              <w:spacing w:line="360" w:lineRule="auto"/>
              <w:ind w:firstLine="481" w:firstLineChars="200"/>
              <w:jc w:val="both"/>
              <w:textAlignment w:val="auto"/>
              <w:rPr>
                <w:rFonts w:ascii="Times New Roman" w:hAnsi="Times New Roman"/>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rFonts w:hint="eastAsia" w:ascii="Times New Roman" w:hAnsi="Times New Roman"/>
                <w:b/>
                <w:bCs/>
                <w:color w:val="auto"/>
                <w:sz w:val="24"/>
              </w:rPr>
              <w:t>运营期工艺</w:t>
            </w:r>
            <w:r>
              <w:rPr>
                <w:rFonts w:ascii="Times New Roman" w:hAnsi="Times New Roman"/>
                <w:b/>
                <w:bCs/>
                <w:color w:val="auto"/>
                <w:sz w:val="24"/>
              </w:rPr>
              <w:t>简介：</w:t>
            </w:r>
          </w:p>
          <w:p>
            <w:pPr>
              <w:pStyle w:val="35"/>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ascii="Times New Roman" w:hAnsi="Times New Roman"/>
                <w:color w:val="auto"/>
                <w:sz w:val="24"/>
              </w:rPr>
            </w:pPr>
            <w:r>
              <w:rPr>
                <w:rFonts w:hint="eastAsia" w:ascii="Times New Roman" w:hAnsi="Times New Roman"/>
                <w:bCs/>
                <w:color w:val="auto"/>
                <w:sz w:val="24"/>
              </w:rPr>
              <w:t>患者就医流程为：根据病况分挂不同诊室诊号之后，根据挂号所得信息到各科门诊科室就诊，若诊断为传染病患者则立即转送当地传染病医院，非传染病病患者继续进行下一步诊断，根据医生的诊断结果和医生建议可选择以下治疗方法：直接缴费取药或进行简单治疗后离开；缴费住院治疗，缴费后进行进一步检查，由医生根据检查结果向患者提出治疗意见。</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bCs/>
                <w:color w:val="auto"/>
                <w:sz w:val="24"/>
              </w:rPr>
            </w:pPr>
            <w:r>
              <w:rPr>
                <w:rFonts w:hint="eastAsia" w:ascii="Times New Roman" w:hAnsi="Times New Roman"/>
                <w:b/>
                <w:bCs/>
                <w:color w:val="auto"/>
                <w:sz w:val="24"/>
              </w:rPr>
              <w:t>（2）</w:t>
            </w:r>
            <w:r>
              <w:rPr>
                <w:rFonts w:ascii="Times New Roman" w:hAnsi="Times New Roman"/>
                <w:b/>
                <w:bCs/>
                <w:color w:val="auto"/>
                <w:sz w:val="24"/>
              </w:rPr>
              <w:t>营运期</w:t>
            </w:r>
            <w:r>
              <w:rPr>
                <w:rFonts w:hint="eastAsia" w:ascii="Times New Roman" w:hAnsi="Times New Roman"/>
                <w:b/>
                <w:bCs/>
                <w:color w:val="auto"/>
                <w:sz w:val="24"/>
              </w:rPr>
              <w:t>产污环节</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color w:val="auto"/>
                <w:sz w:val="24"/>
                <w:lang w:val="zh-CN"/>
              </w:rPr>
            </w:pPr>
            <w:r>
              <w:rPr>
                <w:rFonts w:ascii="Times New Roman" w:hAnsi="Times New Roman" w:cs="Calibri"/>
                <w:b/>
                <w:bCs/>
                <w:color w:val="auto"/>
                <w:sz w:val="24"/>
                <w:lang w:val="zh-CN"/>
              </w:rPr>
              <w:t>①</w:t>
            </w:r>
            <w:r>
              <w:rPr>
                <w:rFonts w:ascii="Times New Roman" w:hAnsi="Times New Roman"/>
                <w:b/>
                <w:bCs/>
                <w:color w:val="auto"/>
                <w:sz w:val="24"/>
                <w:lang w:val="zh-CN"/>
              </w:rPr>
              <w:t>废水：</w:t>
            </w:r>
            <w:r>
              <w:rPr>
                <w:rFonts w:ascii="Times New Roman" w:hAnsi="Times New Roman"/>
                <w:color w:val="auto"/>
                <w:sz w:val="24"/>
                <w:lang w:val="zh-CN"/>
              </w:rPr>
              <w:t>项目产生的废水主要为</w:t>
            </w:r>
            <w:r>
              <w:rPr>
                <w:rFonts w:hint="eastAsia" w:ascii="Times New Roman" w:hAnsi="Times New Roman"/>
                <w:color w:val="auto"/>
                <w:sz w:val="24"/>
              </w:rPr>
              <w:t>门诊、化验、病人住院、病服床品洗涤等过程产生的医疗废水；医务人员、陪护人员、行政人员的生活污水，食堂废水。</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color w:val="auto"/>
                <w:sz w:val="24"/>
                <w:lang w:val="zh-CN"/>
              </w:rPr>
            </w:pPr>
            <w:r>
              <w:rPr>
                <w:rFonts w:ascii="Times New Roman" w:hAnsi="Times New Roman" w:cs="Calibri"/>
                <w:b/>
                <w:bCs/>
                <w:color w:val="auto"/>
                <w:sz w:val="24"/>
                <w:lang w:val="zh-CN"/>
              </w:rPr>
              <w:t>②</w:t>
            </w:r>
            <w:r>
              <w:rPr>
                <w:rFonts w:ascii="Times New Roman" w:hAnsi="Times New Roman"/>
                <w:b/>
                <w:bCs/>
                <w:color w:val="auto"/>
                <w:sz w:val="24"/>
                <w:lang w:val="zh-CN"/>
              </w:rPr>
              <w:t>废气：</w:t>
            </w:r>
            <w:r>
              <w:rPr>
                <w:rFonts w:hint="eastAsia" w:ascii="Times New Roman" w:hAnsi="Times New Roman"/>
                <w:color w:val="auto"/>
                <w:sz w:val="24"/>
              </w:rPr>
              <w:t>本项目产生的废气主要为食堂油烟废气及污水处理站产生的恶臭气体</w:t>
            </w:r>
            <w:r>
              <w:rPr>
                <w:rFonts w:ascii="Times New Roman" w:hAnsi="Times New Roman"/>
                <w:color w:val="auto"/>
                <w:sz w:val="24"/>
                <w:lang w:val="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lang w:val="zh-CN"/>
              </w:rPr>
            </w:pPr>
            <w:r>
              <w:rPr>
                <w:rFonts w:ascii="Times New Roman" w:hAnsi="Times New Roman" w:cs="Calibri"/>
                <w:color w:val="auto"/>
                <w:sz w:val="24"/>
                <w:lang w:val="zh-CN"/>
              </w:rPr>
              <w:t>③</w:t>
            </w:r>
            <w:r>
              <w:rPr>
                <w:rFonts w:ascii="Times New Roman" w:hAnsi="Times New Roman"/>
                <w:b/>
                <w:bCs/>
                <w:color w:val="auto"/>
                <w:sz w:val="24"/>
                <w:lang w:val="zh-CN"/>
              </w:rPr>
              <w:t>噪声：</w:t>
            </w:r>
            <w:r>
              <w:rPr>
                <w:rFonts w:hint="eastAsia" w:ascii="Times New Roman" w:hAnsi="Times New Roman"/>
                <w:color w:val="auto"/>
                <w:sz w:val="24"/>
              </w:rPr>
              <w:t>本项目的噪声源主要为污水处理站风机、水泵等噪声</w:t>
            </w:r>
            <w:r>
              <w:rPr>
                <w:rFonts w:ascii="Times New Roman" w:hAnsi="Times New Roman"/>
                <w:color w:val="auto"/>
                <w:sz w:val="24"/>
                <w:lang w:val="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color w:val="auto"/>
                <w:sz w:val="24"/>
                <w:lang w:val="zh-CN"/>
              </w:rPr>
            </w:pPr>
            <w:r>
              <w:rPr>
                <w:rFonts w:hint="eastAsia" w:ascii="Times New Roman" w:hAnsi="Times New Roman" w:cs="宋体"/>
                <w:b/>
                <w:bCs/>
                <w:color w:val="auto"/>
                <w:sz w:val="24"/>
                <w:lang w:val="zh-CN"/>
              </w:rPr>
              <w:t>④</w:t>
            </w:r>
            <w:r>
              <w:rPr>
                <w:rFonts w:ascii="Times New Roman" w:hAnsi="Times New Roman"/>
                <w:b/>
                <w:bCs/>
                <w:color w:val="auto"/>
                <w:sz w:val="24"/>
                <w:lang w:val="zh-CN"/>
              </w:rPr>
              <w:t>固废：</w:t>
            </w:r>
            <w:r>
              <w:rPr>
                <w:rFonts w:ascii="Times New Roman" w:hAnsi="Times New Roman"/>
                <w:color w:val="auto"/>
                <w:sz w:val="24"/>
                <w:lang w:val="zh-CN"/>
              </w:rPr>
              <w:t>本项目营运期固体废物主要包括一般固废和危险固废；其中危险固废包括医疗固废、污水处理设施污泥</w:t>
            </w:r>
            <w:r>
              <w:rPr>
                <w:rFonts w:hint="eastAsia" w:ascii="Times New Roman" w:hAnsi="Times New Roman"/>
                <w:color w:val="auto"/>
                <w:sz w:val="24"/>
                <w:lang w:val="zh-CN"/>
              </w:rPr>
              <w:t>、</w:t>
            </w:r>
            <w:r>
              <w:rPr>
                <w:rFonts w:hint="eastAsia" w:ascii="Times New Roman" w:hAnsi="Times New Roman"/>
                <w:color w:val="auto"/>
                <w:sz w:val="24"/>
              </w:rPr>
              <w:t>废紫外线灯管</w:t>
            </w:r>
            <w:r>
              <w:rPr>
                <w:rFonts w:hint="eastAsia" w:ascii="Times New Roman" w:hAnsi="Times New Roman"/>
                <w:color w:val="auto"/>
                <w:sz w:val="24"/>
                <w:lang w:eastAsia="zh-CN"/>
              </w:rPr>
              <w:t>、</w:t>
            </w:r>
            <w:r>
              <w:rPr>
                <w:rFonts w:hint="eastAsia" w:ascii="Times New Roman" w:hAnsi="Times New Roman"/>
                <w:color w:val="auto"/>
                <w:sz w:val="24"/>
                <w:lang w:val="en-US" w:eastAsia="zh-CN"/>
              </w:rPr>
              <w:t>废MBR膜</w:t>
            </w:r>
            <w:r>
              <w:rPr>
                <w:rFonts w:hint="eastAsia" w:ascii="Times New Roman" w:hAnsi="Times New Roman"/>
                <w:color w:val="auto"/>
                <w:sz w:val="24"/>
              </w:rPr>
              <w:t>等</w:t>
            </w:r>
            <w:r>
              <w:rPr>
                <w:rFonts w:ascii="Times New Roman" w:hAnsi="Times New Roman"/>
                <w:color w:val="auto"/>
                <w:sz w:val="24"/>
                <w:lang w:val="zh-CN"/>
              </w:rPr>
              <w:t>；一般固废主要为生活垃圾</w:t>
            </w:r>
            <w:r>
              <w:rPr>
                <w:rFonts w:hint="eastAsia" w:ascii="Times New Roman" w:hAnsi="Times New Roman"/>
                <w:color w:val="auto"/>
                <w:sz w:val="24"/>
              </w:rPr>
              <w:t>、废输液瓶袋、药品</w:t>
            </w:r>
            <w:r>
              <w:rPr>
                <w:rFonts w:ascii="Times New Roman" w:hAnsi="Times New Roman"/>
                <w:color w:val="auto"/>
                <w:sz w:val="24"/>
              </w:rPr>
              <w:t>试剂</w:t>
            </w:r>
            <w:r>
              <w:rPr>
                <w:rFonts w:hint="eastAsia" w:ascii="Times New Roman" w:hAnsi="Times New Roman"/>
                <w:color w:val="auto"/>
                <w:sz w:val="24"/>
              </w:rPr>
              <w:t>外</w:t>
            </w:r>
            <w:r>
              <w:rPr>
                <w:rFonts w:ascii="Times New Roman" w:hAnsi="Times New Roman"/>
                <w:color w:val="auto"/>
                <w:sz w:val="24"/>
              </w:rPr>
              <w:t>包装</w:t>
            </w:r>
            <w:r>
              <w:rPr>
                <w:rFonts w:hint="eastAsia" w:ascii="Times New Roman" w:hAnsi="Times New Roman"/>
                <w:color w:val="auto"/>
                <w:sz w:val="24"/>
              </w:rPr>
              <w:t>盒等</w:t>
            </w:r>
            <w:r>
              <w:rPr>
                <w:rFonts w:ascii="Times New Roman" w:hAnsi="Times New Roman"/>
                <w:color w:val="auto"/>
                <w:sz w:val="24"/>
                <w:lang w:val="zh-CN"/>
              </w:rPr>
              <w:t>。</w:t>
            </w:r>
          </w:p>
          <w:p>
            <w:pPr>
              <w:pStyle w:val="43"/>
              <w:keepNext w:val="0"/>
              <w:keepLines w:val="0"/>
              <w:pageBreakBefore w:val="0"/>
              <w:widowControl/>
              <w:kinsoku/>
              <w:wordWrap/>
              <w:overflowPunct w:val="0"/>
              <w:topLinePunct w:val="0"/>
              <w:autoSpaceDE w:val="0"/>
              <w:autoSpaceDN w:val="0"/>
              <w:bidi w:val="0"/>
              <w:adjustRightInd w:val="0"/>
              <w:snapToGrid/>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表</w:t>
            </w:r>
            <w:r>
              <w:rPr>
                <w:rFonts w:hint="eastAsia" w:ascii="Times New Roman" w:hAnsi="Times New Roman" w:eastAsia="宋体"/>
                <w:color w:val="auto"/>
                <w:sz w:val="21"/>
                <w:szCs w:val="21"/>
                <w:lang w:val="en-US"/>
              </w:rPr>
              <w:t>2-7</w:t>
            </w:r>
            <w:r>
              <w:rPr>
                <w:rFonts w:hint="eastAsia"/>
                <w:color w:val="auto"/>
                <w:sz w:val="21"/>
                <w:szCs w:val="21"/>
                <w:lang w:val="en-US" w:eastAsia="zh-CN"/>
              </w:rPr>
              <w:t xml:space="preserve"> </w:t>
            </w:r>
            <w:r>
              <w:rPr>
                <w:rFonts w:hint="eastAsia" w:ascii="Times New Roman" w:hAnsi="Times New Roman" w:eastAsia="宋体"/>
                <w:color w:val="auto"/>
                <w:sz w:val="21"/>
                <w:szCs w:val="21"/>
              </w:rPr>
              <w:t>项目主要污染工序一览表</w:t>
            </w:r>
          </w:p>
          <w:tbl>
            <w:tblPr>
              <w:tblStyle w:val="23"/>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57" w:type="dxa"/>
                <w:bottom w:w="28" w:type="dxa"/>
                <w:right w:w="57" w:type="dxa"/>
              </w:tblCellMar>
            </w:tblPr>
            <w:tblGrid>
              <w:gridCol w:w="503"/>
              <w:gridCol w:w="597"/>
              <w:gridCol w:w="1705"/>
              <w:gridCol w:w="2082"/>
              <w:gridCol w:w="349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624" w:hRule="atLeast"/>
                <w:jc w:val="center"/>
              </w:trPr>
              <w:tc>
                <w:tcPr>
                  <w:tcW w:w="30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时段</w:t>
                  </w:r>
                </w:p>
              </w:tc>
              <w:tc>
                <w:tcPr>
                  <w:tcW w:w="35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项目</w:t>
                  </w:r>
                </w:p>
              </w:tc>
              <w:tc>
                <w:tcPr>
                  <w:tcW w:w="101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污染工序</w:t>
                  </w:r>
                </w:p>
              </w:tc>
              <w:tc>
                <w:tcPr>
                  <w:tcW w:w="124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污染物</w:t>
                  </w:r>
                </w:p>
              </w:tc>
              <w:tc>
                <w:tcPr>
                  <w:tcW w:w="2085"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690" w:hRule="atLeast"/>
                <w:jc w:val="center"/>
              </w:trPr>
              <w:tc>
                <w:tcPr>
                  <w:tcW w:w="300" w:type="pct"/>
                  <w:vMerge w:val="restart"/>
                  <w:tcBorders>
                    <w:tl2br w:val="nil"/>
                    <w:tr2bl w:val="nil"/>
                  </w:tcBorders>
                  <w:textDirection w:val="tbRlV"/>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营运期</w:t>
                  </w:r>
                </w:p>
              </w:tc>
              <w:tc>
                <w:tcPr>
                  <w:tcW w:w="356"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废气</w:t>
                  </w: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污水处理站恶臭</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NH</w:t>
                  </w:r>
                  <w:r>
                    <w:rPr>
                      <w:rFonts w:ascii="Times New Roman" w:hAnsi="Times New Roman" w:eastAsia="宋体"/>
                      <w:color w:val="auto"/>
                      <w:sz w:val="21"/>
                      <w:vertAlign w:val="subscript"/>
                    </w:rPr>
                    <w:t>3</w:t>
                  </w:r>
                  <w:r>
                    <w:rPr>
                      <w:rFonts w:hint="eastAsia" w:ascii="Times New Roman" w:hAnsi="Times New Roman" w:eastAsia="宋体"/>
                      <w:color w:val="auto"/>
                      <w:sz w:val="21"/>
                      <w:vertAlign w:val="subscript"/>
                    </w:rPr>
                    <w:t>、</w:t>
                  </w:r>
                  <w:r>
                    <w:rPr>
                      <w:rFonts w:ascii="Times New Roman" w:hAnsi="Times New Roman" w:eastAsia="宋体"/>
                      <w:color w:val="auto"/>
                      <w:sz w:val="21"/>
                    </w:rPr>
                    <w:t>H</w:t>
                  </w:r>
                  <w:r>
                    <w:rPr>
                      <w:rFonts w:ascii="Times New Roman" w:hAnsi="Times New Roman" w:eastAsia="宋体"/>
                      <w:color w:val="auto"/>
                      <w:sz w:val="21"/>
                      <w:vertAlign w:val="subscript"/>
                    </w:rPr>
                    <w:t>2</w:t>
                  </w:r>
                  <w:r>
                    <w:rPr>
                      <w:rFonts w:ascii="Times New Roman" w:hAnsi="Times New Roman" w:eastAsia="宋体"/>
                      <w:color w:val="auto"/>
                      <w:sz w:val="21"/>
                    </w:rPr>
                    <w:t>S</w:t>
                  </w:r>
                  <w:r>
                    <w:rPr>
                      <w:rFonts w:hint="eastAsia" w:ascii="Times New Roman" w:hAnsi="Times New Roman" w:eastAsia="宋体"/>
                      <w:color w:val="auto"/>
                      <w:sz w:val="21"/>
                    </w:rPr>
                    <w:t>等</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采用地埋式一体化设备、周边绿化等除异味措施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cantSplit/>
                <w:trHeight w:val="491" w:hRule="atLeast"/>
                <w:jc w:val="center"/>
              </w:trPr>
              <w:tc>
                <w:tcPr>
                  <w:tcW w:w="300" w:type="pct"/>
                  <w:vMerge w:val="continue"/>
                  <w:tcBorders>
                    <w:tl2br w:val="nil"/>
                    <w:tr2bl w:val="nil"/>
                  </w:tcBorders>
                  <w:textDirection w:val="tbRlV"/>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textDirection w:val="tbRlV"/>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食堂油烟</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油烟</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油烟净化器+专用烟道引至屋顶排放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866"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废水</w:t>
                  </w: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医务人员、陪护人员、行政人员用水</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bCs/>
                      <w:color w:val="auto"/>
                      <w:kern w:val="0"/>
                      <w:sz w:val="21"/>
                      <w:szCs w:val="21"/>
                    </w:rPr>
                    <w:t>COD</w:t>
                  </w:r>
                  <w:r>
                    <w:rPr>
                      <w:rFonts w:ascii="Times New Roman" w:hAnsi="Times New Roman" w:eastAsia="宋体"/>
                      <w:bCs/>
                      <w:color w:val="auto"/>
                      <w:kern w:val="0"/>
                      <w:sz w:val="21"/>
                      <w:szCs w:val="21"/>
                      <w:vertAlign w:val="subscript"/>
                    </w:rPr>
                    <w:t>C</w:t>
                  </w:r>
                  <w:r>
                    <w:rPr>
                      <w:rFonts w:hint="eastAsia" w:ascii="Times New Roman" w:hAnsi="Times New Roman" w:eastAsia="宋体"/>
                      <w:bCs/>
                      <w:color w:val="auto"/>
                      <w:kern w:val="0"/>
                      <w:sz w:val="21"/>
                      <w:szCs w:val="21"/>
                      <w:vertAlign w:val="subscript"/>
                    </w:rPr>
                    <w:t>r</w:t>
                  </w:r>
                  <w:r>
                    <w:rPr>
                      <w:rFonts w:ascii="Times New Roman" w:hAnsi="Times New Roman" w:eastAsia="宋体"/>
                      <w:bCs/>
                      <w:color w:val="auto"/>
                      <w:kern w:val="0"/>
                      <w:sz w:val="21"/>
                      <w:szCs w:val="21"/>
                    </w:rPr>
                    <w:t>、SS、BOD</w:t>
                  </w:r>
                  <w:r>
                    <w:rPr>
                      <w:rFonts w:ascii="Times New Roman" w:hAnsi="Times New Roman" w:eastAsia="宋体"/>
                      <w:bCs/>
                      <w:color w:val="auto"/>
                      <w:kern w:val="0"/>
                      <w:sz w:val="21"/>
                      <w:szCs w:val="21"/>
                      <w:vertAlign w:val="subscript"/>
                    </w:rPr>
                    <w:t>5</w:t>
                  </w:r>
                  <w:r>
                    <w:rPr>
                      <w:rFonts w:ascii="Times New Roman" w:hAnsi="Times New Roman" w:eastAsia="宋体"/>
                      <w:bCs/>
                      <w:color w:val="auto"/>
                      <w:kern w:val="0"/>
                      <w:sz w:val="21"/>
                      <w:szCs w:val="21"/>
                    </w:rPr>
                    <w:t>、氨氮</w:t>
                  </w:r>
                  <w:r>
                    <w:rPr>
                      <w:rFonts w:hint="eastAsia" w:ascii="Times New Roman" w:hAnsi="Times New Roman" w:eastAsia="宋体"/>
                      <w:bCs/>
                      <w:color w:val="auto"/>
                      <w:kern w:val="0"/>
                      <w:sz w:val="21"/>
                      <w:szCs w:val="21"/>
                    </w:rPr>
                    <w:t>、总氮、总磷等</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经化粪池预处理后汇入院内污水处理站一并处理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936"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门诊、检验、病人住院、病服床品衣物洗涤废水</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bCs/>
                      <w:color w:val="auto"/>
                      <w:kern w:val="0"/>
                      <w:sz w:val="21"/>
                      <w:szCs w:val="21"/>
                    </w:rPr>
                    <w:t>COD</w:t>
                  </w:r>
                  <w:r>
                    <w:rPr>
                      <w:rFonts w:ascii="Times New Roman" w:hAnsi="Times New Roman" w:eastAsia="宋体"/>
                      <w:bCs/>
                      <w:color w:val="auto"/>
                      <w:kern w:val="0"/>
                      <w:sz w:val="21"/>
                      <w:szCs w:val="21"/>
                      <w:vertAlign w:val="subscript"/>
                    </w:rPr>
                    <w:t>C</w:t>
                  </w:r>
                  <w:r>
                    <w:rPr>
                      <w:rFonts w:hint="eastAsia" w:ascii="Times New Roman" w:hAnsi="Times New Roman" w:eastAsia="宋体"/>
                      <w:bCs/>
                      <w:color w:val="auto"/>
                      <w:kern w:val="0"/>
                      <w:sz w:val="21"/>
                      <w:szCs w:val="21"/>
                      <w:vertAlign w:val="subscript"/>
                    </w:rPr>
                    <w:t>r</w:t>
                  </w:r>
                  <w:r>
                    <w:rPr>
                      <w:rFonts w:ascii="Times New Roman" w:hAnsi="Times New Roman" w:eastAsia="宋体"/>
                      <w:bCs/>
                      <w:color w:val="auto"/>
                      <w:kern w:val="0"/>
                      <w:sz w:val="21"/>
                      <w:szCs w:val="21"/>
                    </w:rPr>
                    <w:t>、SS、BOD</w:t>
                  </w:r>
                  <w:r>
                    <w:rPr>
                      <w:rFonts w:ascii="Times New Roman" w:hAnsi="Times New Roman" w:eastAsia="宋体"/>
                      <w:bCs/>
                      <w:color w:val="auto"/>
                      <w:kern w:val="0"/>
                      <w:sz w:val="21"/>
                      <w:szCs w:val="21"/>
                      <w:vertAlign w:val="subscript"/>
                    </w:rPr>
                    <w:t>5</w:t>
                  </w:r>
                  <w:r>
                    <w:rPr>
                      <w:rFonts w:ascii="Times New Roman" w:hAnsi="Times New Roman" w:eastAsia="宋体"/>
                      <w:bCs/>
                      <w:color w:val="auto"/>
                      <w:kern w:val="0"/>
                      <w:sz w:val="21"/>
                      <w:szCs w:val="21"/>
                    </w:rPr>
                    <w:t>、氨氮</w:t>
                  </w:r>
                  <w:r>
                    <w:rPr>
                      <w:rFonts w:hint="eastAsia" w:ascii="Times New Roman" w:hAnsi="Times New Roman" w:eastAsia="宋体"/>
                      <w:bCs/>
                      <w:color w:val="auto"/>
                      <w:kern w:val="0"/>
                      <w:sz w:val="21"/>
                      <w:szCs w:val="21"/>
                    </w:rPr>
                    <w:t>、p</w:t>
                  </w:r>
                  <w:r>
                    <w:rPr>
                      <w:rFonts w:ascii="Times New Roman" w:hAnsi="Times New Roman" w:eastAsia="宋体"/>
                      <w:bCs/>
                      <w:color w:val="auto"/>
                      <w:kern w:val="0"/>
                      <w:sz w:val="21"/>
                      <w:szCs w:val="21"/>
                    </w:rPr>
                    <w:t>H</w:t>
                  </w:r>
                  <w:r>
                    <w:rPr>
                      <w:rFonts w:hint="eastAsia" w:ascii="Times New Roman" w:hAnsi="Times New Roman" w:eastAsia="宋体"/>
                      <w:bCs/>
                      <w:color w:val="auto"/>
                      <w:kern w:val="0"/>
                      <w:sz w:val="21"/>
                      <w:szCs w:val="21"/>
                    </w:rPr>
                    <w:t>、粪大肠杆菌、</w:t>
                  </w:r>
                  <w:r>
                    <w:rPr>
                      <w:rFonts w:hint="eastAsia" w:ascii="Times New Roman" w:hAnsi="Times New Roman" w:eastAsia="宋体"/>
                      <w:bCs/>
                      <w:color w:val="auto"/>
                      <w:kern w:val="0"/>
                      <w:sz w:val="21"/>
                      <w:szCs w:val="21"/>
                      <w:lang w:val="en-US" w:eastAsia="zh-CN"/>
                    </w:rPr>
                    <w:t>阴离子表面活性剂、</w:t>
                  </w:r>
                  <w:r>
                    <w:rPr>
                      <w:rFonts w:hint="eastAsia" w:ascii="Times New Roman" w:hAnsi="Times New Roman" w:eastAsia="宋体"/>
                      <w:bCs/>
                      <w:color w:val="auto"/>
                      <w:kern w:val="0"/>
                      <w:sz w:val="21"/>
                      <w:szCs w:val="21"/>
                    </w:rPr>
                    <w:t>总余氯等</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检验废水分类收集后由资质单位处理；门诊、住院、洗涤废水</w:t>
                  </w:r>
                </w:p>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经化粪池预处理后汇入院内污水处理站一并处理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771"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食堂废水</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bCs/>
                      <w:color w:val="auto"/>
                      <w:kern w:val="0"/>
                      <w:sz w:val="21"/>
                      <w:szCs w:val="21"/>
                    </w:rPr>
                    <w:t>COD</w:t>
                  </w:r>
                  <w:r>
                    <w:rPr>
                      <w:rFonts w:ascii="Times New Roman" w:hAnsi="Times New Roman" w:eastAsia="宋体"/>
                      <w:bCs/>
                      <w:color w:val="auto"/>
                      <w:kern w:val="0"/>
                      <w:sz w:val="21"/>
                      <w:szCs w:val="21"/>
                      <w:vertAlign w:val="subscript"/>
                    </w:rPr>
                    <w:t>C</w:t>
                  </w:r>
                  <w:r>
                    <w:rPr>
                      <w:rFonts w:hint="eastAsia" w:ascii="Times New Roman" w:hAnsi="Times New Roman" w:eastAsia="宋体"/>
                      <w:bCs/>
                      <w:color w:val="auto"/>
                      <w:kern w:val="0"/>
                      <w:sz w:val="21"/>
                      <w:szCs w:val="21"/>
                      <w:vertAlign w:val="subscript"/>
                    </w:rPr>
                    <w:t>r</w:t>
                  </w:r>
                  <w:r>
                    <w:rPr>
                      <w:rFonts w:ascii="Times New Roman" w:hAnsi="Times New Roman" w:eastAsia="宋体"/>
                      <w:bCs/>
                      <w:color w:val="auto"/>
                      <w:kern w:val="0"/>
                      <w:sz w:val="21"/>
                      <w:szCs w:val="21"/>
                    </w:rPr>
                    <w:t>、SS、BOD</w:t>
                  </w:r>
                  <w:r>
                    <w:rPr>
                      <w:rFonts w:ascii="Times New Roman" w:hAnsi="Times New Roman" w:eastAsia="宋体"/>
                      <w:bCs/>
                      <w:color w:val="auto"/>
                      <w:kern w:val="0"/>
                      <w:sz w:val="21"/>
                      <w:szCs w:val="21"/>
                      <w:vertAlign w:val="subscript"/>
                    </w:rPr>
                    <w:t>5</w:t>
                  </w:r>
                  <w:r>
                    <w:rPr>
                      <w:rFonts w:ascii="Times New Roman" w:hAnsi="Times New Roman" w:eastAsia="宋体"/>
                      <w:bCs/>
                      <w:color w:val="auto"/>
                      <w:kern w:val="0"/>
                      <w:sz w:val="21"/>
                      <w:szCs w:val="21"/>
                    </w:rPr>
                    <w:t>、氨氮、</w:t>
                  </w:r>
                  <w:r>
                    <w:rPr>
                      <w:rFonts w:hint="eastAsia" w:ascii="Times New Roman" w:hAnsi="Times New Roman" w:eastAsia="宋体"/>
                      <w:bCs/>
                      <w:color w:val="auto"/>
                      <w:kern w:val="0"/>
                      <w:sz w:val="21"/>
                      <w:szCs w:val="21"/>
                    </w:rPr>
                    <w:t>动植物油等</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经隔油池+化粪池+院内污水处理站进行处理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804"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噪声</w:t>
                  </w: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水泵、风机</w:t>
                  </w:r>
                  <w:r>
                    <w:rPr>
                      <w:rFonts w:ascii="Times New Roman" w:hAnsi="Times New Roman" w:eastAsia="宋体"/>
                      <w:color w:val="auto"/>
                      <w:sz w:val="21"/>
                    </w:rPr>
                    <w:t>噪声、</w:t>
                  </w:r>
                  <w:r>
                    <w:rPr>
                      <w:rFonts w:hint="eastAsia" w:ascii="Times New Roman" w:hAnsi="Times New Roman" w:eastAsia="宋体"/>
                      <w:color w:val="auto"/>
                      <w:sz w:val="21"/>
                    </w:rPr>
                    <w:t>医疗设备</w:t>
                  </w:r>
                  <w:r>
                    <w:rPr>
                      <w:rFonts w:ascii="Times New Roman" w:hAnsi="Times New Roman" w:eastAsia="宋体"/>
                      <w:color w:val="auto"/>
                      <w:sz w:val="21"/>
                    </w:rPr>
                    <w:t>噪声</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等效连续A声级</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设备减振</w:t>
                  </w:r>
                  <w:r>
                    <w:rPr>
                      <w:rFonts w:hint="eastAsia" w:ascii="Times New Roman" w:hAnsi="Times New Roman" w:eastAsia="宋体"/>
                      <w:color w:val="auto"/>
                      <w:sz w:val="21"/>
                    </w:rPr>
                    <w:t>、</w:t>
                  </w:r>
                  <w:r>
                    <w:rPr>
                      <w:rFonts w:ascii="Times New Roman" w:hAnsi="Times New Roman" w:eastAsia="宋体"/>
                      <w:color w:val="auto"/>
                      <w:sz w:val="21"/>
                    </w:rPr>
                    <w:t>距离衰减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78"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固体废物</w:t>
                  </w: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生活垃圾</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由当地环卫部门</w:t>
                  </w:r>
                  <w:r>
                    <w:rPr>
                      <w:rFonts w:hint="eastAsia" w:ascii="Times New Roman" w:hAnsi="Times New Roman" w:eastAsia="宋体"/>
                      <w:color w:val="auto"/>
                      <w:sz w:val="21"/>
                    </w:rPr>
                    <w:t>清运</w:t>
                  </w:r>
                  <w:r>
                    <w:rPr>
                      <w:rFonts w:ascii="Times New Roman" w:hAnsi="Times New Roman" w:eastAsia="宋体"/>
                      <w:color w:val="auto"/>
                      <w:sz w:val="21"/>
                    </w:rPr>
                    <w:t>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478"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未污染输液瓶袋</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一般固废</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由有资质单位收集处理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95"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药品、试剂等</w:t>
                  </w:r>
                  <w:r>
                    <w:rPr>
                      <w:rFonts w:hint="eastAsia" w:ascii="Times New Roman" w:hAnsi="Times New Roman" w:eastAsia="宋体"/>
                      <w:color w:val="auto"/>
                      <w:sz w:val="21"/>
                    </w:rPr>
                    <w:t>外</w:t>
                  </w:r>
                  <w:r>
                    <w:rPr>
                      <w:rFonts w:ascii="Times New Roman" w:hAnsi="Times New Roman" w:eastAsia="宋体"/>
                      <w:color w:val="auto"/>
                      <w:sz w:val="21"/>
                    </w:rPr>
                    <w:t>包装材料</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一般固废</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由有资质单位收集处理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505"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color w:val="auto"/>
                      <w:sz w:val="21"/>
                    </w:rPr>
                    <w:t>医疗废物</w:t>
                  </w:r>
                </w:p>
              </w:tc>
              <w:tc>
                <w:tcPr>
                  <w:tcW w:w="1241"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危废</w:t>
                  </w:r>
                  <w:r>
                    <w:rPr>
                      <w:rFonts w:ascii="Times New Roman" w:hAnsi="Times New Roman" w:eastAsia="宋体"/>
                      <w:color w:val="auto"/>
                      <w:sz w:val="21"/>
                    </w:rPr>
                    <w:t>HW01</w:t>
                  </w:r>
                </w:p>
              </w:tc>
              <w:tc>
                <w:tcPr>
                  <w:tcW w:w="2085"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交</w:t>
                  </w:r>
                  <w:r>
                    <w:rPr>
                      <w:rFonts w:ascii="Times New Roman" w:hAnsi="Times New Roman" w:eastAsia="宋体"/>
                      <w:color w:val="auto"/>
                      <w:sz w:val="21"/>
                    </w:rPr>
                    <w:t>由有资质单位处理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766"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污泥</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bCs/>
                      <w:color w:val="auto"/>
                      <w:kern w:val="0"/>
                      <w:sz w:val="21"/>
                      <w:szCs w:val="21"/>
                    </w:rPr>
                    <w:t>危废HW</w:t>
                  </w:r>
                  <w:r>
                    <w:rPr>
                      <w:rFonts w:hint="eastAsia" w:ascii="Times New Roman" w:hAnsi="Times New Roman" w:eastAsia="宋体"/>
                      <w:bCs/>
                      <w:color w:val="auto"/>
                      <w:kern w:val="0"/>
                      <w:sz w:val="21"/>
                      <w:szCs w:val="21"/>
                    </w:rPr>
                    <w:t>49</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化粪池污泥定期清掏交由资质单位处理，污水处理站污泥进行回流</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562"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废紫外线灯管</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危废HW29</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交</w:t>
                  </w:r>
                  <w:r>
                    <w:rPr>
                      <w:rFonts w:ascii="Times New Roman" w:hAnsi="Times New Roman" w:eastAsia="宋体"/>
                      <w:color w:val="auto"/>
                      <w:sz w:val="21"/>
                    </w:rPr>
                    <w:t>由有资质单位处理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592" w:hRule="atLeast"/>
                <w:jc w:val="center"/>
              </w:trPr>
              <w:tc>
                <w:tcPr>
                  <w:tcW w:w="3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35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p>
              </w:tc>
              <w:tc>
                <w:tcPr>
                  <w:tcW w:w="10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废MBR膜</w:t>
                  </w:r>
                </w:p>
              </w:tc>
              <w:tc>
                <w:tcPr>
                  <w:tcW w:w="12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ascii="Times New Roman" w:hAnsi="Times New Roman" w:eastAsia="宋体"/>
                      <w:bCs/>
                      <w:color w:val="auto"/>
                      <w:kern w:val="0"/>
                      <w:sz w:val="21"/>
                      <w:szCs w:val="21"/>
                    </w:rPr>
                    <w:t>危废HW</w:t>
                  </w:r>
                  <w:r>
                    <w:rPr>
                      <w:rFonts w:hint="eastAsia" w:ascii="Times New Roman" w:hAnsi="Times New Roman" w:eastAsia="宋体"/>
                      <w:bCs/>
                      <w:color w:val="auto"/>
                      <w:kern w:val="0"/>
                      <w:sz w:val="21"/>
                      <w:szCs w:val="21"/>
                    </w:rPr>
                    <w:t>49</w:t>
                  </w:r>
                </w:p>
              </w:tc>
              <w:tc>
                <w:tcPr>
                  <w:tcW w:w="20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rPr>
                  </w:pPr>
                  <w:r>
                    <w:rPr>
                      <w:rFonts w:hint="eastAsia" w:ascii="Times New Roman" w:hAnsi="Times New Roman" w:eastAsia="宋体"/>
                      <w:color w:val="auto"/>
                      <w:sz w:val="21"/>
                    </w:rPr>
                    <w:t>交由资质单位处理</w:t>
                  </w:r>
                </w:p>
              </w:tc>
            </w:tr>
          </w:tbl>
          <w:p>
            <w:pPr>
              <w:pStyle w:val="35"/>
              <w:keepNext w:val="0"/>
              <w:keepLines w:val="0"/>
              <w:pageBreakBefore w:val="0"/>
              <w:kinsoku/>
              <w:wordWrap/>
              <w:overflowPunct/>
              <w:topLinePunct w:val="0"/>
              <w:bidi w:val="0"/>
              <w:adjustRightInd w:val="0"/>
              <w:snapToGrid/>
              <w:spacing w:line="360" w:lineRule="auto"/>
              <w:ind w:firstLine="481" w:firstLineChars="200"/>
              <w:jc w:val="both"/>
              <w:textAlignment w:val="auto"/>
              <w:rPr>
                <w:rFonts w:ascii="Times New Roman" w:hAnsi="Times New Roman" w:cs="Times New Roman"/>
                <w:b/>
                <w:bCs/>
                <w:color w:val="auto"/>
                <w:sz w:val="24"/>
              </w:rPr>
            </w:pPr>
            <w:r>
              <w:rPr>
                <w:rFonts w:ascii="Times New Roman" w:hAnsi="Times New Roman" w:cs="Times New Roman"/>
                <w:b/>
                <w:bCs/>
                <w:color w:val="auto"/>
                <w:sz w:val="24"/>
              </w:rPr>
              <w:t>（3）医疗废水处理工艺：</w:t>
            </w:r>
          </w:p>
          <w:p>
            <w:pPr>
              <w:keepNext w:val="0"/>
              <w:keepLines w:val="0"/>
              <w:pageBreakBefore w:val="0"/>
              <w:widowControl/>
              <w:kinsoku/>
              <w:wordWrap/>
              <w:overflowPunct/>
              <w:topLinePunct w:val="0"/>
              <w:bidi w:val="0"/>
              <w:adjustRightInd w:val="0"/>
              <w:snapToGrid/>
              <w:spacing w:line="360" w:lineRule="auto"/>
              <w:ind w:firstLine="480" w:firstLineChars="200"/>
              <w:textAlignment w:val="auto"/>
              <w:rPr>
                <w:color w:val="auto"/>
                <w:kern w:val="0"/>
                <w:sz w:val="24"/>
                <w:lang w:bidi="ar"/>
              </w:rPr>
            </w:pPr>
            <w:r>
              <w:rPr>
                <w:color w:val="auto"/>
                <w:kern w:val="0"/>
                <w:sz w:val="24"/>
                <w:lang w:bidi="ar"/>
              </w:rPr>
              <w:t>本项目医院属于非传染病医院，</w:t>
            </w:r>
            <w:r>
              <w:rPr>
                <w:rFonts w:hint="eastAsia"/>
                <w:color w:val="auto"/>
                <w:kern w:val="0"/>
                <w:sz w:val="24"/>
                <w:lang w:bidi="ar"/>
              </w:rPr>
              <w:t>如接收到有传染性疾病的患者则立即转送指定机构治疗。</w:t>
            </w:r>
            <w:r>
              <w:rPr>
                <w:color w:val="auto"/>
                <w:kern w:val="0"/>
                <w:sz w:val="24"/>
                <w:lang w:bidi="ar"/>
              </w:rPr>
              <w:t>项目</w:t>
            </w:r>
            <w:r>
              <w:rPr>
                <w:rFonts w:hint="eastAsia"/>
                <w:color w:val="auto"/>
                <w:kern w:val="0"/>
                <w:sz w:val="24"/>
                <w:lang w:bidi="ar"/>
              </w:rPr>
              <w:t>污水处理设备为地埋式一体化设备，处理工艺为“二级生化处理+MBR膜+消毒”，工艺流程见图2-5，项目污水经过处理后可以</w:t>
            </w:r>
            <w:r>
              <w:rPr>
                <w:color w:val="auto"/>
                <w:kern w:val="0"/>
                <w:sz w:val="24"/>
                <w:lang w:bidi="ar"/>
              </w:rPr>
              <w:t>达到《医疗机构水污染物排放标准》（GB18466-2005）中“综合医疗机构和其他医疗机构水污染物排放限值”的</w:t>
            </w:r>
            <w:r>
              <w:rPr>
                <w:rFonts w:hint="eastAsia"/>
                <w:color w:val="auto"/>
                <w:kern w:val="0"/>
                <w:sz w:val="24"/>
                <w:lang w:bidi="ar"/>
              </w:rPr>
              <w:t>预处理</w:t>
            </w:r>
            <w:r>
              <w:rPr>
                <w:color w:val="auto"/>
                <w:kern w:val="0"/>
                <w:sz w:val="24"/>
                <w:lang w:bidi="ar"/>
              </w:rPr>
              <w:t>准</w:t>
            </w:r>
            <w:r>
              <w:rPr>
                <w:rFonts w:hint="eastAsia"/>
                <w:color w:val="auto"/>
                <w:kern w:val="0"/>
                <w:sz w:val="24"/>
                <w:lang w:bidi="ar"/>
              </w:rPr>
              <w:t>限值要求和温泉镇污水处理厂接管标准，能够通过市政管网排入温泉污水处理厂进一步处理，尾水最终排入鄱阳湖。</w:t>
            </w:r>
          </w:p>
          <w:tbl>
            <w:tblPr>
              <w:tblStyle w:val="2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91"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color w:val="auto"/>
                      <w:kern w:val="0"/>
                      <w:sz w:val="24"/>
                      <w:lang w:bidi="ar"/>
                    </w:rPr>
                  </w:pPr>
                  <w:r>
                    <w:rPr>
                      <w:color w:val="auto"/>
                    </w:rPr>
                    <w:drawing>
                      <wp:inline distT="0" distB="0" distL="114300" distR="114300">
                        <wp:extent cx="4255770" cy="4260215"/>
                        <wp:effectExtent l="0" t="0" r="1905" b="698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3"/>
                                <a:stretch>
                                  <a:fillRect/>
                                </a:stretch>
                              </pic:blipFill>
                              <pic:spPr>
                                <a:xfrm>
                                  <a:off x="0" y="0"/>
                                  <a:ext cx="4255770" cy="42602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91" w:type="dxa"/>
                </w:tcPr>
                <w:p>
                  <w:pPr>
                    <w:widowControl/>
                    <w:jc w:val="center"/>
                    <w:rPr>
                      <w:color w:val="auto"/>
                      <w:kern w:val="0"/>
                      <w:sz w:val="24"/>
                      <w:lang w:bidi="ar"/>
                    </w:rPr>
                  </w:pPr>
                  <w:r>
                    <w:rPr>
                      <w:rFonts w:hint="eastAsia"/>
                      <w:b/>
                      <w:bCs/>
                      <w:color w:val="auto"/>
                      <w:kern w:val="0"/>
                      <w:szCs w:val="21"/>
                      <w:lang w:bidi="ar"/>
                    </w:rPr>
                    <w:t>图2-</w:t>
                  </w:r>
                  <w:r>
                    <w:rPr>
                      <w:rFonts w:hint="eastAsia"/>
                      <w:b/>
                      <w:bCs/>
                      <w:color w:val="auto"/>
                      <w:kern w:val="0"/>
                      <w:szCs w:val="21"/>
                      <w:lang w:val="en-US" w:eastAsia="zh-CN" w:bidi="ar"/>
                    </w:rPr>
                    <w:t xml:space="preserve">5 </w:t>
                  </w:r>
                  <w:r>
                    <w:rPr>
                      <w:rFonts w:hint="eastAsia"/>
                      <w:b/>
                      <w:bCs/>
                      <w:color w:val="auto"/>
                      <w:kern w:val="0"/>
                      <w:szCs w:val="21"/>
                      <w:lang w:bidi="ar"/>
                    </w:rPr>
                    <w:t>项目运营期污水处理工艺流程示意图</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kern w:val="0"/>
                <w:sz w:val="24"/>
                <w:lang w:bidi="ar"/>
              </w:rPr>
            </w:pPr>
            <w:r>
              <w:rPr>
                <w:color w:val="auto"/>
                <w:kern w:val="0"/>
                <w:sz w:val="24"/>
                <w:lang w:bidi="ar"/>
              </w:rPr>
              <w:t>根据《医院污水处理工程技术规范》（HJ2029-2013）</w:t>
            </w:r>
            <w:r>
              <w:rPr>
                <w:rFonts w:hint="eastAsia"/>
                <w:color w:val="auto"/>
                <w:kern w:val="0"/>
                <w:sz w:val="24"/>
                <w:lang w:bidi="ar"/>
              </w:rPr>
              <w:t>，项目污水处理工艺属于“二级处理+（深化处理）+消毒工艺”，处理技术可行。项目污水处理构筑物作用如下。</w:t>
            </w:r>
          </w:p>
          <w:p>
            <w:pPr>
              <w:pStyle w:val="14"/>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color w:val="auto"/>
                <w:sz w:val="24"/>
              </w:rPr>
            </w:pPr>
            <w:r>
              <w:rPr>
                <w:rFonts w:hint="eastAsia" w:cs="微软雅黑"/>
                <w:b/>
                <w:bCs/>
                <w:color w:val="auto"/>
                <w:sz w:val="24"/>
              </w:rPr>
              <w:t>①</w:t>
            </w:r>
            <w:r>
              <w:rPr>
                <w:rFonts w:hint="eastAsia"/>
                <w:b/>
                <w:bCs/>
                <w:color w:val="auto"/>
                <w:kern w:val="0"/>
                <w:sz w:val="24"/>
                <w:lang w:bidi="ar"/>
              </w:rPr>
              <w:t>隔油池：</w:t>
            </w:r>
            <w:r>
              <w:rPr>
                <w:rFonts w:hint="eastAsia"/>
                <w:color w:val="auto"/>
                <w:kern w:val="0"/>
                <w:sz w:val="24"/>
                <w:lang w:bidi="ar"/>
              </w:rPr>
              <w:t>项目</w:t>
            </w:r>
            <w:r>
              <w:rPr>
                <w:rFonts w:hint="eastAsia"/>
                <w:color w:val="auto"/>
                <w:sz w:val="24"/>
              </w:rPr>
              <w:t>食堂产生的含油废水需经过隔油池处理后，去除废水中的油污类物质，再进入化粪池，然后与其他废水一同进入项目污水处理站，本项目隔油池设置在化粪池旁，容积为2m</w:t>
            </w:r>
            <w:r>
              <w:rPr>
                <w:rFonts w:hint="eastAsia"/>
                <w:color w:val="auto"/>
                <w:sz w:val="24"/>
                <w:vertAlign w:val="superscript"/>
              </w:rPr>
              <w:t>3</w:t>
            </w:r>
            <w:r>
              <w:rPr>
                <w:rFonts w:hint="eastAsia"/>
                <w:color w:val="auto"/>
                <w:sz w:val="24"/>
              </w:rPr>
              <w:t>，可以满足《医疗机构水污染物排放标准》（G</w:t>
            </w:r>
            <w:r>
              <w:rPr>
                <w:color w:val="auto"/>
                <w:sz w:val="24"/>
              </w:rPr>
              <w:t>B18466-2005</w:t>
            </w:r>
            <w:r>
              <w:rPr>
                <w:rFonts w:hint="eastAsia"/>
                <w:color w:val="auto"/>
                <w:sz w:val="24"/>
              </w:rPr>
              <w:t>）中“含油废水应设置隔油池处理”的要求，处理设施合理可行。</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color w:val="auto"/>
                <w:sz w:val="24"/>
              </w:rPr>
            </w:pPr>
            <w:r>
              <w:rPr>
                <w:rFonts w:hint="eastAsia" w:cs="微软雅黑"/>
                <w:b/>
                <w:bCs/>
                <w:color w:val="auto"/>
                <w:kern w:val="0"/>
                <w:sz w:val="24"/>
                <w:lang w:bidi="ar"/>
              </w:rPr>
              <w:t>②</w:t>
            </w:r>
            <w:r>
              <w:rPr>
                <w:rFonts w:hint="eastAsia"/>
                <w:b/>
                <w:bCs/>
                <w:color w:val="auto"/>
                <w:sz w:val="24"/>
              </w:rPr>
              <w:t>调节池：</w:t>
            </w:r>
            <w:r>
              <w:rPr>
                <w:rFonts w:hint="eastAsia"/>
                <w:color w:val="auto"/>
                <w:sz w:val="24"/>
              </w:rPr>
              <w:t>调节水量，均衡水质，格栅可与调节池一同设计，调节池水力停留时间设计为 5h。</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color w:val="auto"/>
                <w:sz w:val="24"/>
              </w:rPr>
            </w:pPr>
            <w:r>
              <w:rPr>
                <w:rFonts w:hint="eastAsia" w:cs="微软雅黑"/>
                <w:b/>
                <w:bCs/>
                <w:color w:val="auto"/>
                <w:sz w:val="24"/>
              </w:rPr>
              <w:t>③</w:t>
            </w:r>
            <w:r>
              <w:rPr>
                <w:rFonts w:hint="eastAsia"/>
                <w:b/>
                <w:bCs/>
                <w:color w:val="auto"/>
                <w:sz w:val="24"/>
              </w:rPr>
              <w:t>A池（缺氧池）：</w:t>
            </w:r>
            <w:r>
              <w:rPr>
                <w:color w:val="auto"/>
                <w:sz w:val="24"/>
              </w:rPr>
              <w:t xml:space="preserve">A </w:t>
            </w:r>
            <w:r>
              <w:rPr>
                <w:rFonts w:hint="eastAsia"/>
                <w:color w:val="auto"/>
                <w:sz w:val="24"/>
              </w:rPr>
              <w:t xml:space="preserve">池将污水进一步混合，充分利用池内高效生物弹性填料作为细菌载体，靠兼氧微生物将污水中难溶解有机物转化为可溶解性有机物，将大分子有机物水解成小分子有机物，以利于后续 </w:t>
            </w:r>
            <w:r>
              <w:rPr>
                <w:color w:val="auto"/>
                <w:sz w:val="24"/>
              </w:rPr>
              <w:t xml:space="preserve">O </w:t>
            </w:r>
            <w:r>
              <w:rPr>
                <w:rFonts w:hint="eastAsia"/>
                <w:color w:val="auto"/>
                <w:sz w:val="24"/>
              </w:rPr>
              <w:t>级生物处理池进一步氧化分解，同时通过回流的硝炭氮在硝化菌的作用下，可进行部分硝化和反硝化，去除氨氮。</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color w:val="auto"/>
                <w:sz w:val="24"/>
              </w:rPr>
            </w:pPr>
            <w:r>
              <w:rPr>
                <w:rFonts w:hint="eastAsia"/>
                <w:b/>
                <w:bCs/>
                <w:color w:val="auto"/>
                <w:sz w:val="24"/>
              </w:rPr>
              <w:t>③O池（生物接触氧化池）：</w:t>
            </w:r>
            <w:r>
              <w:rPr>
                <w:rFonts w:hint="eastAsia"/>
                <w:color w:val="auto"/>
                <w:sz w:val="24"/>
              </w:rPr>
              <w:t>该池为污水处理的核心部分，分二段，前一段在较高的有机负荷下，通过附着于填料上的大量不同种属的微生物群落共同参与下的生化降解和吸附作用，去除污水中的各种有机物质，使污水中的有机物含量大幅度降低。后段在有机负荷较低的情况下，通过硝化菌的作用，在氧量充足的条件下降解污水中的氨氮，同时也使污水中的 COD 值降低到更低的水平，使污水得以净化。</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color w:val="auto"/>
                <w:sz w:val="24"/>
              </w:rPr>
            </w:pPr>
            <w:r>
              <w:rPr>
                <w:rFonts w:hint="eastAsia" w:cs="微软雅黑"/>
                <w:b/>
                <w:bCs/>
                <w:color w:val="auto"/>
                <w:sz w:val="24"/>
              </w:rPr>
              <w:t>④</w:t>
            </w:r>
            <w:r>
              <w:rPr>
                <w:rFonts w:hint="eastAsia"/>
                <w:b/>
                <w:bCs/>
                <w:color w:val="auto"/>
                <w:sz w:val="24"/>
              </w:rPr>
              <w:t>MBR膜池（膜生物反应器）：</w:t>
            </w:r>
            <w:r>
              <w:rPr>
                <w:rFonts w:hint="eastAsia"/>
                <w:color w:val="auto"/>
                <w:sz w:val="24"/>
              </w:rPr>
              <w:t>是一种由活性污泥法与膜分离技术相结合的新型水处理技术，用MBR膜分离过程取代传统活性污泥法中二沉池依靠活性污泥的沉降性能来实现泥水分离过程。</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MBR能够大大提高固液分离效率和生化反应速率，同时降低 F/M比减少剩余污泥产生量，甚至无剩余污泥排放，通过膜的高效分离作用可以保证出水水质稳定，能够完全去除SS，对细菌和病毒也有很好的截留效果。</w:t>
            </w:r>
          </w:p>
          <w:p>
            <w:pPr>
              <w:keepNext w:val="0"/>
              <w:keepLines w:val="0"/>
              <w:pageBreakBefore w:val="0"/>
              <w:widowControl/>
              <w:kinsoku/>
              <w:wordWrap/>
              <w:overflowPunct/>
              <w:topLinePunct w:val="0"/>
              <w:autoSpaceDE/>
              <w:autoSpaceDN/>
              <w:bidi w:val="0"/>
              <w:adjustRightInd w:val="0"/>
              <w:snapToGrid/>
              <w:spacing w:line="360" w:lineRule="auto"/>
              <w:ind w:firstLine="481" w:firstLineChars="200"/>
              <w:textAlignment w:val="auto"/>
              <w:rPr>
                <w:color w:val="auto"/>
                <w:sz w:val="24"/>
              </w:rPr>
            </w:pPr>
            <w:r>
              <w:rPr>
                <w:rFonts w:hint="eastAsia" w:cs="微软雅黑"/>
                <w:b/>
                <w:bCs/>
                <w:color w:val="auto"/>
                <w:sz w:val="24"/>
              </w:rPr>
              <w:t>⑤</w:t>
            </w:r>
            <w:r>
              <w:rPr>
                <w:rFonts w:hint="eastAsia"/>
                <w:b/>
                <w:bCs/>
                <w:color w:val="auto"/>
                <w:sz w:val="24"/>
              </w:rPr>
              <w:t>消毒：</w:t>
            </w:r>
            <w:r>
              <w:rPr>
                <w:rFonts w:hint="eastAsia"/>
                <w:color w:val="auto"/>
                <w:sz w:val="24"/>
              </w:rPr>
              <w:t>医院污水消毒</w:t>
            </w:r>
            <w:r>
              <w:rPr>
                <w:color w:val="auto"/>
                <w:kern w:val="0"/>
                <w:sz w:val="24"/>
                <w:lang w:bidi="ar"/>
              </w:rPr>
              <w:t>是医院污水处理的重要工艺过程，</w:t>
            </w:r>
            <w:r>
              <w:rPr>
                <w:rFonts w:hint="eastAsia"/>
                <w:color w:val="auto"/>
                <w:sz w:val="24"/>
              </w:rPr>
              <w:t>目的是杀灭污水中的各种致病菌。医院污水消毒常用的消毒工艺有氯消毒（如氯气、二氧化氯、次氯酸钠）、氧化剂消毒（如臭氧、过氧乙酸）、辐射消毒（如紫外线、γ 射线）。</w:t>
            </w:r>
            <w:r>
              <w:rPr>
                <w:color w:val="auto"/>
                <w:kern w:val="0"/>
                <w:sz w:val="24"/>
                <w:lang w:bidi="ar"/>
              </w:rPr>
              <w:t>本项目采用</w:t>
            </w:r>
            <w:r>
              <w:rPr>
                <w:rFonts w:hint="eastAsia"/>
                <w:color w:val="auto"/>
                <w:kern w:val="0"/>
                <w:sz w:val="24"/>
                <w:lang w:bidi="ar"/>
              </w:rPr>
              <w:t>次氯酸钠</w:t>
            </w:r>
            <w:r>
              <w:rPr>
                <w:color w:val="auto"/>
                <w:kern w:val="0"/>
                <w:sz w:val="24"/>
                <w:lang w:bidi="ar"/>
              </w:rPr>
              <w:t>消毒</w:t>
            </w:r>
            <w:r>
              <w:rPr>
                <w:rFonts w:hint="eastAsia"/>
                <w:color w:val="auto"/>
                <w:kern w:val="0"/>
                <w:sz w:val="24"/>
                <w:lang w:bidi="ar"/>
              </w:rPr>
              <w:t>。</w:t>
            </w:r>
          </w:p>
          <w:p>
            <w:pPr>
              <w:keepNext w:val="0"/>
              <w:keepLines w:val="0"/>
              <w:pageBreakBefore w:val="0"/>
              <w:widowControl/>
              <w:kinsoku/>
              <w:wordWrap/>
              <w:overflowPunct/>
              <w:topLinePunct w:val="0"/>
              <w:autoSpaceDE/>
              <w:autoSpaceDN/>
              <w:bidi w:val="0"/>
              <w:adjustRightInd w:val="0"/>
              <w:snapToGrid/>
              <w:spacing w:line="360" w:lineRule="auto"/>
              <w:ind w:firstLine="481" w:firstLineChars="200"/>
              <w:textAlignment w:val="auto"/>
              <w:rPr>
                <w:rFonts w:hint="eastAsia"/>
                <w:color w:val="auto"/>
                <w:kern w:val="0"/>
                <w:sz w:val="24"/>
                <w:lang w:bidi="ar"/>
              </w:rPr>
            </w:pPr>
            <w:r>
              <w:rPr>
                <w:rFonts w:hint="eastAsia" w:cs="微软雅黑"/>
                <w:b/>
                <w:bCs/>
                <w:color w:val="auto"/>
                <w:kern w:val="0"/>
                <w:sz w:val="24"/>
                <w:lang w:bidi="ar"/>
              </w:rPr>
              <w:t>⑥</w:t>
            </w:r>
            <w:r>
              <w:rPr>
                <w:b/>
                <w:bCs/>
                <w:color w:val="auto"/>
                <w:kern w:val="0"/>
                <w:sz w:val="24"/>
                <w:lang w:bidi="ar"/>
              </w:rPr>
              <w:t>事故应急</w:t>
            </w:r>
            <w:r>
              <w:rPr>
                <w:rFonts w:hint="eastAsia"/>
                <w:b/>
                <w:bCs/>
                <w:color w:val="auto"/>
                <w:kern w:val="0"/>
                <w:sz w:val="24"/>
                <w:lang w:bidi="ar"/>
              </w:rPr>
              <w:t>池：</w:t>
            </w:r>
            <w:r>
              <w:rPr>
                <w:color w:val="auto"/>
                <w:kern w:val="0"/>
                <w:sz w:val="24"/>
                <w:lang w:bidi="ar"/>
              </w:rPr>
              <w:t>根据《医院污水处理工程技术规范》（HJ2029-2013）12.4.1要求，医院污水处理工程应设应急事故池，以贮存处理系统事故或其他突发事件时医院污水。非传染病医院污水处理工程应急事故池容积不小于日排放量的30%。</w:t>
            </w:r>
            <w:r>
              <w:rPr>
                <w:rFonts w:hint="eastAsia"/>
                <w:color w:val="auto"/>
                <w:kern w:val="0"/>
                <w:sz w:val="24"/>
                <w:lang w:bidi="ar"/>
              </w:rPr>
              <w:t>本项目事故应急池设于污水处理站旁，容积为5m</w:t>
            </w:r>
            <w:r>
              <w:rPr>
                <w:rFonts w:hint="eastAsia"/>
                <w:color w:val="auto"/>
                <w:kern w:val="0"/>
                <w:sz w:val="24"/>
                <w:vertAlign w:val="superscript"/>
                <w:lang w:bidi="ar"/>
              </w:rPr>
              <w:t>3</w:t>
            </w:r>
            <w:r>
              <w:rPr>
                <w:rFonts w:hint="eastAsia"/>
                <w:color w:val="auto"/>
                <w:kern w:val="0"/>
                <w:sz w:val="24"/>
                <w:lang w:bidi="ar"/>
              </w:rPr>
              <w:t>，项目日污水排放量为8.609m</w:t>
            </w:r>
            <w:r>
              <w:rPr>
                <w:rFonts w:hint="eastAsia"/>
                <w:color w:val="auto"/>
                <w:kern w:val="0"/>
                <w:sz w:val="24"/>
                <w:vertAlign w:val="superscript"/>
                <w:lang w:bidi="ar"/>
              </w:rPr>
              <w:t>3</w:t>
            </w:r>
            <w:r>
              <w:rPr>
                <w:rFonts w:hint="eastAsia"/>
                <w:color w:val="auto"/>
                <w:kern w:val="0"/>
                <w:sz w:val="24"/>
                <w:lang w:bidi="ar"/>
              </w:rPr>
              <w:t>/d，</w:t>
            </w:r>
            <w:r>
              <w:rPr>
                <w:color w:val="auto"/>
                <w:kern w:val="0"/>
                <w:sz w:val="24"/>
                <w:lang w:bidi="ar"/>
              </w:rPr>
              <w:t>应急事故池容积</w:t>
            </w:r>
            <w:r>
              <w:rPr>
                <w:rFonts w:hint="eastAsia"/>
                <w:color w:val="auto"/>
                <w:kern w:val="0"/>
                <w:sz w:val="24"/>
                <w:lang w:bidi="ar"/>
              </w:rPr>
              <w:t>符合要求。</w:t>
            </w:r>
          </w:p>
          <w:p>
            <w:pPr>
              <w:pStyle w:val="14"/>
              <w:rPr>
                <w:rFonts w:hint="eastAsia"/>
                <w:color w:val="auto"/>
                <w:kern w:val="0"/>
                <w:sz w:val="24"/>
                <w:lang w:bidi="ar"/>
              </w:rPr>
            </w:pPr>
          </w:p>
          <w:p>
            <w:pPr>
              <w:pStyle w:val="15"/>
              <w:rPr>
                <w:rFonts w:hint="eastAsia"/>
                <w:color w:val="auto"/>
                <w:kern w:val="0"/>
                <w:sz w:val="24"/>
                <w:lang w:bidi="ar"/>
              </w:rPr>
            </w:pPr>
          </w:p>
          <w:p>
            <w:pPr>
              <w:pStyle w:val="15"/>
              <w:ind w:left="0" w:leftChars="0" w:firstLine="0" w:firstLineChars="0"/>
              <w:rPr>
                <w:rFonts w:hint="eastAsia"/>
                <w:color w:val="auto"/>
                <w:kern w:val="0"/>
                <w:sz w:val="24"/>
                <w:lang w:bidi="ar"/>
              </w:rPr>
            </w:pPr>
          </w:p>
          <w:p>
            <w:pP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7" w:type="dxa"/>
            <w:tcBorders>
              <w:tl2br w:val="nil"/>
              <w:tr2bl w:val="nil"/>
            </w:tcBorders>
            <w:vAlign w:val="center"/>
          </w:tcPr>
          <w:p>
            <w:pPr>
              <w:pStyle w:val="50"/>
              <w:spacing w:line="240" w:lineRule="auto"/>
              <w:rPr>
                <w:b/>
                <w:bCs/>
                <w:color w:val="auto"/>
                <w:sz w:val="24"/>
              </w:rPr>
            </w:pPr>
            <w:r>
              <w:rPr>
                <w:rFonts w:hint="eastAsia"/>
                <w:b/>
                <w:bCs/>
                <w:color w:val="auto"/>
                <w:sz w:val="24"/>
              </w:rPr>
              <w:t>与项目有关的</w:t>
            </w:r>
          </w:p>
          <w:p>
            <w:pPr>
              <w:jc w:val="center"/>
              <w:rPr>
                <w:b/>
                <w:bCs/>
                <w:color w:val="auto"/>
              </w:rPr>
            </w:pPr>
            <w:r>
              <w:rPr>
                <w:rFonts w:hint="eastAsia"/>
                <w:b/>
                <w:bCs/>
                <w:color w:val="auto"/>
                <w:sz w:val="24"/>
              </w:rPr>
              <w:t>原有环境污染问题</w:t>
            </w:r>
          </w:p>
        </w:tc>
        <w:tc>
          <w:tcPr>
            <w:tcW w:w="7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color w:val="auto"/>
                <w:sz w:val="24"/>
                <w:szCs w:val="21"/>
              </w:rPr>
            </w:pPr>
            <w:r>
              <w:rPr>
                <w:rFonts w:hint="eastAsia"/>
                <w:color w:val="auto"/>
                <w:sz w:val="24"/>
                <w:szCs w:val="21"/>
              </w:rPr>
              <w:t>本项目为搬迁项目，温泉镇中心卫生院老院位于</w:t>
            </w:r>
            <w:r>
              <w:rPr>
                <w:rFonts w:hint="eastAsia"/>
                <w:color w:val="auto"/>
                <w:sz w:val="24"/>
              </w:rPr>
              <w:t>庐山市温泉镇隘口街（庐山市隘口中学旁）</w:t>
            </w:r>
            <w:r>
              <w:rPr>
                <w:rFonts w:hint="eastAsia"/>
                <w:color w:val="auto"/>
                <w:sz w:val="24"/>
                <w:szCs w:val="21"/>
              </w:rPr>
              <w:t>，因建设时间较早，当时未办理过相关的环评手续，根据建设单位提供的资料，老院日</w:t>
            </w:r>
            <w:r>
              <w:rPr>
                <w:rFonts w:hint="eastAsia"/>
                <w:color w:val="auto"/>
                <w:sz w:val="24"/>
              </w:rPr>
              <w:t>平均门诊量为10人/d，核定床位20张，开设床位6张，医院污水首先经过化粪池处理，然后排入院内污水处理设备（处理工艺：A</w:t>
            </w:r>
            <w:r>
              <w:rPr>
                <w:rFonts w:hint="eastAsia"/>
                <w:color w:val="auto"/>
                <w:sz w:val="24"/>
                <w:vertAlign w:val="superscript"/>
              </w:rPr>
              <w:t>2</w:t>
            </w:r>
            <w:r>
              <w:rPr>
                <w:rFonts w:hint="eastAsia"/>
                <w:color w:val="auto"/>
                <w:sz w:val="24"/>
              </w:rPr>
              <w:t>O+沉淀池+消毒）处理，处理后的废水散排至附近的水体。老院已停止接诊病人，原有医疗设备已全部转移至新院址暂存，老院目前已经拆除，原有用地由政府单位收回用于其他建设规划。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color w:val="auto"/>
                <w:sz w:val="24"/>
                <w:lang w:val="en-US"/>
              </w:rPr>
            </w:pPr>
            <w:r>
              <w:rPr>
                <w:rFonts w:hint="eastAsia"/>
                <w:color w:val="auto"/>
                <w:sz w:val="24"/>
                <w:szCs w:val="21"/>
              </w:rPr>
              <w:t>温泉镇中心卫生院新院建设地点位于</w:t>
            </w:r>
            <w:r>
              <w:rPr>
                <w:rFonts w:hint="eastAsia"/>
                <w:color w:val="auto"/>
                <w:sz w:val="24"/>
              </w:rPr>
              <w:t>庐山市温泉镇212省道（环南山公路老隘口村旁）</w:t>
            </w:r>
            <w:r>
              <w:rPr>
                <w:rFonts w:hint="eastAsia"/>
                <w:color w:val="auto"/>
                <w:sz w:val="24"/>
                <w:szCs w:val="21"/>
              </w:rPr>
              <w:t>，建设内容主要为</w:t>
            </w:r>
            <w:r>
              <w:rPr>
                <w:color w:val="auto"/>
                <w:sz w:val="24"/>
              </w:rPr>
              <w:t>4602平方米急救大楼</w:t>
            </w:r>
            <w:r>
              <w:rPr>
                <w:rFonts w:hint="eastAsia"/>
                <w:color w:val="auto"/>
                <w:sz w:val="24"/>
              </w:rPr>
              <w:t>内部</w:t>
            </w:r>
            <w:r>
              <w:rPr>
                <w:color w:val="auto"/>
                <w:sz w:val="24"/>
              </w:rPr>
              <w:t>装修设计，室外场地硬化、新建围墙门卫，废水处理系统，污水处理</w:t>
            </w:r>
            <w:r>
              <w:rPr>
                <w:rFonts w:hint="eastAsia"/>
                <w:color w:val="auto"/>
                <w:sz w:val="24"/>
              </w:rPr>
              <w:t>，医疗</w:t>
            </w:r>
            <w:r>
              <w:rPr>
                <w:rFonts w:hint="eastAsia"/>
                <w:color w:val="auto"/>
                <w:sz w:val="24"/>
                <w:szCs w:val="21"/>
              </w:rPr>
              <w:t>设备安装。根据现场踏勘，项目</w:t>
            </w:r>
            <w:r>
              <w:rPr>
                <w:rFonts w:hint="eastAsia"/>
                <w:color w:val="auto"/>
                <w:sz w:val="24"/>
              </w:rPr>
              <w:t>急救中心大楼前期未进行过任何生产性活动，不存在原有环境污染问题。同时，温泉镇中心卫生院已完成新院（急救中心大楼）建设内容</w:t>
            </w:r>
            <w:r>
              <w:rPr>
                <w:rFonts w:hint="eastAsia"/>
                <w:color w:val="auto"/>
                <w:sz w:val="24"/>
                <w:lang w:eastAsia="zh-CN"/>
              </w:rPr>
              <w:t>，</w:t>
            </w:r>
            <w:r>
              <w:rPr>
                <w:rFonts w:hint="eastAsia"/>
                <w:color w:val="auto"/>
                <w:sz w:val="24"/>
                <w:lang w:val="en-US" w:eastAsia="zh-CN"/>
              </w:rPr>
              <w:t>并投入运营</w:t>
            </w:r>
            <w:r>
              <w:rPr>
                <w:rFonts w:hint="eastAsia"/>
                <w:color w:val="auto"/>
                <w:sz w:val="24"/>
              </w:rPr>
              <w:t>。主要环境问题为</w:t>
            </w:r>
            <w:r>
              <w:rPr>
                <w:rFonts w:hint="eastAsia"/>
                <w:color w:val="auto"/>
                <w:sz w:val="24"/>
                <w:szCs w:val="21"/>
              </w:rPr>
              <w:t>新院建设未办理相关环评手续；</w:t>
            </w:r>
            <w:r>
              <w:rPr>
                <w:rFonts w:hint="eastAsia"/>
                <w:color w:val="auto"/>
                <w:sz w:val="24"/>
                <w:lang w:val="en-US" w:eastAsia="zh-CN"/>
              </w:rPr>
              <w:t>九江市生态环境局已对其出具行政处罚决定书，庐山市温泉镇中心卫生院按相关要求办理相应环保手续。</w:t>
            </w:r>
          </w:p>
          <w:p>
            <w:pPr>
              <w:pStyle w:val="15"/>
              <w:ind w:left="0" w:leftChars="0" w:firstLine="0" w:firstLineChars="0"/>
              <w:jc w:val="both"/>
              <w:rPr>
                <w:rFonts w:hint="eastAsia"/>
                <w:color w:val="auto"/>
                <w:sz w:val="24"/>
                <w:szCs w:val="21"/>
              </w:rPr>
            </w:pPr>
          </w:p>
          <w:p>
            <w:pPr>
              <w:pStyle w:val="15"/>
              <w:jc w:val="both"/>
              <w:rPr>
                <w:rFonts w:hint="eastAsia"/>
                <w:color w:val="auto"/>
                <w:sz w:val="24"/>
                <w:szCs w:val="21"/>
              </w:rPr>
            </w:pPr>
          </w:p>
          <w:p>
            <w:pPr>
              <w:pStyle w:val="15"/>
              <w:jc w:val="both"/>
              <w:rPr>
                <w:rFonts w:hint="eastAsia"/>
                <w:color w:val="auto"/>
                <w:sz w:val="24"/>
                <w:szCs w:val="21"/>
              </w:rPr>
            </w:pPr>
          </w:p>
          <w:p>
            <w:pPr>
              <w:pStyle w:val="15"/>
              <w:jc w:val="both"/>
              <w:rPr>
                <w:rFonts w:hint="eastAsia"/>
                <w:color w:val="auto"/>
                <w:sz w:val="24"/>
                <w:szCs w:val="21"/>
              </w:rPr>
            </w:pPr>
          </w:p>
          <w:p>
            <w:pPr>
              <w:pStyle w:val="15"/>
              <w:ind w:left="0" w:leftChars="0" w:firstLine="0" w:firstLineChars="0"/>
              <w:jc w:val="both"/>
              <w:rPr>
                <w:rFonts w:hint="eastAsia"/>
                <w:color w:val="auto"/>
                <w:sz w:val="24"/>
                <w:szCs w:val="21"/>
              </w:rPr>
            </w:pPr>
          </w:p>
        </w:tc>
      </w:tr>
    </w:tbl>
    <w:p>
      <w:pPr>
        <w:rPr>
          <w:color w:val="auto"/>
        </w:rPr>
        <w:sectPr>
          <w:pgSz w:w="11906" w:h="16838"/>
          <w:pgMar w:top="1701" w:right="1531" w:bottom="1701" w:left="1531" w:header="851" w:footer="992" w:gutter="0"/>
          <w:pgBorders>
            <w:top w:val="none" w:sz="0" w:space="0"/>
            <w:left w:val="none" w:sz="0" w:space="0"/>
            <w:bottom w:val="none" w:sz="0" w:space="0"/>
            <w:right w:val="none" w:sz="0" w:space="0"/>
          </w:pgBorders>
          <w:cols w:space="0" w:num="1"/>
          <w:docGrid w:type="lines" w:linePitch="312" w:charSpace="0"/>
        </w:sectPr>
      </w:pPr>
    </w:p>
    <w:p>
      <w:pPr>
        <w:pStyle w:val="31"/>
        <w:keepNext/>
        <w:keepLines w:val="0"/>
        <w:pageBreakBefore w:val="0"/>
        <w:widowControl/>
        <w:numPr>
          <w:ilvl w:val="0"/>
          <w:numId w:val="3"/>
        </w:numPr>
        <w:kinsoku/>
        <w:wordWrap/>
        <w:overflowPunct/>
        <w:topLinePunct w:val="0"/>
        <w:autoSpaceDE/>
        <w:autoSpaceDN/>
        <w:bidi w:val="0"/>
        <w:adjustRightInd/>
        <w:snapToGrid/>
        <w:ind w:left="0" w:leftChars="0" w:firstLine="0" w:firstLineChars="0"/>
        <w:textAlignment w:val="auto"/>
        <w:rPr>
          <w:color w:val="auto"/>
        </w:rPr>
      </w:pPr>
      <w:bookmarkStart w:id="6" w:name="_Toc9260"/>
      <w:r>
        <w:rPr>
          <w:rFonts w:hint="eastAsia"/>
          <w:color w:val="auto"/>
        </w:rPr>
        <w:t>区域环境质量现状、环境保护目标及评价标准</w:t>
      </w:r>
      <w:bookmarkEnd w:id="6"/>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22" w:type="dxa"/>
            <w:tcBorders>
              <w:tl2br w:val="nil"/>
              <w:tr2bl w:val="nil"/>
            </w:tcBorders>
            <w:vAlign w:val="center"/>
          </w:tcPr>
          <w:p>
            <w:pPr>
              <w:pStyle w:val="50"/>
              <w:rPr>
                <w:color w:val="auto"/>
              </w:rPr>
            </w:pPr>
            <w:r>
              <w:rPr>
                <w:rFonts w:hint="eastAsia"/>
                <w:b/>
                <w:bCs/>
                <w:color w:val="auto"/>
              </w:rPr>
              <w:t>区域环境质量现状</w:t>
            </w:r>
          </w:p>
        </w:tc>
        <w:tc>
          <w:tcPr>
            <w:tcW w:w="8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b/>
                <w:bCs/>
                <w:color w:val="auto"/>
                <w:sz w:val="24"/>
              </w:rPr>
              <w:t>1.环境空气</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b/>
                <w:bCs/>
                <w:color w:val="auto"/>
                <w:sz w:val="24"/>
              </w:rPr>
              <w:t>（1）区域环境质量达标情况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环境影响评价技术导则大气环境》（HJ2.2-2018）规定，项目所在区域基本污染物环境质量现状达标判定，优先采用国家或地方生态环境主管部门公开发布的评价基准年环境质量公告或环境质量报告中的数据或结论。</w:t>
            </w:r>
            <w:r>
              <w:rPr>
                <w:color w:val="auto"/>
                <w:sz w:val="24"/>
              </w:rPr>
              <w:t>根据大气功能区划分，本项目所在地为二类功能区，环境空气质量执行《环境空气质量标准》（GB3095-2012）二级标准。</w:t>
            </w:r>
            <w:r>
              <w:rPr>
                <w:rFonts w:hint="eastAsia"/>
                <w:color w:val="auto"/>
                <w:sz w:val="24"/>
              </w:rPr>
              <w:t>本次评价引用江西省生态环境厅门户网站发布的“2023年江西省各县（市、区）六项污染物浓度年均值”中九江市庐山市监测数据，</w:t>
            </w:r>
            <w:r>
              <w:rPr>
                <w:color w:val="auto"/>
                <w:sz w:val="24"/>
              </w:rPr>
              <w:t>区域空气质量现状评价表见表3-1</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color w:val="auto"/>
                <w:sz w:val="21"/>
              </w:rPr>
            </w:pPr>
            <w:r>
              <w:rPr>
                <w:rFonts w:hint="eastAsia" w:ascii="Times New Roman" w:hAnsi="Times New Roman" w:eastAsia="宋体"/>
                <w:b/>
                <w:color w:val="auto"/>
                <w:sz w:val="21"/>
              </w:rPr>
              <w:t>表3-1</w:t>
            </w:r>
            <w:r>
              <w:rPr>
                <w:rFonts w:hint="eastAsia"/>
                <w:b/>
                <w:color w:val="auto"/>
                <w:sz w:val="21"/>
                <w:lang w:val="en-US" w:eastAsia="zh-CN"/>
              </w:rPr>
              <w:t xml:space="preserve"> </w:t>
            </w:r>
            <w:r>
              <w:rPr>
                <w:rFonts w:hint="eastAsia" w:ascii="Times New Roman" w:hAnsi="Times New Roman" w:eastAsia="宋体"/>
                <w:b/>
                <w:color w:val="auto"/>
                <w:sz w:val="21"/>
              </w:rPr>
              <w:t>区域空气质量现状评价表</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57" w:type="dxa"/>
                <w:bottom w:w="28" w:type="dxa"/>
                <w:right w:w="57" w:type="dxa"/>
              </w:tblCellMar>
            </w:tblPr>
            <w:tblGrid>
              <w:gridCol w:w="894"/>
              <w:gridCol w:w="3398"/>
              <w:gridCol w:w="1190"/>
              <w:gridCol w:w="1115"/>
              <w:gridCol w:w="967"/>
              <w:gridCol w:w="85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污染物</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年评价指标</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现状浓度</w:t>
                  </w:r>
                </w:p>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（μg/m</w:t>
                  </w:r>
                  <w:r>
                    <w:rPr>
                      <w:rFonts w:hint="eastAsia" w:ascii="Times New Roman" w:hAnsi="Times New Roman" w:eastAsia="宋体"/>
                      <w:b/>
                      <w:bCs/>
                      <w:color w:val="auto"/>
                      <w:sz w:val="21"/>
                      <w:vertAlign w:val="superscript"/>
                    </w:rPr>
                    <w:t>3</w:t>
                  </w:r>
                  <w:r>
                    <w:rPr>
                      <w:rFonts w:hint="eastAsia" w:ascii="Times New Roman" w:hAnsi="Times New Roman" w:eastAsia="宋体"/>
                      <w:b/>
                      <w:bCs/>
                      <w:color w:val="auto"/>
                      <w:sz w:val="21"/>
                    </w:rPr>
                    <w:t>）</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标准值</w:t>
                  </w:r>
                </w:p>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（μg/m</w:t>
                  </w:r>
                  <w:r>
                    <w:rPr>
                      <w:rFonts w:hint="eastAsia" w:ascii="Times New Roman" w:hAnsi="Times New Roman" w:eastAsia="宋体"/>
                      <w:b/>
                      <w:bCs/>
                      <w:color w:val="auto"/>
                      <w:sz w:val="21"/>
                      <w:vertAlign w:val="superscript"/>
                    </w:rPr>
                    <w:t>3</w:t>
                  </w:r>
                  <w:r>
                    <w:rPr>
                      <w:rFonts w:hint="eastAsia" w:ascii="Times New Roman" w:hAnsi="Times New Roman" w:eastAsia="宋体"/>
                      <w:b/>
                      <w:bCs/>
                      <w:color w:val="auto"/>
                      <w:sz w:val="21"/>
                    </w:rPr>
                    <w:t>）</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占标率</w:t>
                  </w:r>
                </w:p>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达标情况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SO</w:t>
                  </w:r>
                  <w:r>
                    <w:rPr>
                      <w:rFonts w:hint="eastAsia" w:ascii="Times New Roman" w:hAnsi="Times New Roman" w:eastAsia="宋体"/>
                      <w:color w:val="auto"/>
                      <w:sz w:val="21"/>
                      <w:vertAlign w:val="subscript"/>
                    </w:rPr>
                    <w:t>2</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年平均质量浓度</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6</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60</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10</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NO</w:t>
                  </w:r>
                  <w:r>
                    <w:rPr>
                      <w:rFonts w:hint="eastAsia" w:ascii="Times New Roman" w:hAnsi="Times New Roman" w:eastAsia="宋体"/>
                      <w:color w:val="auto"/>
                      <w:sz w:val="21"/>
                      <w:vertAlign w:val="subscript"/>
                    </w:rPr>
                    <w:t>2</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年平均质量浓度</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13</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40</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32.5</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PM</w:t>
                  </w:r>
                  <w:r>
                    <w:rPr>
                      <w:rFonts w:hint="eastAsia" w:ascii="Times New Roman" w:hAnsi="Times New Roman" w:eastAsia="宋体"/>
                      <w:color w:val="auto"/>
                      <w:sz w:val="21"/>
                      <w:vertAlign w:val="subscript"/>
                    </w:rPr>
                    <w:t>10</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年平均质量浓度</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48</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70</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68.57</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PM</w:t>
                  </w:r>
                  <w:r>
                    <w:rPr>
                      <w:rFonts w:hint="eastAsia" w:ascii="Times New Roman" w:hAnsi="Times New Roman" w:eastAsia="宋体"/>
                      <w:color w:val="auto"/>
                      <w:sz w:val="21"/>
                      <w:vertAlign w:val="subscript"/>
                    </w:rPr>
                    <w:t>2.5</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年平均质量浓度</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27</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35</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77.14</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CO</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第95百分位数日平均质量浓度</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0.8mg/m</w:t>
                  </w:r>
                  <w:r>
                    <w:rPr>
                      <w:rFonts w:hint="eastAsia" w:ascii="Times New Roman" w:hAnsi="Times New Roman" w:eastAsia="宋体"/>
                      <w:color w:val="auto"/>
                      <w:sz w:val="21"/>
                      <w:vertAlign w:val="superscript"/>
                    </w:rPr>
                    <w:t>3</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4.0mg/m</w:t>
                  </w:r>
                  <w:r>
                    <w:rPr>
                      <w:rFonts w:hint="eastAsia" w:ascii="Times New Roman" w:hAnsi="Times New Roman" w:eastAsia="宋体"/>
                      <w:color w:val="auto"/>
                      <w:sz w:val="21"/>
                      <w:vertAlign w:val="superscript"/>
                    </w:rPr>
                    <w:t>3</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20</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5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O</w:t>
                  </w:r>
                  <w:r>
                    <w:rPr>
                      <w:rFonts w:hint="eastAsia" w:ascii="Times New Roman" w:hAnsi="Times New Roman" w:eastAsia="宋体"/>
                      <w:color w:val="auto"/>
                      <w:sz w:val="21"/>
                      <w:vertAlign w:val="subscript"/>
                    </w:rPr>
                    <w:t>3</w:t>
                  </w:r>
                </w:p>
              </w:tc>
              <w:tc>
                <w:tcPr>
                  <w:tcW w:w="20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第90百分位数8h平均质量浓度</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134</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160</w:t>
                  </w:r>
                </w:p>
              </w:tc>
              <w:tc>
                <w:tcPr>
                  <w:tcW w:w="5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83.75</w:t>
                  </w:r>
                </w:p>
              </w:tc>
              <w:tc>
                <w:tcPr>
                  <w:tcW w:w="5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olor w:val="auto"/>
                      <w:sz w:val="21"/>
                    </w:rPr>
                  </w:pPr>
                  <w:r>
                    <w:rPr>
                      <w:rFonts w:hint="eastAsia" w:ascii="Times New Roman" w:hAnsi="Times New Roman" w:eastAsia="宋体"/>
                      <w:color w:val="auto"/>
                      <w:sz w:val="21"/>
                    </w:rPr>
                    <w:t>达标</w:t>
                  </w:r>
                </w:p>
              </w:tc>
            </w:tr>
          </w:tbl>
          <w:p>
            <w:pPr>
              <w:pStyle w:val="48"/>
              <w:keepNext w:val="0"/>
              <w:keepLines w:val="0"/>
              <w:pageBreakBefore w:val="0"/>
              <w:widowControl w:val="0"/>
              <w:kinsoku/>
              <w:wordWrap/>
              <w:overflowPunct/>
              <w:topLinePunct w:val="0"/>
              <w:autoSpaceDE/>
              <w:autoSpaceDN/>
              <w:bidi w:val="0"/>
              <w:adjustRightInd w:val="0"/>
              <w:snapToGrid/>
              <w:textAlignment w:val="auto"/>
              <w:rPr>
                <w:rFonts w:hint="eastAsia"/>
                <w:b/>
                <w:bCs/>
                <w:color w:val="auto"/>
                <w:sz w:val="24"/>
              </w:rPr>
            </w:pPr>
            <w:r>
              <w:rPr>
                <w:rFonts w:hint="eastAsia"/>
                <w:color w:val="auto"/>
                <w:sz w:val="24"/>
              </w:rPr>
              <w:t>由上表可见，</w:t>
            </w:r>
            <w:r>
              <w:rPr>
                <w:rFonts w:hint="eastAsia"/>
                <w:color w:val="auto"/>
                <w:sz w:val="24"/>
                <w:lang w:val="en-US" w:eastAsia="zh-CN"/>
              </w:rPr>
              <w:t>庐山市</w:t>
            </w:r>
            <w:r>
              <w:rPr>
                <w:rFonts w:hint="eastAsia"/>
                <w:color w:val="auto"/>
                <w:sz w:val="24"/>
              </w:rPr>
              <w:t>202</w:t>
            </w:r>
            <w:r>
              <w:rPr>
                <w:rFonts w:hint="eastAsia"/>
                <w:color w:val="auto"/>
                <w:sz w:val="24"/>
                <w:lang w:val="en-US" w:eastAsia="zh-CN"/>
              </w:rPr>
              <w:t>3</w:t>
            </w:r>
            <w:r>
              <w:rPr>
                <w:rFonts w:hint="eastAsia"/>
                <w:color w:val="auto"/>
                <w:sz w:val="24"/>
              </w:rPr>
              <w:t>年SO</w:t>
            </w:r>
            <w:r>
              <w:rPr>
                <w:rFonts w:hint="eastAsia"/>
                <w:color w:val="auto"/>
                <w:sz w:val="24"/>
                <w:vertAlign w:val="subscript"/>
              </w:rPr>
              <w:t>2</w:t>
            </w:r>
            <w:r>
              <w:rPr>
                <w:rFonts w:hint="eastAsia"/>
                <w:color w:val="auto"/>
                <w:sz w:val="24"/>
              </w:rPr>
              <w:t>、NO</w:t>
            </w:r>
            <w:r>
              <w:rPr>
                <w:rFonts w:hint="eastAsia"/>
                <w:color w:val="auto"/>
                <w:sz w:val="24"/>
                <w:vertAlign w:val="subscript"/>
              </w:rPr>
              <w:t>2</w:t>
            </w:r>
            <w:r>
              <w:rPr>
                <w:rFonts w:hint="eastAsia"/>
                <w:color w:val="auto"/>
                <w:sz w:val="24"/>
              </w:rPr>
              <w:t>、PM</w:t>
            </w:r>
            <w:r>
              <w:rPr>
                <w:rFonts w:hint="eastAsia"/>
                <w:color w:val="auto"/>
                <w:sz w:val="24"/>
                <w:vertAlign w:val="subscript"/>
              </w:rPr>
              <w:t>2.5</w:t>
            </w:r>
            <w:r>
              <w:rPr>
                <w:rFonts w:hint="eastAsia"/>
                <w:color w:val="auto"/>
                <w:sz w:val="24"/>
              </w:rPr>
              <w:t>、PM</w:t>
            </w:r>
            <w:r>
              <w:rPr>
                <w:rFonts w:hint="eastAsia"/>
                <w:color w:val="auto"/>
                <w:sz w:val="24"/>
                <w:vertAlign w:val="subscript"/>
              </w:rPr>
              <w:t>10</w:t>
            </w:r>
            <w:r>
              <w:rPr>
                <w:rFonts w:hint="eastAsia"/>
                <w:color w:val="auto"/>
                <w:sz w:val="24"/>
              </w:rPr>
              <w:t>、CO、O</w:t>
            </w:r>
            <w:r>
              <w:rPr>
                <w:rFonts w:hint="eastAsia"/>
                <w:color w:val="auto"/>
                <w:sz w:val="24"/>
                <w:vertAlign w:val="subscript"/>
              </w:rPr>
              <w:t>3</w:t>
            </w:r>
            <w:r>
              <w:rPr>
                <w:rFonts w:hint="eastAsia"/>
                <w:color w:val="auto"/>
                <w:sz w:val="24"/>
              </w:rPr>
              <w:t>均满足《环境空气质量标准》（GB3095-2012）中二级标准限值，</w:t>
            </w:r>
            <w:r>
              <w:rPr>
                <w:rFonts w:hint="eastAsia"/>
                <w:color w:val="auto"/>
                <w:sz w:val="24"/>
                <w:lang w:eastAsia="zh-CN"/>
              </w:rPr>
              <w:t>故本项目所在评价区域为达标区。</w:t>
            </w:r>
          </w:p>
          <w:p>
            <w:pPr>
              <w:pStyle w:val="21"/>
              <w:keepNext w:val="0"/>
              <w:keepLines w:val="0"/>
              <w:pageBreakBefore w:val="0"/>
              <w:widowControl/>
              <w:kinsoku/>
              <w:wordWrap/>
              <w:overflowPunct/>
              <w:topLinePunct w:val="0"/>
              <w:autoSpaceDE/>
              <w:autoSpaceDN/>
              <w:bidi w:val="0"/>
              <w:adjustRightInd w:val="0"/>
              <w:snapToGrid/>
              <w:ind w:firstLine="481" w:firstLineChars="200"/>
              <w:textAlignment w:val="auto"/>
              <w:rPr>
                <w:b/>
                <w:bCs/>
                <w:color w:val="auto"/>
                <w:sz w:val="24"/>
              </w:rPr>
            </w:pPr>
            <w:r>
              <w:rPr>
                <w:rFonts w:hint="eastAsia"/>
                <w:b/>
                <w:bCs/>
                <w:color w:val="auto"/>
                <w:sz w:val="24"/>
              </w:rPr>
              <w:t>（2）其他污染物环境质量现状</w:t>
            </w:r>
          </w:p>
          <w:p>
            <w:pPr>
              <w:pStyle w:val="21"/>
              <w:keepNext w:val="0"/>
              <w:keepLines w:val="0"/>
              <w:pageBreakBefore w:val="0"/>
              <w:widowControl/>
              <w:kinsoku/>
              <w:wordWrap/>
              <w:overflowPunct/>
              <w:topLinePunct w:val="0"/>
              <w:autoSpaceDE/>
              <w:autoSpaceDN/>
              <w:bidi w:val="0"/>
              <w:adjustRightInd w:val="0"/>
              <w:snapToGrid/>
              <w:ind w:firstLine="480" w:firstLineChars="200"/>
              <w:textAlignment w:val="auto"/>
              <w:rPr>
                <w:color w:val="auto"/>
                <w:sz w:val="24"/>
              </w:rPr>
            </w:pPr>
            <w:r>
              <w:rPr>
                <w:rFonts w:hint="eastAsia"/>
                <w:color w:val="auto"/>
                <w:sz w:val="24"/>
              </w:rPr>
              <w:t>项目医院污水处理设备运行时会产生硫化氢、氨、甲烷、臭气浓度，《环境空气质量标准》（GB 3095-2012）中未涉及其相应的标准值。</w:t>
            </w:r>
          </w:p>
          <w:p>
            <w:pPr>
              <w:pStyle w:val="21"/>
              <w:keepNext w:val="0"/>
              <w:keepLines w:val="0"/>
              <w:pageBreakBefore w:val="0"/>
              <w:widowControl/>
              <w:kinsoku/>
              <w:wordWrap/>
              <w:overflowPunct/>
              <w:topLinePunct w:val="0"/>
              <w:autoSpaceDE/>
              <w:autoSpaceDN/>
              <w:bidi w:val="0"/>
              <w:adjustRightInd w:val="0"/>
              <w:snapToGrid/>
              <w:ind w:firstLine="480" w:firstLineChars="200"/>
              <w:textAlignment w:val="auto"/>
              <w:rPr>
                <w:color w:val="auto"/>
                <w:sz w:val="24"/>
              </w:rPr>
            </w:pPr>
            <w:r>
              <w:rPr>
                <w:rFonts w:hint="eastAsia"/>
                <w:color w:val="auto"/>
                <w:sz w:val="24"/>
              </w:rPr>
              <w:t>根据全国环评技术评估服务咨询平台解答内容“技术指南”中提到的“排放国家、地方环境空气质量标准中有标准限值要求的特征污染物”，其中环境空气质量标准指《环境空气质量标准》</w:t>
            </w:r>
            <w:r>
              <w:rPr>
                <w:rFonts w:hint="eastAsia"/>
                <w:color w:val="auto"/>
                <w:sz w:val="24"/>
                <w:lang w:eastAsia="zh-CN"/>
              </w:rPr>
              <w:t>（</w:t>
            </w:r>
            <w:r>
              <w:rPr>
                <w:rFonts w:hint="eastAsia"/>
                <w:color w:val="auto"/>
                <w:sz w:val="24"/>
              </w:rPr>
              <w:t>GB3095）和地方的环境空气质量标准，不包括《环境影响评价技术导则大气环境》</w:t>
            </w:r>
            <w:r>
              <w:rPr>
                <w:rFonts w:hint="eastAsia"/>
                <w:color w:val="auto"/>
                <w:sz w:val="24"/>
                <w:lang w:eastAsia="zh-CN"/>
              </w:rPr>
              <w:t>（</w:t>
            </w:r>
            <w:r>
              <w:rPr>
                <w:rFonts w:hint="eastAsia"/>
                <w:color w:val="auto"/>
                <w:sz w:val="24"/>
              </w:rPr>
              <w:t>HJ2.2-2018）附录D、《前苏联居住区标准》</w:t>
            </w:r>
            <w:r>
              <w:rPr>
                <w:rFonts w:hint="eastAsia"/>
                <w:color w:val="auto"/>
                <w:sz w:val="24"/>
                <w:lang w:eastAsia="zh-CN"/>
              </w:rPr>
              <w:t>（</w:t>
            </w:r>
            <w:r>
              <w:rPr>
                <w:rFonts w:hint="eastAsia"/>
                <w:color w:val="auto"/>
                <w:sz w:val="24"/>
              </w:rPr>
              <w:t>CH245-71</w:t>
            </w:r>
            <w:r>
              <w:rPr>
                <w:rFonts w:hint="eastAsia"/>
                <w:color w:val="auto"/>
                <w:sz w:val="24"/>
                <w:lang w:eastAsia="zh-CN"/>
              </w:rPr>
              <w:t>）</w:t>
            </w:r>
            <w:r>
              <w:rPr>
                <w:rFonts w:hint="eastAsia"/>
                <w:color w:val="auto"/>
                <w:sz w:val="24"/>
              </w:rPr>
              <w:t>、《大气污染物综合排放标准详解》等导则或参考资料。排放的特征污染物需要在国家、地方环境空气质量标准中有限值要求才涉及现状监测，且优先引用现有监测数据。因此，本项目不需要对大气特征污染物氨、硫化氢、臭气浓度、甲烷进行现状监测。</w:t>
            </w:r>
          </w:p>
          <w:p>
            <w:pPr>
              <w:keepNext w:val="0"/>
              <w:keepLines w:val="0"/>
              <w:pageBreakBefore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2.</w:t>
            </w:r>
            <w:r>
              <w:rPr>
                <w:b/>
                <w:bCs/>
                <w:color w:val="auto"/>
                <w:sz w:val="24"/>
              </w:rPr>
              <w:t>地表水</w:t>
            </w:r>
            <w:r>
              <w:rPr>
                <w:rFonts w:hint="eastAsia"/>
                <w:b/>
                <w:bCs/>
                <w:color w:val="auto"/>
                <w:sz w:val="24"/>
              </w:rPr>
              <w:t>环境</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项目附近主要地表水体为鄱阳湖干支流水系。根据</w:t>
            </w:r>
            <w:r>
              <w:rPr>
                <w:color w:val="auto"/>
                <w:sz w:val="24"/>
              </w:rPr>
              <w:t>《九江市水生态环境质量月报》（202</w:t>
            </w:r>
            <w:r>
              <w:rPr>
                <w:rFonts w:hint="eastAsia"/>
                <w:color w:val="auto"/>
                <w:sz w:val="24"/>
              </w:rPr>
              <w:t>4</w:t>
            </w:r>
            <w:r>
              <w:rPr>
                <w:color w:val="auto"/>
                <w:sz w:val="24"/>
              </w:rPr>
              <w:t>年</w:t>
            </w:r>
            <w:r>
              <w:rPr>
                <w:rFonts w:hint="eastAsia"/>
                <w:color w:val="auto"/>
                <w:sz w:val="24"/>
              </w:rPr>
              <w:t>8</w:t>
            </w:r>
            <w:r>
              <w:rPr>
                <w:color w:val="auto"/>
                <w:sz w:val="24"/>
              </w:rPr>
              <w:t>月第</w:t>
            </w:r>
            <w:r>
              <w:rPr>
                <w:rFonts w:hint="eastAsia"/>
                <w:color w:val="auto"/>
                <w:sz w:val="24"/>
              </w:rPr>
              <w:t>8</w:t>
            </w:r>
            <w:r>
              <w:rPr>
                <w:color w:val="auto"/>
                <w:sz w:val="24"/>
              </w:rPr>
              <w:t>期）</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color w:val="auto"/>
                <w:kern w:val="2"/>
                <w:sz w:val="24"/>
              </w:rPr>
            </w:pPr>
            <w:r>
              <w:rPr>
                <w:color w:val="auto"/>
                <w:kern w:val="2"/>
                <w:sz w:val="24"/>
              </w:rPr>
              <w:t>一、集中式饮用水源地水质：3个市级饮用水源地，九江市第三水厂</w:t>
            </w:r>
            <w:r>
              <w:rPr>
                <w:rFonts w:hint="eastAsia"/>
                <w:color w:val="auto"/>
                <w:kern w:val="2"/>
                <w:sz w:val="24"/>
                <w:lang w:eastAsia="zh-CN"/>
              </w:rPr>
              <w:t>（</w:t>
            </w:r>
            <w:r>
              <w:rPr>
                <w:color w:val="auto"/>
                <w:kern w:val="2"/>
                <w:sz w:val="24"/>
              </w:rPr>
              <w:t>长江</w:t>
            </w:r>
            <w:r>
              <w:rPr>
                <w:rFonts w:hint="eastAsia"/>
                <w:color w:val="auto"/>
                <w:kern w:val="2"/>
                <w:sz w:val="24"/>
                <w:lang w:eastAsia="zh-CN"/>
              </w:rPr>
              <w:t>）</w:t>
            </w:r>
            <w:r>
              <w:rPr>
                <w:color w:val="auto"/>
                <w:kern w:val="2"/>
                <w:sz w:val="24"/>
              </w:rPr>
              <w:t>、第四水厂和九江市应急水源（石门水库）水质均合格。</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color w:val="auto"/>
                <w:kern w:val="2"/>
                <w:sz w:val="24"/>
              </w:rPr>
            </w:pPr>
            <w:r>
              <w:rPr>
                <w:color w:val="auto"/>
                <w:kern w:val="2"/>
                <w:sz w:val="24"/>
              </w:rPr>
              <w:t>二、国控断面水质：长江九江段2个监测断面，湖口（右岸）和姚港均为Ⅱ类水质；修河5个监测断面中，东津桥、三都和武宁水河口均为Ⅰ类水质，永修县城和吴城修河均为Ⅱ类水质；潦河河口为Ⅱ类水质；吴城赣江为Ⅱ类水质；洋港镇为Ⅰ类水质；修水界上桥为Ⅲ类水质；共青城寨下为Ⅲ类水质；柘林湖2个监测断面，柘林湖坝上和武宁渡口均为Ⅱ类水质；新妙湖为Ⅲ类水质；鄱阳湖8个监测断面中，都昌、蛤蟆石、鄱阳湖出口、三山、老爷庙、星子、蚌湖和吴城均为Ⅲ类水质。</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color w:val="auto"/>
                <w:kern w:val="2"/>
                <w:sz w:val="24"/>
              </w:rPr>
            </w:pPr>
            <w:r>
              <w:rPr>
                <w:color w:val="auto"/>
                <w:kern w:val="2"/>
                <w:sz w:val="24"/>
              </w:rPr>
              <w:t>三、省控断面水质：长江7个监测断面，新港、浔阳锁江楼、金鸡坡、九江县大屋何、九江县青龙寺、彭泽红光村和庐山中粮均为Ⅱ类水质；修水县城为Ⅱ类水质</w:t>
            </w:r>
            <w:r>
              <w:rPr>
                <w:rFonts w:hint="eastAsia"/>
                <w:color w:val="auto"/>
                <w:kern w:val="2"/>
                <w:sz w:val="24"/>
                <w:lang w:eastAsia="zh-CN"/>
              </w:rPr>
              <w:t>；</w:t>
            </w:r>
            <w:r>
              <w:rPr>
                <w:color w:val="auto"/>
                <w:kern w:val="2"/>
                <w:sz w:val="24"/>
              </w:rPr>
              <w:t>长河2个监测断面中，赛城湖口为Ⅱ类水质，九江县麦沟为Ⅲ类水质；渣津水2个监测断面中</w:t>
            </w:r>
            <w:r>
              <w:rPr>
                <w:rFonts w:hint="eastAsia"/>
                <w:color w:val="auto"/>
                <w:kern w:val="2"/>
                <w:sz w:val="24"/>
                <w:lang w:eastAsia="zh-CN"/>
              </w:rPr>
              <w:t>，</w:t>
            </w:r>
            <w:r>
              <w:rPr>
                <w:color w:val="auto"/>
                <w:kern w:val="2"/>
                <w:sz w:val="24"/>
              </w:rPr>
              <w:t>渣津水河口为Ⅱ类水质，渣津为Ⅲ类水质；杨柳津河2个监测断面</w:t>
            </w:r>
            <w:r>
              <w:rPr>
                <w:rFonts w:hint="eastAsia"/>
                <w:color w:val="auto"/>
                <w:kern w:val="2"/>
                <w:sz w:val="24"/>
                <w:lang w:eastAsia="zh-CN"/>
              </w:rPr>
              <w:t>，</w:t>
            </w:r>
            <w:r>
              <w:rPr>
                <w:color w:val="auto"/>
                <w:kern w:val="2"/>
                <w:sz w:val="24"/>
              </w:rPr>
              <w:t>星子沙湖山和永修尖角村均为Ⅱ类水质；武宁梅家湾为Ⅲ类水质；永修王家垄为Ⅱ类水质；永修桐溪为Ⅲ类水质；都昌曹家为Ⅱ类水质；共青城毛厂为Ⅲ类水质；柘林湖监测断面，武宁界牌为Ⅱ类水质；东津水库4个监测断面中，兰窝里和东津坝前均为Ⅰ类水质，松山上和下莲塘均为Ⅱ类水质；赤湖5个监测断面，金鸡陈家、陈仁子、中圩闸前、原四千亩和赤湖水产场均为Ⅲ类水质；八里湖4个监测断面中，海韵为Ⅳ类水质，主要污染物和超标倍数分别为总磷(1.00)、高锰酸盐指数（0.33），中奥、官湖和胜利均为Ⅴ类水质，主要污染物为总磷，超标倍数分别是中奥（1.40）、官湖（2.20）、胜利（2.00）。</w:t>
            </w:r>
          </w:p>
          <w:p>
            <w:pPr>
              <w:pStyle w:val="20"/>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hint="eastAsia" w:eastAsia="宋体"/>
                <w:color w:val="auto"/>
                <w:kern w:val="2"/>
                <w:sz w:val="24"/>
                <w:lang w:eastAsia="zh-CN"/>
              </w:rPr>
            </w:pPr>
            <w:r>
              <w:rPr>
                <w:color w:val="auto"/>
                <w:kern w:val="2"/>
                <w:sz w:val="24"/>
              </w:rPr>
              <w:t>四、水功能区断面水质：20个水功能区监测断面中，芙蓉大闸、三角乡、虬津、东岸、陈家渡、彭泽渡口、武宁大桥下、武宁水厂、王家河、九江大桥、宁红大桥、赛城湖闸、长棉堤、马当渡口、高沙和梁公堤均为Ⅱ类水质，棠荫、湖口、蚌湖内和渚溪口均为Ⅲ类水质</w:t>
            </w:r>
            <w:r>
              <w:rPr>
                <w:rFonts w:hint="eastAsia"/>
                <w:color w:val="auto"/>
                <w:kern w:val="2"/>
                <w:sz w:val="24"/>
                <w:lang w:eastAsia="zh-CN"/>
              </w:rPr>
              <w:t>。</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综上，项目所在地地表水质能够满足《地表水环境质量标准》(GB3838-2002)中的Ⅲ类标准要求。</w:t>
            </w:r>
          </w:p>
          <w:p>
            <w:pPr>
              <w:keepNext w:val="0"/>
              <w:keepLines w:val="0"/>
              <w:pageBreakBefore w:val="0"/>
              <w:widowControl w:val="0"/>
              <w:kinsoku/>
              <w:wordWrap/>
              <w:overflowPunct/>
              <w:topLinePunct w:val="0"/>
              <w:bidi w:val="0"/>
              <w:adjustRightInd w:val="0"/>
              <w:snapToGrid/>
              <w:spacing w:line="360" w:lineRule="auto"/>
              <w:textAlignment w:val="auto"/>
              <w:rPr>
                <w:b/>
                <w:bCs/>
                <w:color w:val="auto"/>
                <w:sz w:val="24"/>
              </w:rPr>
            </w:pPr>
            <w:r>
              <w:rPr>
                <w:rFonts w:hint="eastAsia"/>
                <w:b/>
                <w:bCs/>
                <w:color w:val="auto"/>
                <w:sz w:val="24"/>
              </w:rPr>
              <w:t>3.</w:t>
            </w:r>
            <w:r>
              <w:rPr>
                <w:b/>
                <w:bCs/>
                <w:color w:val="auto"/>
                <w:sz w:val="24"/>
              </w:rPr>
              <w:t>声环境</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sz w:val="24"/>
              </w:rPr>
            </w:pPr>
            <w:r>
              <w:rPr>
                <w:color w:val="auto"/>
                <w:sz w:val="24"/>
              </w:rPr>
              <w:t>本项目周边50m范围内无声环境保护目标，</w:t>
            </w:r>
            <w:r>
              <w:rPr>
                <w:rFonts w:hint="eastAsia"/>
                <w:color w:val="auto"/>
                <w:sz w:val="24"/>
              </w:rPr>
              <w:t>故不需要监测声环境保护目标质量现状</w:t>
            </w:r>
            <w:r>
              <w:rPr>
                <w:color w:val="auto"/>
                <w:sz w:val="24"/>
              </w:rPr>
              <w:t>。</w:t>
            </w:r>
          </w:p>
          <w:p>
            <w:pPr>
              <w:keepNext w:val="0"/>
              <w:keepLines w:val="0"/>
              <w:pageBreakBefore w:val="0"/>
              <w:widowControl w:val="0"/>
              <w:kinsoku/>
              <w:wordWrap/>
              <w:overflowPunct/>
              <w:topLinePunct w:val="0"/>
              <w:bidi w:val="0"/>
              <w:adjustRightInd w:val="0"/>
              <w:snapToGrid/>
              <w:spacing w:line="360" w:lineRule="auto"/>
              <w:textAlignment w:val="auto"/>
              <w:rPr>
                <w:b/>
                <w:bCs/>
                <w:color w:val="auto"/>
                <w:sz w:val="24"/>
              </w:rPr>
            </w:pPr>
            <w:r>
              <w:rPr>
                <w:rFonts w:hint="eastAsia"/>
                <w:b/>
                <w:bCs/>
                <w:color w:val="auto"/>
                <w:sz w:val="24"/>
              </w:rPr>
              <w:t>4.生态环境</w:t>
            </w:r>
          </w:p>
          <w:p>
            <w:pPr>
              <w:pStyle w:val="52"/>
              <w:keepNext w:val="0"/>
              <w:keepLines w:val="0"/>
              <w:pageBreakBefore w:val="0"/>
              <w:widowControl w:val="0"/>
              <w:kinsoku/>
              <w:wordWrap/>
              <w:overflowPunct/>
              <w:topLinePunct w:val="0"/>
              <w:bidi w:val="0"/>
              <w:adjustRightInd w:val="0"/>
              <w:snapToGrid/>
              <w:spacing w:line="360" w:lineRule="auto"/>
              <w:ind w:firstLine="480"/>
              <w:textAlignment w:val="auto"/>
              <w:rPr>
                <w:color w:val="auto"/>
                <w:sz w:val="24"/>
              </w:rPr>
            </w:pPr>
            <w:r>
              <w:rPr>
                <w:color w:val="auto"/>
                <w:sz w:val="24"/>
                <w:lang w:val="zh-CN"/>
              </w:rPr>
              <w:t>本项目</w:t>
            </w:r>
            <w:r>
              <w:rPr>
                <w:rFonts w:hint="eastAsia"/>
                <w:color w:val="auto"/>
                <w:sz w:val="24"/>
              </w:rPr>
              <w:t>选址位于庐山市温泉镇212省道（环南山公路老隘口村旁）</w:t>
            </w:r>
            <w:r>
              <w:rPr>
                <w:color w:val="auto"/>
                <w:sz w:val="24"/>
                <w:lang w:val="zh-CN"/>
              </w:rPr>
              <w:t>，根据调查，</w:t>
            </w:r>
            <w:r>
              <w:rPr>
                <w:color w:val="auto"/>
                <w:sz w:val="24"/>
              </w:rPr>
              <w:t>项目所在地无国家、省级重点保护野生动植物，不涉及特殊生态敏感区和重要生态敏感区，</w:t>
            </w:r>
            <w:r>
              <w:rPr>
                <w:rFonts w:hint="eastAsia"/>
                <w:color w:val="auto"/>
                <w:sz w:val="24"/>
              </w:rPr>
              <w:t>对周围生态环境基本无影响，且项目不涉及自然生态保护红线，故本次评价不进行生态现状调查。</w:t>
            </w:r>
          </w:p>
          <w:p>
            <w:pPr>
              <w:keepNext w:val="0"/>
              <w:keepLines w:val="0"/>
              <w:pageBreakBefore w:val="0"/>
              <w:widowControl w:val="0"/>
              <w:kinsoku/>
              <w:wordWrap/>
              <w:overflowPunct/>
              <w:topLinePunct w:val="0"/>
              <w:bidi w:val="0"/>
              <w:adjustRightInd w:val="0"/>
              <w:snapToGrid/>
              <w:spacing w:line="360" w:lineRule="auto"/>
              <w:textAlignment w:val="auto"/>
              <w:rPr>
                <w:b/>
                <w:bCs/>
                <w:color w:val="auto"/>
                <w:sz w:val="24"/>
                <w:lang w:val="zh-CN"/>
              </w:rPr>
            </w:pPr>
            <w:r>
              <w:rPr>
                <w:rFonts w:hint="eastAsia"/>
                <w:b/>
                <w:bCs/>
                <w:color w:val="auto"/>
                <w:sz w:val="24"/>
              </w:rPr>
              <w:t>5.</w:t>
            </w:r>
            <w:r>
              <w:rPr>
                <w:b/>
                <w:bCs/>
                <w:color w:val="auto"/>
                <w:sz w:val="24"/>
                <w:lang w:val="zh-CN"/>
              </w:rPr>
              <w:t>地下水、土壤环境质量现状</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sz w:val="24"/>
                <w:lang w:val="zh-CN"/>
              </w:rPr>
            </w:pPr>
            <w:r>
              <w:rPr>
                <w:color w:val="auto"/>
                <w:sz w:val="24"/>
                <w:lang w:val="zh-CN"/>
              </w:rPr>
              <w:t>根据《建设项目环境影响报告表编制技术指南（污染影响类）（试行）》（环办环评（2020）33号）规定，</w:t>
            </w:r>
            <w:r>
              <w:rPr>
                <w:rFonts w:hint="eastAsia"/>
                <w:color w:val="auto"/>
                <w:sz w:val="24"/>
                <w:lang w:val="zh-CN"/>
              </w:rPr>
              <w:t>“</w:t>
            </w:r>
            <w:r>
              <w:rPr>
                <w:color w:val="auto"/>
                <w:sz w:val="24"/>
                <w:lang w:val="zh-CN"/>
              </w:rPr>
              <w:t>原则上不开展环境质量现状调查。建设项目存在土壤、地下水环境污染途径的，应结合污染源、保护目标分布情况开展现状调查以留作背景值</w:t>
            </w:r>
            <w:r>
              <w:rPr>
                <w:rFonts w:hint="eastAsia"/>
                <w:color w:val="auto"/>
                <w:sz w:val="24"/>
                <w:lang w:val="zh-CN"/>
              </w:rPr>
              <w:t>”</w:t>
            </w:r>
            <w:r>
              <w:rPr>
                <w:color w:val="auto"/>
                <w:sz w:val="24"/>
                <w:lang w:val="zh-CN"/>
              </w:rPr>
              <w:t>。</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sz w:val="24"/>
                <w:lang w:val="zh-CN"/>
              </w:rPr>
            </w:pPr>
            <w:r>
              <w:rPr>
                <w:color w:val="auto"/>
                <w:sz w:val="24"/>
                <w:lang w:val="zh-CN"/>
              </w:rPr>
              <w:t>项目属于</w:t>
            </w:r>
            <w:r>
              <w:rPr>
                <w:rFonts w:hint="eastAsia"/>
                <w:color w:val="auto"/>
                <w:sz w:val="24"/>
              </w:rPr>
              <w:t>卫生院项目</w:t>
            </w:r>
            <w:r>
              <w:rPr>
                <w:color w:val="auto"/>
                <w:sz w:val="24"/>
                <w:lang w:val="zh-CN"/>
              </w:rPr>
              <w:t>，</w:t>
            </w:r>
            <w:r>
              <w:rPr>
                <w:rFonts w:hint="eastAsia"/>
                <w:color w:val="auto"/>
                <w:sz w:val="24"/>
              </w:rPr>
              <w:t>无有毒有害及重金属等物质使用，项目厂界外500米范围内无地下水集中式饮用水水源和热水、矿泉水、温泉等特殊地下水资源，</w:t>
            </w:r>
            <w:r>
              <w:rPr>
                <w:color w:val="auto"/>
                <w:sz w:val="24"/>
                <w:lang w:val="zh-CN"/>
              </w:rPr>
              <w:t>对污水处理设施采取有效的防渗措施后，</w:t>
            </w:r>
            <w:r>
              <w:rPr>
                <w:rFonts w:hint="eastAsia"/>
                <w:color w:val="auto"/>
                <w:sz w:val="24"/>
              </w:rPr>
              <w:t>正常运营情况下，</w:t>
            </w:r>
            <w:r>
              <w:rPr>
                <w:color w:val="auto"/>
                <w:sz w:val="24"/>
                <w:lang w:val="zh-CN"/>
              </w:rPr>
              <w:t>土壤、地下水环境污染</w:t>
            </w:r>
            <w:r>
              <w:rPr>
                <w:rFonts w:hint="eastAsia"/>
                <w:color w:val="auto"/>
                <w:sz w:val="24"/>
                <w:lang w:val="en-US" w:eastAsia="zh-CN"/>
              </w:rPr>
              <w:t>影响很小</w:t>
            </w:r>
            <w:r>
              <w:rPr>
                <w:color w:val="auto"/>
                <w:sz w:val="24"/>
                <w:lang w:val="zh-CN"/>
              </w:rPr>
              <w:t>，因此，本评价不对项目地下水、土壤环境质量进行补充监测。</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sz w:val="24"/>
              </w:rPr>
            </w:pPr>
            <w:r>
              <w:rPr>
                <w:color w:val="auto"/>
                <w:sz w:val="24"/>
              </w:rPr>
              <w:t>综上所述，项目址周边环境空气质量、地表水环境质量、声环境质量</w:t>
            </w:r>
            <w:r>
              <w:rPr>
                <w:rFonts w:hint="eastAsia"/>
                <w:color w:val="auto"/>
                <w:sz w:val="24"/>
              </w:rPr>
              <w:t>、土壤环境质量</w:t>
            </w:r>
            <w:r>
              <w:rPr>
                <w:color w:val="auto"/>
                <w:sz w:val="24"/>
              </w:rPr>
              <w:t>以及生态环境都符合功能区划的要求。</w:t>
            </w:r>
          </w:p>
          <w:p>
            <w:pPr>
              <w:pStyle w:val="14"/>
              <w:rPr>
                <w:color w:val="auto"/>
                <w:sz w:val="24"/>
              </w:rPr>
            </w:pPr>
          </w:p>
          <w:p>
            <w:pPr>
              <w:pStyle w:val="15"/>
              <w:rPr>
                <w:color w:val="auto"/>
                <w:sz w:val="24"/>
              </w:rPr>
            </w:pPr>
          </w:p>
          <w:p>
            <w:pPr>
              <w:pStyle w:val="15"/>
              <w:rPr>
                <w:color w:val="auto"/>
                <w:sz w:val="24"/>
              </w:rPr>
            </w:pPr>
          </w:p>
          <w:p>
            <w:pPr>
              <w:pStyle w:val="15"/>
              <w:ind w:left="0" w:leftChars="0" w:firstLine="0" w:firstLineChars="0"/>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tcBorders>
              <w:tl2br w:val="nil"/>
              <w:tr2bl w:val="nil"/>
            </w:tcBorders>
            <w:vAlign w:val="center"/>
          </w:tcPr>
          <w:p>
            <w:pPr>
              <w:pStyle w:val="50"/>
              <w:rPr>
                <w:b/>
                <w:bCs/>
                <w:color w:val="auto"/>
              </w:rPr>
            </w:pPr>
            <w:r>
              <w:rPr>
                <w:rFonts w:hint="eastAsia"/>
                <w:b/>
                <w:bCs/>
                <w:color w:val="auto"/>
              </w:rPr>
              <w:t>环境</w:t>
            </w:r>
          </w:p>
          <w:p>
            <w:pPr>
              <w:pStyle w:val="50"/>
              <w:rPr>
                <w:b/>
                <w:bCs/>
                <w:color w:val="auto"/>
              </w:rPr>
            </w:pPr>
            <w:r>
              <w:rPr>
                <w:rFonts w:hint="eastAsia"/>
                <w:b/>
                <w:bCs/>
                <w:color w:val="auto"/>
              </w:rPr>
              <w:t>保护</w:t>
            </w:r>
          </w:p>
          <w:p>
            <w:pPr>
              <w:pStyle w:val="50"/>
              <w:rPr>
                <w:color w:val="auto"/>
              </w:rPr>
            </w:pPr>
            <w:r>
              <w:rPr>
                <w:rFonts w:hint="eastAsia"/>
                <w:b/>
                <w:bCs/>
                <w:color w:val="auto"/>
              </w:rPr>
              <w:t>目标</w:t>
            </w:r>
          </w:p>
        </w:tc>
        <w:tc>
          <w:tcPr>
            <w:tcW w:w="8639" w:type="dxa"/>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ind w:firstLine="482"/>
              <w:textAlignment w:val="auto"/>
              <w:rPr>
                <w:color w:val="auto"/>
                <w:sz w:val="24"/>
              </w:rPr>
            </w:pPr>
            <w:r>
              <w:rPr>
                <w:rFonts w:hint="eastAsia"/>
                <w:b/>
                <w:bCs/>
                <w:color w:val="auto"/>
                <w:sz w:val="24"/>
              </w:rPr>
              <w:t>1.大气环境：</w:t>
            </w:r>
            <w:r>
              <w:rPr>
                <w:rFonts w:hint="eastAsia"/>
                <w:color w:val="auto"/>
                <w:sz w:val="24"/>
              </w:rPr>
              <w:t>本项目位于江西省九江市庐山市温泉镇212省道（环南山公路老隘口村旁）</w:t>
            </w:r>
            <w:r>
              <w:rPr>
                <w:color w:val="auto"/>
                <w:sz w:val="24"/>
              </w:rPr>
              <w:t>，</w:t>
            </w:r>
            <w:r>
              <w:rPr>
                <w:rFonts w:hint="eastAsia"/>
                <w:color w:val="auto"/>
                <w:sz w:val="24"/>
              </w:rPr>
              <w:t>项目厂界外500米范围内无自然保护区、风景名胜区、遗址公园、文物古迹和文化遗产，主要保护目标为周边的居民居住区。</w:t>
            </w:r>
          </w:p>
          <w:p>
            <w:pPr>
              <w:pStyle w:val="48"/>
              <w:keepNext w:val="0"/>
              <w:keepLines w:val="0"/>
              <w:pageBreakBefore w:val="0"/>
              <w:widowControl w:val="0"/>
              <w:kinsoku/>
              <w:wordWrap/>
              <w:overflowPunct/>
              <w:topLinePunct w:val="0"/>
              <w:autoSpaceDE/>
              <w:autoSpaceDN/>
              <w:bidi w:val="0"/>
              <w:adjustRightInd w:val="0"/>
              <w:snapToGrid/>
              <w:ind w:firstLine="482"/>
              <w:textAlignment w:val="auto"/>
              <w:rPr>
                <w:color w:val="auto"/>
                <w:sz w:val="24"/>
              </w:rPr>
            </w:pPr>
            <w:r>
              <w:rPr>
                <w:rFonts w:hint="eastAsia"/>
                <w:b/>
                <w:bCs/>
                <w:color w:val="auto"/>
                <w:sz w:val="24"/>
              </w:rPr>
              <w:t>2.声环境：</w:t>
            </w:r>
            <w:r>
              <w:rPr>
                <w:rFonts w:hint="eastAsia"/>
                <w:color w:val="auto"/>
                <w:sz w:val="24"/>
              </w:rPr>
              <w:t>项目厂界外50米范围内</w:t>
            </w:r>
            <w:r>
              <w:rPr>
                <w:color w:val="auto"/>
                <w:sz w:val="24"/>
              </w:rPr>
              <w:t>无声环境保护目标</w:t>
            </w:r>
            <w:r>
              <w:rPr>
                <w:rFonts w:hint="eastAsia"/>
                <w:color w:val="auto"/>
                <w:sz w:val="24"/>
              </w:rPr>
              <w:t>。</w:t>
            </w:r>
          </w:p>
          <w:p>
            <w:pPr>
              <w:pStyle w:val="48"/>
              <w:keepNext w:val="0"/>
              <w:keepLines w:val="0"/>
              <w:pageBreakBefore w:val="0"/>
              <w:widowControl w:val="0"/>
              <w:kinsoku/>
              <w:wordWrap/>
              <w:overflowPunct/>
              <w:topLinePunct w:val="0"/>
              <w:autoSpaceDE/>
              <w:autoSpaceDN/>
              <w:bidi w:val="0"/>
              <w:adjustRightInd w:val="0"/>
              <w:snapToGrid/>
              <w:ind w:firstLine="482"/>
              <w:textAlignment w:val="auto"/>
              <w:rPr>
                <w:color w:val="auto"/>
                <w:sz w:val="24"/>
              </w:rPr>
            </w:pPr>
            <w:r>
              <w:rPr>
                <w:rFonts w:hint="eastAsia"/>
                <w:b/>
                <w:bCs/>
                <w:color w:val="auto"/>
                <w:sz w:val="24"/>
              </w:rPr>
              <w:t>3.地下水环境：</w:t>
            </w:r>
            <w:r>
              <w:rPr>
                <w:rFonts w:hint="eastAsia"/>
                <w:color w:val="auto"/>
                <w:sz w:val="24"/>
              </w:rPr>
              <w:t>项目厂界外500米范围内无地下水集中式饮用水水源和热水、矿泉水、温泉等特殊地下水资源。</w:t>
            </w:r>
          </w:p>
          <w:p>
            <w:pPr>
              <w:pStyle w:val="48"/>
              <w:keepNext w:val="0"/>
              <w:keepLines w:val="0"/>
              <w:pageBreakBefore w:val="0"/>
              <w:widowControl w:val="0"/>
              <w:kinsoku/>
              <w:wordWrap/>
              <w:overflowPunct/>
              <w:topLinePunct w:val="0"/>
              <w:autoSpaceDE/>
              <w:autoSpaceDN/>
              <w:bidi w:val="0"/>
              <w:adjustRightInd w:val="0"/>
              <w:snapToGrid/>
              <w:ind w:firstLine="482"/>
              <w:textAlignment w:val="auto"/>
              <w:rPr>
                <w:color w:val="auto"/>
                <w:sz w:val="24"/>
              </w:rPr>
            </w:pPr>
            <w:r>
              <w:rPr>
                <w:rFonts w:hint="eastAsia"/>
                <w:b/>
                <w:bCs/>
                <w:color w:val="auto"/>
                <w:sz w:val="24"/>
              </w:rPr>
              <w:t>4.生态环境：</w:t>
            </w:r>
            <w:r>
              <w:rPr>
                <w:rFonts w:hint="eastAsia"/>
                <w:color w:val="auto"/>
                <w:sz w:val="24"/>
              </w:rPr>
              <w:t>项目用地红线范围内未涉及</w:t>
            </w:r>
            <w:r>
              <w:rPr>
                <w:color w:val="auto"/>
                <w:sz w:val="24"/>
              </w:rPr>
              <w:t>需要保护的珍稀野生动物及其繁殖栖息地，未涉及挂牌的古树名木，未涉及自然保护区</w:t>
            </w:r>
            <w:r>
              <w:rPr>
                <w:rFonts w:hint="eastAsia"/>
                <w:color w:val="auto"/>
                <w:sz w:val="24"/>
              </w:rPr>
              <w:t>核心区及缓冲区</w:t>
            </w:r>
            <w:r>
              <w:rPr>
                <w:color w:val="auto"/>
                <w:sz w:val="24"/>
              </w:rPr>
              <w:t>、永久基本农田、生态公益林</w:t>
            </w:r>
            <w:r>
              <w:rPr>
                <w:rFonts w:hint="eastAsia"/>
                <w:color w:val="auto"/>
                <w:sz w:val="24"/>
              </w:rPr>
              <w:t>，无生态环境保护目标。</w:t>
            </w:r>
          </w:p>
          <w:p>
            <w:pPr>
              <w:pStyle w:val="48"/>
              <w:keepNext w:val="0"/>
              <w:keepLines w:val="0"/>
              <w:pageBreakBefore w:val="0"/>
              <w:widowControl w:val="0"/>
              <w:kinsoku/>
              <w:wordWrap/>
              <w:overflowPunct/>
              <w:topLinePunct w:val="0"/>
              <w:autoSpaceDE/>
              <w:autoSpaceDN/>
              <w:bidi w:val="0"/>
              <w:adjustRightInd w:val="0"/>
              <w:snapToGrid/>
              <w:ind w:firstLine="480"/>
              <w:textAlignment w:val="auto"/>
              <w:rPr>
                <w:color w:val="auto"/>
                <w:sz w:val="24"/>
              </w:rPr>
            </w:pPr>
            <w:r>
              <w:rPr>
                <w:rFonts w:hint="eastAsia"/>
                <w:color w:val="auto"/>
                <w:sz w:val="24"/>
              </w:rPr>
              <w:t>本项目周边主要环境保护目标详见表3-</w:t>
            </w:r>
            <w:r>
              <w:rPr>
                <w:rFonts w:hint="eastAsia"/>
                <w:color w:val="auto"/>
                <w:sz w:val="24"/>
                <w:lang w:val="en-US" w:eastAsia="zh-CN"/>
              </w:rPr>
              <w:t>2</w:t>
            </w:r>
            <w:r>
              <w:rPr>
                <w:rFonts w:hint="eastAsia"/>
                <w:color w:val="auto"/>
                <w:sz w:val="24"/>
              </w:rPr>
              <w:t>。</w:t>
            </w:r>
          </w:p>
          <w:p>
            <w:pPr>
              <w:pStyle w:val="43"/>
              <w:keepNext w:val="0"/>
              <w:keepLines w:val="0"/>
              <w:pageBreakBefore w:val="0"/>
              <w:widowControl/>
              <w:kinsoku/>
              <w:wordWrap/>
              <w:overflowPunct w:val="0"/>
              <w:topLinePunct w:val="0"/>
              <w:autoSpaceDE w:val="0"/>
              <w:autoSpaceDN w:val="0"/>
              <w:bidi w:val="0"/>
              <w:adjustRightInd w:val="0"/>
              <w:snapToGrid/>
              <w:textAlignment w:val="baseline"/>
              <w:rPr>
                <w:rFonts w:ascii="Times New Roman" w:hAnsi="Times New Roman" w:eastAsia="宋体"/>
                <w:color w:val="auto"/>
                <w:sz w:val="21"/>
                <w:szCs w:val="21"/>
                <w:lang w:val="zh-CN"/>
              </w:rPr>
            </w:pPr>
            <w:r>
              <w:rPr>
                <w:rFonts w:ascii="Times New Roman" w:hAnsi="Times New Roman" w:eastAsia="宋体"/>
                <w:color w:val="auto"/>
                <w:sz w:val="21"/>
                <w:szCs w:val="21"/>
                <w:lang w:val="zh-CN"/>
              </w:rPr>
              <w:t>表3</w:t>
            </w:r>
            <w:r>
              <w:rPr>
                <w:rFonts w:hint="eastAsia" w:ascii="Times New Roman" w:hAnsi="Times New Roman" w:eastAsia="宋体"/>
                <w:color w:val="auto"/>
                <w:sz w:val="21"/>
                <w:szCs w:val="21"/>
                <w:lang w:val="en-US"/>
              </w:rPr>
              <w:t>-</w:t>
            </w:r>
            <w:r>
              <w:rPr>
                <w:rFonts w:hint="eastAsia" w:ascii="Times New Roman" w:hAnsi="Times New Roman" w:eastAsia="宋体"/>
                <w:color w:val="auto"/>
                <w:sz w:val="21"/>
                <w:szCs w:val="21"/>
                <w:lang w:val="en-US" w:eastAsia="zh-CN"/>
              </w:rPr>
              <w:t>2</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rPr>
              <w:t>本项目</w:t>
            </w:r>
            <w:r>
              <w:rPr>
                <w:rFonts w:ascii="Times New Roman" w:hAnsi="Times New Roman" w:eastAsia="宋体"/>
                <w:color w:val="auto"/>
                <w:sz w:val="21"/>
                <w:szCs w:val="21"/>
                <w:lang w:val="zh-CN"/>
              </w:rPr>
              <w:t>环境保护目标一览表</w:t>
            </w:r>
          </w:p>
          <w:tbl>
            <w:tblPr>
              <w:tblStyle w:val="2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427"/>
              <w:gridCol w:w="1022"/>
              <w:gridCol w:w="1212"/>
              <w:gridCol w:w="1172"/>
              <w:gridCol w:w="712"/>
              <w:gridCol w:w="650"/>
              <w:gridCol w:w="724"/>
              <w:gridCol w:w="765"/>
              <w:gridCol w:w="1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13" w:hRule="atLeast"/>
                <w:jc w:val="center"/>
              </w:trPr>
              <w:tc>
                <w:tcPr>
                  <w:tcW w:w="40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环境</w:t>
                  </w:r>
                </w:p>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要素</w:t>
                  </w:r>
                </w:p>
              </w:tc>
              <w:tc>
                <w:tcPr>
                  <w:tcW w:w="128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hint="eastAsia" w:ascii="Times New Roman" w:hAnsi="Times New Roman" w:eastAsia="宋体"/>
                      <w:b/>
                      <w:color w:val="auto"/>
                      <w:sz w:val="21"/>
                      <w:szCs w:val="21"/>
                    </w:rPr>
                    <w:t>名称</w:t>
                  </w:r>
                </w:p>
              </w:tc>
              <w:tc>
                <w:tcPr>
                  <w:tcW w:w="2415"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坐标/</w:t>
                  </w:r>
                  <w:r>
                    <w:rPr>
                      <w:rFonts w:hint="eastAsia" w:ascii="Times New Roman" w:hAnsi="Times New Roman" w:eastAsia="宋体"/>
                      <w:b/>
                      <w:color w:val="auto"/>
                      <w:sz w:val="21"/>
                      <w:szCs w:val="21"/>
                    </w:rPr>
                    <w:t>°</w:t>
                  </w:r>
                </w:p>
              </w:tc>
              <w:tc>
                <w:tcPr>
                  <w:tcW w:w="84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保护对象</w:t>
                  </w:r>
                </w:p>
              </w:tc>
              <w:tc>
                <w:tcPr>
                  <w:tcW w:w="75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相对厂址方位</w:t>
                  </w:r>
                </w:p>
              </w:tc>
              <w:tc>
                <w:tcPr>
                  <w:tcW w:w="81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hint="eastAsia" w:ascii="Times New Roman" w:hAnsi="Times New Roman" w:eastAsia="宋体"/>
                      <w:b/>
                      <w:color w:val="auto"/>
                      <w:sz w:val="21"/>
                      <w:szCs w:val="21"/>
                    </w:rPr>
                    <w:t>相对厂界</w:t>
                  </w:r>
                  <w:r>
                    <w:rPr>
                      <w:rFonts w:ascii="Times New Roman" w:hAnsi="Times New Roman" w:eastAsia="宋体"/>
                      <w:b/>
                      <w:color w:val="auto"/>
                      <w:sz w:val="21"/>
                      <w:szCs w:val="21"/>
                    </w:rPr>
                    <w:t>距离</w:t>
                  </w:r>
                  <w:r>
                    <w:rPr>
                      <w:rFonts w:hint="eastAsia" w:ascii="Times New Roman" w:hAnsi="Times New Roman" w:eastAsia="宋体"/>
                      <w:b/>
                      <w:color w:val="auto"/>
                      <w:sz w:val="21"/>
                      <w:szCs w:val="21"/>
                    </w:rPr>
                    <w:t>/m</w:t>
                  </w:r>
                </w:p>
              </w:tc>
              <w:tc>
                <w:tcPr>
                  <w:tcW w:w="87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hint="eastAsia" w:ascii="Times New Roman" w:hAnsi="Times New Roman" w:eastAsia="宋体"/>
                      <w:b/>
                      <w:color w:val="auto"/>
                      <w:sz w:val="21"/>
                      <w:szCs w:val="21"/>
                    </w:rPr>
                    <w:t>规模</w:t>
                  </w:r>
                </w:p>
              </w:tc>
              <w:tc>
                <w:tcPr>
                  <w:tcW w:w="1141"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83" w:hRule="atLeast"/>
                <w:jc w:val="center"/>
              </w:trPr>
              <w:tc>
                <w:tcPr>
                  <w:tcW w:w="40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c>
                <w:tcPr>
                  <w:tcW w:w="128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c>
                <w:tcPr>
                  <w:tcW w:w="1215"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X</w:t>
                  </w:r>
                </w:p>
              </w:tc>
              <w:tc>
                <w:tcPr>
                  <w:tcW w:w="120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Y</w:t>
                  </w:r>
                </w:p>
              </w:tc>
              <w:tc>
                <w:tcPr>
                  <w:tcW w:w="84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c>
                <w:tcPr>
                  <w:tcW w:w="75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c>
                <w:tcPr>
                  <w:tcW w:w="81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c>
                <w:tcPr>
                  <w:tcW w:w="87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restart"/>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大气环境</w:t>
                  </w:r>
                </w:p>
              </w:tc>
              <w:tc>
                <w:tcPr>
                  <w:tcW w:w="1289"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s="Calibri"/>
                      <w:color w:val="auto"/>
                      <w:sz w:val="21"/>
                      <w:szCs w:val="20"/>
                    </w:rPr>
                  </w:pPr>
                  <w:r>
                    <w:rPr>
                      <w:rFonts w:ascii="Times New Roman" w:hAnsi="Times New Roman" w:eastAsia="宋体" w:cs="Calibri"/>
                      <w:color w:val="auto"/>
                      <w:sz w:val="21"/>
                      <w:szCs w:val="20"/>
                    </w:rPr>
                    <w:t>①</w:t>
                  </w:r>
                  <w:r>
                    <w:rPr>
                      <w:rFonts w:hint="eastAsia" w:ascii="Times New Roman" w:hAnsi="Times New Roman" w:eastAsia="宋体" w:cs="Calibri"/>
                      <w:color w:val="auto"/>
                      <w:sz w:val="21"/>
                      <w:szCs w:val="20"/>
                    </w:rPr>
                    <w:t>汪家港</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115.897050</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bidi="ar"/>
                    </w:rPr>
                    <w:t>29.419322</w:t>
                  </w:r>
                </w:p>
              </w:tc>
              <w:tc>
                <w:tcPr>
                  <w:tcW w:w="840" w:type="dxa"/>
                  <w:vMerge w:val="restart"/>
                  <w:tcBorders>
                    <w:tl2br w:val="nil"/>
                    <w:tr2bl w:val="nil"/>
                  </w:tcBorders>
                  <w:vAlign w:val="center"/>
                </w:tcPr>
                <w:p>
                  <w:pPr>
                    <w:pStyle w:val="54"/>
                    <w:keepNext w:val="0"/>
                    <w:keepLines w:val="0"/>
                    <w:pageBreakBefore w:val="0"/>
                    <w:kinsoku/>
                    <w:wordWrap/>
                    <w:overflowPunct/>
                    <w:topLinePunct w:val="0"/>
                    <w:autoSpaceDE/>
                    <w:autoSpaceDN/>
                    <w:bidi w:val="0"/>
                    <w:adjustRightInd w:val="0"/>
                    <w:snapToGrid/>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居民</w:t>
                  </w: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西北</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460</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180人</w:t>
                  </w:r>
                </w:p>
              </w:tc>
              <w:tc>
                <w:tcPr>
                  <w:tcW w:w="1141"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r>
                    <w:rPr>
                      <w:rFonts w:hint="eastAsia" w:ascii="Times New Roman" w:hAnsi="Times New Roman" w:eastAsia="宋体"/>
                      <w:color w:val="auto"/>
                      <w:sz w:val="21"/>
                      <w:szCs w:val="21"/>
                    </w:rPr>
                    <w:t>《环境空气质量标准》（GB3095-2012）</w:t>
                  </w:r>
                  <w:r>
                    <w:rPr>
                      <w:rFonts w:ascii="Times New Roman" w:hAnsi="Times New Roman" w:eastAsia="宋体"/>
                      <w:bCs/>
                      <w:color w:val="auto"/>
                      <w:sz w:val="21"/>
                      <w:szCs w:val="21"/>
                    </w:rPr>
                    <w:t>中的</w:t>
                  </w:r>
                  <w:r>
                    <w:rPr>
                      <w:rFonts w:hint="eastAsia" w:ascii="Times New Roman" w:hAnsi="Times New Roman" w:eastAsia="宋体"/>
                      <w:bCs/>
                      <w:color w:val="auto"/>
                      <w:sz w:val="21"/>
                      <w:szCs w:val="21"/>
                    </w:rPr>
                    <w:t>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continue"/>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rPr>
                  </w:pPr>
                </w:p>
              </w:tc>
              <w:tc>
                <w:tcPr>
                  <w:tcW w:w="1289"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s="Calibri"/>
                      <w:color w:val="auto"/>
                      <w:sz w:val="21"/>
                      <w:szCs w:val="20"/>
                    </w:rPr>
                  </w:pPr>
                  <w:r>
                    <w:rPr>
                      <w:rFonts w:ascii="Times New Roman" w:hAnsi="Times New Roman" w:eastAsia="宋体" w:cs="Calibri"/>
                      <w:color w:val="auto"/>
                      <w:sz w:val="21"/>
                      <w:szCs w:val="20"/>
                    </w:rPr>
                    <w:t>②</w:t>
                  </w:r>
                  <w:r>
                    <w:rPr>
                      <w:rFonts w:hint="eastAsia" w:ascii="Times New Roman" w:hAnsi="Times New Roman" w:eastAsia="宋体" w:cs="Calibri"/>
                      <w:color w:val="auto"/>
                      <w:sz w:val="21"/>
                      <w:szCs w:val="20"/>
                    </w:rPr>
                    <w:t>破楼村</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115.899132</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bidi="ar"/>
                    </w:rPr>
                    <w:t>29.416489</w:t>
                  </w:r>
                </w:p>
              </w:tc>
              <w:tc>
                <w:tcPr>
                  <w:tcW w:w="840" w:type="dxa"/>
                  <w:vMerge w:val="continue"/>
                  <w:tcBorders>
                    <w:tl2br w:val="nil"/>
                    <w:tr2bl w:val="nil"/>
                  </w:tcBorders>
                  <w:vAlign w:val="center"/>
                </w:tcPr>
                <w:p>
                  <w:pPr>
                    <w:pStyle w:val="54"/>
                    <w:keepNext w:val="0"/>
                    <w:keepLines w:val="0"/>
                    <w:pageBreakBefore w:val="0"/>
                    <w:kinsoku/>
                    <w:wordWrap/>
                    <w:overflowPunct/>
                    <w:topLinePunct w:val="0"/>
                    <w:autoSpaceDE/>
                    <w:autoSpaceDN/>
                    <w:bidi w:val="0"/>
                    <w:adjustRightInd w:val="0"/>
                    <w:snapToGrid/>
                    <w:textAlignment w:val="auto"/>
                    <w:rPr>
                      <w:rFonts w:ascii="Times New Roman" w:hAnsi="Times New Roman" w:eastAsia="宋体"/>
                      <w:color w:val="auto"/>
                      <w:sz w:val="21"/>
                      <w:szCs w:val="21"/>
                    </w:rPr>
                  </w:pP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西南</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240</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200人</w:t>
                  </w: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continue"/>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rPr>
                  </w:pPr>
                </w:p>
              </w:tc>
              <w:tc>
                <w:tcPr>
                  <w:tcW w:w="1289"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s="Calibri"/>
                      <w:color w:val="auto"/>
                      <w:sz w:val="21"/>
                      <w:szCs w:val="20"/>
                    </w:rPr>
                  </w:pPr>
                  <w:r>
                    <w:rPr>
                      <w:rFonts w:ascii="Times New Roman" w:hAnsi="Times New Roman" w:eastAsia="宋体" w:cs="Calibri"/>
                      <w:color w:val="auto"/>
                      <w:sz w:val="21"/>
                      <w:szCs w:val="20"/>
                    </w:rPr>
                    <w:t>③</w:t>
                  </w:r>
                  <w:r>
                    <w:rPr>
                      <w:rFonts w:hint="eastAsia" w:ascii="Times New Roman" w:hAnsi="Times New Roman" w:eastAsia="宋体" w:cs="Calibri"/>
                      <w:color w:val="auto"/>
                      <w:sz w:val="21"/>
                      <w:szCs w:val="20"/>
                    </w:rPr>
                    <w:t>隘口村1</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115.904593</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29.417294</w:t>
                  </w:r>
                </w:p>
              </w:tc>
              <w:tc>
                <w:tcPr>
                  <w:tcW w:w="840" w:type="dxa"/>
                  <w:vMerge w:val="continue"/>
                  <w:tcBorders>
                    <w:tl2br w:val="nil"/>
                    <w:tr2bl w:val="nil"/>
                  </w:tcBorders>
                  <w:vAlign w:val="center"/>
                </w:tcPr>
                <w:p>
                  <w:pPr>
                    <w:pStyle w:val="54"/>
                    <w:keepNext w:val="0"/>
                    <w:keepLines w:val="0"/>
                    <w:pageBreakBefore w:val="0"/>
                    <w:kinsoku/>
                    <w:wordWrap/>
                    <w:overflowPunct/>
                    <w:topLinePunct w:val="0"/>
                    <w:autoSpaceDE/>
                    <w:autoSpaceDN/>
                    <w:bidi w:val="0"/>
                    <w:adjustRightInd w:val="0"/>
                    <w:snapToGrid/>
                    <w:textAlignment w:val="auto"/>
                    <w:rPr>
                      <w:rFonts w:ascii="Times New Roman" w:hAnsi="Times New Roman" w:eastAsia="宋体"/>
                      <w:color w:val="auto"/>
                      <w:sz w:val="21"/>
                      <w:szCs w:val="21"/>
                    </w:rPr>
                  </w:pP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东南</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160</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50人</w:t>
                  </w: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continue"/>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rPr>
                  </w:pPr>
                </w:p>
              </w:tc>
              <w:tc>
                <w:tcPr>
                  <w:tcW w:w="1289"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s="宋体"/>
                      <w:color w:val="auto"/>
                      <w:sz w:val="21"/>
                      <w:szCs w:val="20"/>
                    </w:rPr>
                  </w:pPr>
                  <w:r>
                    <w:rPr>
                      <w:rFonts w:hint="eastAsia" w:ascii="Times New Roman" w:hAnsi="Times New Roman" w:eastAsia="宋体" w:cs="宋体"/>
                      <w:color w:val="auto"/>
                      <w:sz w:val="21"/>
                      <w:szCs w:val="20"/>
                    </w:rPr>
                    <w:t>④</w:t>
                  </w:r>
                  <w:r>
                    <w:rPr>
                      <w:rFonts w:hint="eastAsia" w:ascii="Times New Roman" w:hAnsi="Times New Roman" w:eastAsia="宋体" w:cs="Calibri"/>
                      <w:color w:val="auto"/>
                      <w:sz w:val="21"/>
                      <w:szCs w:val="20"/>
                    </w:rPr>
                    <w:t>隘口村2</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115.904003</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29.418227</w:t>
                  </w:r>
                </w:p>
              </w:tc>
              <w:tc>
                <w:tcPr>
                  <w:tcW w:w="840" w:type="dxa"/>
                  <w:vMerge w:val="continue"/>
                  <w:tcBorders>
                    <w:tl2br w:val="nil"/>
                    <w:tr2bl w:val="nil"/>
                  </w:tcBorders>
                  <w:vAlign w:val="center"/>
                </w:tcPr>
                <w:p>
                  <w:pPr>
                    <w:pStyle w:val="54"/>
                    <w:keepNext w:val="0"/>
                    <w:keepLines w:val="0"/>
                    <w:pageBreakBefore w:val="0"/>
                    <w:kinsoku/>
                    <w:wordWrap/>
                    <w:overflowPunct/>
                    <w:topLinePunct w:val="0"/>
                    <w:autoSpaceDE/>
                    <w:autoSpaceDN/>
                    <w:bidi w:val="0"/>
                    <w:adjustRightInd w:val="0"/>
                    <w:snapToGrid/>
                    <w:textAlignment w:val="auto"/>
                    <w:rPr>
                      <w:rFonts w:ascii="Times New Roman" w:hAnsi="Times New Roman" w:eastAsia="宋体"/>
                      <w:color w:val="auto"/>
                      <w:sz w:val="21"/>
                      <w:szCs w:val="21"/>
                    </w:rPr>
                  </w:pP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东</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70</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350人</w:t>
                  </w: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c>
                <w:tcPr>
                  <w:tcW w:w="1289"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s="宋体"/>
                      <w:color w:val="auto"/>
                      <w:sz w:val="21"/>
                      <w:szCs w:val="20"/>
                    </w:rPr>
                  </w:pPr>
                  <w:r>
                    <w:rPr>
                      <w:rFonts w:hint="eastAsia" w:ascii="Times New Roman" w:hAnsi="Times New Roman" w:eastAsia="宋体" w:cs="宋体"/>
                      <w:color w:val="auto"/>
                      <w:sz w:val="21"/>
                      <w:szCs w:val="20"/>
                    </w:rPr>
                    <w:t>⑤居民1</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115.902313</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29.418898</w:t>
                  </w:r>
                </w:p>
              </w:tc>
              <w:tc>
                <w:tcPr>
                  <w:tcW w:w="84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北</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78</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1户</w:t>
                  </w: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c>
                <w:tcPr>
                  <w:tcW w:w="12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s="宋体"/>
                      <w:color w:val="auto"/>
                      <w:sz w:val="21"/>
                      <w:szCs w:val="20"/>
                    </w:rPr>
                  </w:pPr>
                  <w:r>
                    <w:rPr>
                      <w:rFonts w:hint="eastAsia" w:ascii="Times New Roman" w:hAnsi="Times New Roman" w:eastAsia="宋体" w:cs="宋体"/>
                      <w:color w:val="auto"/>
                      <w:sz w:val="21"/>
                      <w:szCs w:val="20"/>
                    </w:rPr>
                    <w:t>⑥居民2</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115.901020</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29.419043</w:t>
                  </w:r>
                </w:p>
              </w:tc>
              <w:tc>
                <w:tcPr>
                  <w:tcW w:w="84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西北</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125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2户</w:t>
                  </w: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0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c>
                <w:tcPr>
                  <w:tcW w:w="1289"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s="宋体"/>
                      <w:color w:val="auto"/>
                      <w:sz w:val="21"/>
                      <w:szCs w:val="20"/>
                    </w:rPr>
                  </w:pPr>
                  <w:r>
                    <w:rPr>
                      <w:rFonts w:hint="eastAsia" w:ascii="Times New Roman" w:hAnsi="Times New Roman" w:eastAsia="宋体" w:cs="宋体"/>
                      <w:color w:val="auto"/>
                      <w:sz w:val="21"/>
                      <w:szCs w:val="20"/>
                    </w:rPr>
                    <w:t>⑦居民3</w:t>
                  </w:r>
                </w:p>
              </w:tc>
              <w:tc>
                <w:tcPr>
                  <w:tcW w:w="121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115.900409</w:t>
                  </w:r>
                </w:p>
              </w:tc>
              <w:tc>
                <w:tcPr>
                  <w:tcW w:w="120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29.418565</w:t>
                  </w:r>
                </w:p>
              </w:tc>
              <w:tc>
                <w:tcPr>
                  <w:tcW w:w="84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c>
                <w:tcPr>
                  <w:tcW w:w="75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西北</w:t>
                  </w:r>
                </w:p>
              </w:tc>
              <w:tc>
                <w:tcPr>
                  <w:tcW w:w="8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133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4户</w:t>
                  </w:r>
                </w:p>
              </w:tc>
              <w:tc>
                <w:tcPr>
                  <w:tcW w:w="114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jc w:val="center"/>
                    <w:textAlignment w:val="auto"/>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76" w:hRule="atLeast"/>
                <w:jc w:val="center"/>
              </w:trPr>
              <w:tc>
                <w:tcPr>
                  <w:tcW w:w="407" w:type="dxa"/>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lang w:val="en-US"/>
                    </w:rPr>
                  </w:pPr>
                  <w:r>
                    <w:rPr>
                      <w:rFonts w:hint="eastAsia" w:ascii="Times New Roman" w:hAnsi="Times New Roman" w:eastAsia="宋体"/>
                      <w:bCs/>
                      <w:color w:val="auto"/>
                      <w:sz w:val="21"/>
                      <w:szCs w:val="21"/>
                      <w:lang w:val="en-US"/>
                    </w:rPr>
                    <w:t>声</w:t>
                  </w:r>
                  <w:r>
                    <w:rPr>
                      <w:rFonts w:hint="eastAsia" w:ascii="Times New Roman" w:hAnsi="Times New Roman" w:eastAsia="宋体"/>
                      <w:bCs/>
                      <w:color w:val="auto"/>
                      <w:sz w:val="21"/>
                      <w:szCs w:val="21"/>
                    </w:rPr>
                    <w:t>环境</w:t>
                  </w:r>
                </w:p>
              </w:tc>
              <w:tc>
                <w:tcPr>
                  <w:tcW w:w="8115" w:type="dxa"/>
                  <w:gridSpan w:val="8"/>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rPr>
                      <w:rFonts w:ascii="Times New Roman" w:hAnsi="Times New Roman" w:eastAsia="宋体"/>
                      <w:bCs/>
                      <w:color w:val="auto"/>
                      <w:sz w:val="21"/>
                      <w:szCs w:val="21"/>
                    </w:rPr>
                  </w:pPr>
                  <w:r>
                    <w:rPr>
                      <w:rFonts w:ascii="Times New Roman" w:hAnsi="Times New Roman" w:eastAsia="宋体"/>
                      <w:color w:val="auto"/>
                      <w:sz w:val="21"/>
                    </w:rPr>
                    <w:t>厂界外50米范围内无声环境保护目标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80" w:hRule="atLeast"/>
                <w:jc w:val="center"/>
              </w:trPr>
              <w:tc>
                <w:tcPr>
                  <w:tcW w:w="407" w:type="dxa"/>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lang w:val="en-US"/>
                    </w:rPr>
                  </w:pPr>
                  <w:r>
                    <w:rPr>
                      <w:rFonts w:hint="eastAsia" w:ascii="Times New Roman" w:hAnsi="Times New Roman" w:eastAsia="宋体"/>
                      <w:bCs/>
                      <w:color w:val="auto"/>
                      <w:sz w:val="21"/>
                      <w:szCs w:val="21"/>
                    </w:rPr>
                    <w:t>地下水环境</w:t>
                  </w:r>
                </w:p>
              </w:tc>
              <w:tc>
                <w:tcPr>
                  <w:tcW w:w="8115" w:type="dxa"/>
                  <w:gridSpan w:val="8"/>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厂界外500m范围内无地下水集中式饮用水源水源和热水、矿泉水、温泉等特殊地下水资源。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407" w:type="dxa"/>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lang w:val="en-US"/>
                    </w:rPr>
                  </w:pPr>
                  <w:r>
                    <w:rPr>
                      <w:rFonts w:hint="eastAsia" w:ascii="Times New Roman" w:hAnsi="Times New Roman" w:eastAsia="宋体"/>
                      <w:bCs/>
                      <w:color w:val="auto"/>
                      <w:sz w:val="21"/>
                      <w:szCs w:val="21"/>
                      <w:lang w:val="en-US"/>
                    </w:rPr>
                    <w:t>生态环境</w:t>
                  </w:r>
                </w:p>
              </w:tc>
              <w:tc>
                <w:tcPr>
                  <w:tcW w:w="8115" w:type="dxa"/>
                  <w:gridSpan w:val="8"/>
                  <w:tcBorders>
                    <w:tl2br w:val="nil"/>
                    <w:tr2bl w:val="nil"/>
                  </w:tcBorders>
                  <w:vAlign w:val="center"/>
                </w:tcPr>
                <w:p>
                  <w:pPr>
                    <w:pStyle w:val="53"/>
                    <w:keepNext w:val="0"/>
                    <w:keepLines w:val="0"/>
                    <w:pageBreakBefore w:val="0"/>
                    <w:tabs>
                      <w:tab w:val="left" w:pos="840"/>
                      <w:tab w:val="left" w:pos="1184"/>
                      <w:tab w:val="clear" w:pos="8020"/>
                    </w:tabs>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bCs/>
                      <w:color w:val="auto"/>
                      <w:sz w:val="21"/>
                      <w:szCs w:val="21"/>
                      <w:lang w:val="en-US"/>
                    </w:rPr>
                  </w:pPr>
                  <w:r>
                    <w:rPr>
                      <w:rFonts w:ascii="Times New Roman" w:hAnsi="Times New Roman" w:eastAsia="宋体"/>
                      <w:bCs/>
                      <w:color w:val="auto"/>
                      <w:sz w:val="21"/>
                      <w:szCs w:val="21"/>
                    </w:rPr>
                    <w:t>项目用地范围内无生态环境保护目标</w:t>
                  </w:r>
                  <w:r>
                    <w:rPr>
                      <w:rFonts w:hint="eastAsia" w:ascii="Times New Roman" w:hAnsi="Times New Roman" w:eastAsia="宋体"/>
                      <w:bCs/>
                      <w:color w:val="auto"/>
                      <w:sz w:val="21"/>
                      <w:szCs w:val="21"/>
                    </w:rPr>
                    <w:t>，</w:t>
                  </w:r>
                  <w:r>
                    <w:rPr>
                      <w:rFonts w:hint="eastAsia" w:ascii="Times New Roman" w:hAnsi="Times New Roman" w:eastAsia="宋体"/>
                      <w:bCs/>
                      <w:color w:val="auto"/>
                      <w:sz w:val="21"/>
                      <w:szCs w:val="21"/>
                      <w:lang w:val="en-US"/>
                    </w:rPr>
                    <w:t>不涉及生态保护红线</w:t>
                  </w:r>
                </w:p>
              </w:tc>
            </w:tr>
          </w:tbl>
          <w:p>
            <w:pPr>
              <w:spacing w:line="360" w:lineRule="auto"/>
              <w:ind w:firstLine="480" w:firstLineChars="200"/>
              <w:jc w:val="left"/>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422" w:type="dxa"/>
            <w:tcBorders>
              <w:tl2br w:val="nil"/>
              <w:tr2bl w:val="nil"/>
            </w:tcBorders>
            <w:tcMar>
              <w:left w:w="28" w:type="dxa"/>
              <w:right w:w="28" w:type="dxa"/>
            </w:tcMar>
            <w:vAlign w:val="center"/>
          </w:tcPr>
          <w:p>
            <w:pPr>
              <w:pStyle w:val="50"/>
              <w:rPr>
                <w:b/>
                <w:bCs/>
                <w:color w:val="auto"/>
              </w:rPr>
            </w:pPr>
            <w:r>
              <w:rPr>
                <w:rFonts w:hint="eastAsia"/>
                <w:b/>
                <w:bCs/>
                <w:color w:val="auto"/>
              </w:rPr>
              <w:t>污染</w:t>
            </w:r>
          </w:p>
          <w:p>
            <w:pPr>
              <w:pStyle w:val="50"/>
              <w:rPr>
                <w:b/>
                <w:bCs/>
                <w:color w:val="auto"/>
              </w:rPr>
            </w:pPr>
            <w:r>
              <w:rPr>
                <w:rFonts w:hint="eastAsia"/>
                <w:b/>
                <w:bCs/>
                <w:color w:val="auto"/>
              </w:rPr>
              <w:t>物排</w:t>
            </w:r>
          </w:p>
          <w:p>
            <w:pPr>
              <w:pStyle w:val="50"/>
              <w:rPr>
                <w:b/>
                <w:bCs/>
                <w:color w:val="auto"/>
              </w:rPr>
            </w:pPr>
            <w:r>
              <w:rPr>
                <w:rFonts w:hint="eastAsia"/>
                <w:b/>
                <w:bCs/>
                <w:color w:val="auto"/>
              </w:rPr>
              <w:t>放控</w:t>
            </w:r>
          </w:p>
          <w:p>
            <w:pPr>
              <w:pStyle w:val="50"/>
              <w:rPr>
                <w:b/>
                <w:bCs/>
                <w:color w:val="auto"/>
              </w:rPr>
            </w:pPr>
            <w:r>
              <w:rPr>
                <w:rFonts w:hint="eastAsia"/>
                <w:b/>
                <w:bCs/>
                <w:color w:val="auto"/>
              </w:rPr>
              <w:t>制标</w:t>
            </w:r>
          </w:p>
          <w:p>
            <w:pPr>
              <w:pStyle w:val="50"/>
              <w:rPr>
                <w:color w:val="auto"/>
              </w:rPr>
            </w:pPr>
            <w:r>
              <w:rPr>
                <w:rFonts w:hint="eastAsia"/>
                <w:b/>
                <w:bCs/>
                <w:color w:val="auto"/>
              </w:rPr>
              <w:t>准</w:t>
            </w:r>
          </w:p>
        </w:tc>
        <w:tc>
          <w:tcPr>
            <w:tcW w:w="8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snapToGrid w:val="0"/>
                <w:color w:val="auto"/>
                <w:kern w:val="18"/>
                <w:sz w:val="24"/>
              </w:rPr>
            </w:pPr>
            <w:r>
              <w:rPr>
                <w:b/>
                <w:bCs/>
                <w:snapToGrid w:val="0"/>
                <w:color w:val="auto"/>
                <w:kern w:val="18"/>
                <w:sz w:val="24"/>
              </w:rPr>
              <w:t>1、废气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bCs/>
                <w:color w:val="auto"/>
                <w:sz w:val="24"/>
              </w:rPr>
              <w:t>污水站恶臭执行《医疗机构水污染物排放标准》（GB18466-2005）表3中相关标准要求；食堂油烟排放执行《饮食业油烟排放标准》（GB18483-2001）中型标准，详见表</w:t>
            </w:r>
            <w:r>
              <w:rPr>
                <w:rFonts w:hint="eastAsia"/>
                <w:bCs/>
                <w:color w:val="auto"/>
                <w:sz w:val="24"/>
                <w:lang w:val="en-US" w:eastAsia="zh-CN"/>
              </w:rPr>
              <w:t>3-3</w:t>
            </w:r>
            <w:r>
              <w:rPr>
                <w:rFonts w:hint="eastAsia"/>
                <w:bCs/>
                <w:color w:val="auto"/>
                <w:sz w:val="24"/>
              </w:rPr>
              <w:t>，</w:t>
            </w:r>
            <w:r>
              <w:rPr>
                <w:color w:val="auto"/>
                <w:sz w:val="24"/>
              </w:rPr>
              <w:t>备用柴油发电机尾气排放执行《非道路移动机械用柴油机排气污染物排放限值及测量方法（中国第三、四阶段）》（GB20891-2014）表2中第三阶段标准，见表</w:t>
            </w:r>
            <w:r>
              <w:rPr>
                <w:rFonts w:hint="eastAsia"/>
                <w:color w:val="auto"/>
                <w:sz w:val="24"/>
                <w:lang w:val="en-US" w:eastAsia="zh-CN"/>
              </w:rPr>
              <w:t>3-4</w:t>
            </w:r>
            <w:r>
              <w:rPr>
                <w:rFonts w:hint="eastAsia"/>
                <w:color w:val="auto"/>
                <w:sz w:val="24"/>
              </w:rPr>
              <w:t>。</w:t>
            </w:r>
          </w:p>
          <w:p>
            <w:pPr>
              <w:pStyle w:val="43"/>
              <w:keepNext w:val="0"/>
              <w:keepLines w:val="0"/>
              <w:pageBreakBefore w:val="0"/>
              <w:kinsoku/>
              <w:wordWrap/>
              <w:topLinePunct w:val="0"/>
              <w:bidi w:val="0"/>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lang w:val="en-US"/>
              </w:rPr>
              <w:t>3-</w:t>
            </w:r>
            <w:r>
              <w:rPr>
                <w:rFonts w:hint="eastAsia" w:ascii="Times New Roman" w:hAnsi="Times New Roman" w:eastAsia="宋体"/>
                <w:b/>
                <w:color w:val="auto"/>
                <w:sz w:val="21"/>
                <w:szCs w:val="21"/>
                <w:lang w:val="en-US" w:eastAsia="zh-CN"/>
              </w:rPr>
              <w:t>3</w:t>
            </w:r>
            <w:r>
              <w:rPr>
                <w:rFonts w:hint="eastAsia"/>
                <w:b/>
                <w:color w:val="auto"/>
                <w:sz w:val="21"/>
                <w:szCs w:val="21"/>
                <w:lang w:val="en-US" w:eastAsia="zh-CN"/>
              </w:rPr>
              <w:t xml:space="preserve"> </w:t>
            </w:r>
            <w:r>
              <w:rPr>
                <w:rFonts w:hint="eastAsia" w:ascii="Times New Roman" w:hAnsi="Times New Roman" w:eastAsia="宋体"/>
                <w:b/>
                <w:color w:val="auto"/>
                <w:sz w:val="21"/>
                <w:szCs w:val="21"/>
              </w:rPr>
              <w:t>项目废气排放标准</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57" w:type="dxa"/>
                <w:bottom w:w="28" w:type="dxa"/>
                <w:right w:w="57" w:type="dxa"/>
              </w:tblCellMar>
            </w:tblPr>
            <w:tblGrid>
              <w:gridCol w:w="555"/>
              <w:gridCol w:w="1124"/>
              <w:gridCol w:w="1000"/>
              <w:gridCol w:w="1728"/>
              <w:gridCol w:w="855"/>
              <w:gridCol w:w="31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567" w:hRule="atLeast"/>
                <w:tblHeader/>
                <w:jc w:val="center"/>
              </w:trPr>
              <w:tc>
                <w:tcPr>
                  <w:tcW w:w="558"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1145"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排放源</w:t>
                  </w:r>
                </w:p>
              </w:tc>
              <w:tc>
                <w:tcPr>
                  <w:tcW w:w="1013"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污染物名称</w:t>
                  </w:r>
                </w:p>
              </w:tc>
              <w:tc>
                <w:tcPr>
                  <w:tcW w:w="1744"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标准</w:t>
                  </w:r>
                  <w:r>
                    <w:rPr>
                      <w:rFonts w:ascii="Times New Roman" w:hAnsi="Times New Roman" w:eastAsia="宋体"/>
                      <w:color w:val="auto"/>
                      <w:sz w:val="21"/>
                      <w:szCs w:val="21"/>
                    </w:rPr>
                    <w:t>限值（</w:t>
                  </w:r>
                  <w:r>
                    <w:rPr>
                      <w:rFonts w:hint="eastAsia" w:ascii="Times New Roman" w:hAnsi="Times New Roman" w:eastAsia="宋体"/>
                      <w:color w:val="auto"/>
                      <w:sz w:val="21"/>
                      <w:szCs w:val="21"/>
                      <w:lang w:val="en-US"/>
                    </w:rPr>
                    <w:t>m</w:t>
                  </w:r>
                  <w:r>
                    <w:rPr>
                      <w:rFonts w:ascii="Times New Roman" w:hAnsi="Times New Roman" w:eastAsia="宋体"/>
                      <w:color w:val="auto"/>
                      <w:sz w:val="21"/>
                      <w:szCs w:val="21"/>
                    </w:rPr>
                    <w:t>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w:t>
                  </w:r>
                </w:p>
              </w:tc>
              <w:tc>
                <w:tcPr>
                  <w:tcW w:w="863"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lang w:val="en-US"/>
                    </w:rPr>
                  </w:pPr>
                  <w:r>
                    <w:rPr>
                      <w:rFonts w:hint="eastAsia" w:ascii="Times New Roman" w:hAnsi="Times New Roman" w:eastAsia="宋体"/>
                      <w:color w:val="auto"/>
                      <w:sz w:val="21"/>
                      <w:szCs w:val="21"/>
                      <w:lang w:val="en-US"/>
                    </w:rPr>
                    <w:t>处理效率</w:t>
                  </w:r>
                </w:p>
              </w:tc>
              <w:tc>
                <w:tcPr>
                  <w:tcW w:w="3199"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454" w:hRule="atLeast"/>
                <w:jc w:val="center"/>
              </w:trPr>
              <w:tc>
                <w:tcPr>
                  <w:tcW w:w="558"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p>
              </w:tc>
              <w:tc>
                <w:tcPr>
                  <w:tcW w:w="1145" w:type="dxa"/>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污水处理站</w:t>
                  </w:r>
                </w:p>
              </w:tc>
              <w:tc>
                <w:tcPr>
                  <w:tcW w:w="101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p>
              </w:tc>
              <w:tc>
                <w:tcPr>
                  <w:tcW w:w="1744"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86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3199" w:type="dxa"/>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《医疗机构水污染物排放标准》（GB18466-2005）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454" w:hRule="atLeast"/>
                <w:jc w:val="center"/>
              </w:trPr>
              <w:tc>
                <w:tcPr>
                  <w:tcW w:w="558"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145" w:type="dxa"/>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01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H</w:t>
                  </w:r>
                  <w:r>
                    <w:rPr>
                      <w:rFonts w:ascii="Times New Roman" w:hAnsi="Times New Roman" w:eastAsia="宋体"/>
                      <w:color w:val="auto"/>
                      <w:sz w:val="21"/>
                      <w:szCs w:val="21"/>
                      <w:vertAlign w:val="subscript"/>
                    </w:rPr>
                    <w:t>2</w:t>
                  </w:r>
                  <w:r>
                    <w:rPr>
                      <w:rFonts w:ascii="Times New Roman" w:hAnsi="Times New Roman" w:eastAsia="宋体"/>
                      <w:color w:val="auto"/>
                      <w:sz w:val="21"/>
                      <w:szCs w:val="21"/>
                    </w:rPr>
                    <w:t>S</w:t>
                  </w:r>
                </w:p>
              </w:tc>
              <w:tc>
                <w:tcPr>
                  <w:tcW w:w="1744"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0.03</w:t>
                  </w:r>
                </w:p>
              </w:tc>
              <w:tc>
                <w:tcPr>
                  <w:tcW w:w="86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3199" w:type="dxa"/>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454" w:hRule="atLeast"/>
                <w:jc w:val="center"/>
              </w:trPr>
              <w:tc>
                <w:tcPr>
                  <w:tcW w:w="558"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145" w:type="dxa"/>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01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臭气浓度</w:t>
                  </w:r>
                </w:p>
              </w:tc>
              <w:tc>
                <w:tcPr>
                  <w:tcW w:w="1744"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86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3199" w:type="dxa"/>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454" w:hRule="atLeast"/>
                <w:jc w:val="center"/>
              </w:trPr>
              <w:tc>
                <w:tcPr>
                  <w:tcW w:w="558"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1145"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食堂</w:t>
                  </w:r>
                </w:p>
              </w:tc>
              <w:tc>
                <w:tcPr>
                  <w:tcW w:w="101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油烟</w:t>
                  </w:r>
                </w:p>
              </w:tc>
              <w:tc>
                <w:tcPr>
                  <w:tcW w:w="1744"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2.0</w:t>
                  </w:r>
                </w:p>
              </w:tc>
              <w:tc>
                <w:tcPr>
                  <w:tcW w:w="863"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60%</w:t>
                  </w:r>
                </w:p>
              </w:tc>
              <w:tc>
                <w:tcPr>
                  <w:tcW w:w="3199"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《饮食业油烟排放标准》（GB18483-2001）</w:t>
                  </w:r>
                </w:p>
              </w:tc>
            </w:tr>
          </w:tbl>
          <w:p>
            <w:pPr>
              <w:pStyle w:val="43"/>
              <w:keepNext w:val="0"/>
              <w:keepLines w:val="0"/>
              <w:pageBreakBefore w:val="0"/>
              <w:widowControl/>
              <w:kinsoku/>
              <w:wordWrap/>
              <w:overflowPunct w:val="0"/>
              <w:topLinePunct w:val="0"/>
              <w:autoSpaceDE w:val="0"/>
              <w:autoSpaceDN w:val="0"/>
              <w:bidi w:val="0"/>
              <w:adjustRightInd w:val="0"/>
              <w:snapToGrid/>
              <w:spacing w:before="157" w:beforeLines="50"/>
              <w:textAlignment w:val="baseline"/>
              <w:rPr>
                <w:rFonts w:ascii="Times New Roman" w:hAnsi="Times New Roman" w:eastAsia="宋体"/>
                <w:color w:val="auto"/>
                <w:sz w:val="21"/>
                <w:szCs w:val="21"/>
                <w:lang w:val="en-US"/>
              </w:rPr>
            </w:pPr>
            <w:r>
              <w:rPr>
                <w:rFonts w:ascii="Times New Roman" w:hAnsi="Times New Roman" w:eastAsia="宋体"/>
                <w:color w:val="auto"/>
                <w:sz w:val="21"/>
                <w:szCs w:val="21"/>
                <w:lang w:val="en-US"/>
              </w:rPr>
              <w:t>表</w:t>
            </w:r>
            <w:r>
              <w:rPr>
                <w:rFonts w:hint="eastAsia" w:ascii="Times New Roman" w:hAnsi="Times New Roman" w:eastAsia="宋体"/>
                <w:color w:val="auto"/>
                <w:sz w:val="21"/>
                <w:szCs w:val="21"/>
                <w:lang w:val="en-US"/>
              </w:rPr>
              <w:t>3-</w:t>
            </w:r>
            <w:r>
              <w:rPr>
                <w:rFonts w:hint="eastAsia" w:ascii="Times New Roman" w:hAnsi="Times New Roman" w:eastAsia="宋体"/>
                <w:color w:val="auto"/>
                <w:sz w:val="21"/>
                <w:szCs w:val="21"/>
                <w:lang w:val="en-US" w:eastAsia="zh-CN"/>
              </w:rPr>
              <w:t>4</w:t>
            </w:r>
            <w:r>
              <w:rPr>
                <w:rFonts w:hint="eastAsia"/>
                <w:color w:val="auto"/>
                <w:sz w:val="21"/>
                <w:szCs w:val="21"/>
                <w:lang w:val="en-US" w:eastAsia="zh-CN"/>
              </w:rPr>
              <w:t xml:space="preserve"> </w:t>
            </w:r>
            <w:r>
              <w:rPr>
                <w:rFonts w:ascii="Times New Roman" w:hAnsi="Times New Roman" w:eastAsia="宋体"/>
                <w:color w:val="auto"/>
                <w:sz w:val="21"/>
                <w:szCs w:val="21"/>
                <w:lang w:val="en-US"/>
              </w:rPr>
              <w:t>非道路移动机械用柴油机排气污染物排放限值</w:t>
            </w:r>
          </w:p>
          <w:tbl>
            <w:tblPr>
              <w:tblStyle w:val="2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512"/>
              <w:gridCol w:w="2406"/>
              <w:gridCol w:w="1434"/>
              <w:gridCol w:w="1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8"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b/>
                      <w:bCs/>
                      <w:color w:val="auto"/>
                      <w:w w:val="100"/>
                      <w:kern w:val="0"/>
                      <w:sz w:val="21"/>
                      <w:szCs w:val="21"/>
                    </w:rPr>
                  </w:pPr>
                  <w:r>
                    <w:rPr>
                      <w:rFonts w:ascii="Times New Roman" w:hAnsi="Times New Roman" w:eastAsia="宋体"/>
                      <w:b/>
                      <w:bCs/>
                      <w:color w:val="auto"/>
                      <w:w w:val="100"/>
                      <w:kern w:val="0"/>
                      <w:sz w:val="21"/>
                      <w:szCs w:val="21"/>
                    </w:rPr>
                    <w:t>标准名称</w:t>
                  </w:r>
                </w:p>
              </w:tc>
              <w:tc>
                <w:tcPr>
                  <w:tcW w:w="1530"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b/>
                      <w:bCs/>
                      <w:color w:val="auto"/>
                      <w:w w:val="100"/>
                      <w:kern w:val="0"/>
                      <w:sz w:val="21"/>
                      <w:szCs w:val="21"/>
                    </w:rPr>
                  </w:pPr>
                  <w:r>
                    <w:rPr>
                      <w:rFonts w:ascii="Times New Roman" w:hAnsi="Times New Roman" w:eastAsia="宋体"/>
                      <w:b/>
                      <w:bCs/>
                      <w:color w:val="auto"/>
                      <w:w w:val="100"/>
                      <w:kern w:val="0"/>
                      <w:sz w:val="21"/>
                      <w:szCs w:val="21"/>
                    </w:rPr>
                    <w:t>级别</w:t>
                  </w:r>
                </w:p>
              </w:tc>
              <w:tc>
                <w:tcPr>
                  <w:tcW w:w="2415"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b/>
                      <w:bCs/>
                      <w:color w:val="auto"/>
                      <w:w w:val="100"/>
                      <w:kern w:val="0"/>
                      <w:sz w:val="21"/>
                      <w:szCs w:val="21"/>
                    </w:rPr>
                  </w:pPr>
                  <w:r>
                    <w:rPr>
                      <w:rFonts w:ascii="Times New Roman" w:hAnsi="Times New Roman" w:eastAsia="宋体"/>
                      <w:b/>
                      <w:bCs/>
                      <w:color w:val="auto"/>
                      <w:w w:val="100"/>
                      <w:kern w:val="0"/>
                      <w:sz w:val="21"/>
                      <w:szCs w:val="21"/>
                    </w:rPr>
                    <w:t>额定净功率</w:t>
                  </w:r>
                </w:p>
              </w:tc>
              <w:tc>
                <w:tcPr>
                  <w:tcW w:w="1440"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b/>
                      <w:bCs/>
                      <w:color w:val="auto"/>
                      <w:w w:val="100"/>
                      <w:kern w:val="0"/>
                      <w:sz w:val="21"/>
                      <w:szCs w:val="21"/>
                    </w:rPr>
                  </w:pPr>
                  <w:r>
                    <w:rPr>
                      <w:rFonts w:ascii="Times New Roman" w:hAnsi="Times New Roman" w:eastAsia="宋体"/>
                      <w:b/>
                      <w:bCs/>
                      <w:color w:val="auto"/>
                      <w:w w:val="100"/>
                      <w:kern w:val="0"/>
                      <w:sz w:val="21"/>
                      <w:szCs w:val="21"/>
                    </w:rPr>
                    <w:t>HC+NOx</w:t>
                  </w:r>
                </w:p>
              </w:tc>
              <w:tc>
                <w:tcPr>
                  <w:tcW w:w="1229"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b/>
                      <w:bCs/>
                      <w:color w:val="auto"/>
                      <w:w w:val="100"/>
                      <w:kern w:val="0"/>
                      <w:sz w:val="21"/>
                      <w:szCs w:val="21"/>
                    </w:rPr>
                  </w:pPr>
                  <w:r>
                    <w:rPr>
                      <w:rFonts w:ascii="Times New Roman" w:hAnsi="Times New Roman" w:eastAsia="宋体"/>
                      <w:b/>
                      <w:bCs/>
                      <w:color w:val="auto"/>
                      <w:w w:val="100"/>
                      <w:kern w:val="0"/>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8"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color w:val="auto"/>
                      <w:w w:val="100"/>
                      <w:kern w:val="0"/>
                      <w:sz w:val="21"/>
                      <w:szCs w:val="21"/>
                    </w:rPr>
                  </w:pPr>
                  <w:r>
                    <w:rPr>
                      <w:rFonts w:ascii="Times New Roman" w:hAnsi="Times New Roman" w:eastAsia="宋体"/>
                      <w:color w:val="auto"/>
                      <w:w w:val="100"/>
                      <w:kern w:val="0"/>
                      <w:sz w:val="21"/>
                      <w:szCs w:val="21"/>
                    </w:rPr>
                    <w:t>（GB20891-2014）</w:t>
                  </w:r>
                </w:p>
              </w:tc>
              <w:tc>
                <w:tcPr>
                  <w:tcW w:w="1530"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color w:val="auto"/>
                      <w:w w:val="100"/>
                      <w:kern w:val="0"/>
                      <w:sz w:val="21"/>
                      <w:szCs w:val="21"/>
                    </w:rPr>
                  </w:pPr>
                  <w:r>
                    <w:rPr>
                      <w:rFonts w:ascii="Times New Roman" w:hAnsi="Times New Roman" w:eastAsia="宋体"/>
                      <w:color w:val="auto"/>
                      <w:w w:val="100"/>
                      <w:kern w:val="0"/>
                      <w:sz w:val="21"/>
                      <w:szCs w:val="21"/>
                    </w:rPr>
                    <w:t>第三阶段</w:t>
                  </w:r>
                </w:p>
              </w:tc>
              <w:tc>
                <w:tcPr>
                  <w:tcW w:w="2415"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color w:val="auto"/>
                      <w:w w:val="100"/>
                      <w:kern w:val="0"/>
                      <w:sz w:val="21"/>
                      <w:szCs w:val="21"/>
                    </w:rPr>
                  </w:pPr>
                  <w:r>
                    <w:rPr>
                      <w:rFonts w:hint="eastAsia" w:ascii="Times New Roman" w:hAnsi="Times New Roman" w:eastAsia="宋体"/>
                      <w:color w:val="auto"/>
                      <w:w w:val="100"/>
                      <w:kern w:val="0"/>
                      <w:sz w:val="21"/>
                      <w:szCs w:val="21"/>
                    </w:rPr>
                    <w:t>130</w:t>
                  </w:r>
                  <w:r>
                    <w:rPr>
                      <w:rFonts w:ascii="Times New Roman" w:hAnsi="Times New Roman" w:eastAsia="宋体"/>
                      <w:color w:val="auto"/>
                      <w:w w:val="100"/>
                      <w:kern w:val="0"/>
                      <w:sz w:val="21"/>
                      <w:szCs w:val="21"/>
                    </w:rPr>
                    <w:t>≤Pmax≤</w:t>
                  </w:r>
                  <w:r>
                    <w:rPr>
                      <w:rFonts w:hint="eastAsia" w:ascii="Times New Roman" w:hAnsi="Times New Roman" w:eastAsia="宋体"/>
                      <w:color w:val="auto"/>
                      <w:w w:val="100"/>
                      <w:kern w:val="0"/>
                      <w:sz w:val="21"/>
                      <w:szCs w:val="21"/>
                    </w:rPr>
                    <w:t>560</w:t>
                  </w:r>
                  <w:r>
                    <w:rPr>
                      <w:rFonts w:ascii="Times New Roman" w:hAnsi="Times New Roman" w:eastAsia="宋体"/>
                      <w:color w:val="auto"/>
                      <w:w w:val="100"/>
                      <w:kern w:val="0"/>
                      <w:sz w:val="21"/>
                      <w:szCs w:val="21"/>
                    </w:rPr>
                    <w:t>kW</w:t>
                  </w:r>
                </w:p>
              </w:tc>
              <w:tc>
                <w:tcPr>
                  <w:tcW w:w="1440"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color w:val="auto"/>
                      <w:w w:val="100"/>
                      <w:kern w:val="0"/>
                      <w:sz w:val="21"/>
                      <w:szCs w:val="21"/>
                    </w:rPr>
                  </w:pPr>
                  <w:r>
                    <w:rPr>
                      <w:rFonts w:ascii="Times New Roman" w:hAnsi="Times New Roman" w:eastAsia="宋体"/>
                      <w:color w:val="auto"/>
                      <w:w w:val="100"/>
                      <w:kern w:val="0"/>
                      <w:sz w:val="21"/>
                      <w:szCs w:val="21"/>
                    </w:rPr>
                    <w:t>4.0g/kWh</w:t>
                  </w:r>
                </w:p>
              </w:tc>
              <w:tc>
                <w:tcPr>
                  <w:tcW w:w="1229" w:type="dxa"/>
                  <w:vAlign w:val="center"/>
                </w:tcPr>
                <w:p>
                  <w:pPr>
                    <w:pStyle w:val="55"/>
                    <w:keepNext w:val="0"/>
                    <w:keepLines w:val="0"/>
                    <w:pageBreakBefore w:val="0"/>
                    <w:widowControl w:val="0"/>
                    <w:kinsoku/>
                    <w:wordWrap/>
                    <w:overflowPunct/>
                    <w:topLinePunct w:val="0"/>
                    <w:autoSpaceDE/>
                    <w:autoSpaceDN/>
                    <w:bidi w:val="0"/>
                    <w:adjustRightInd w:val="0"/>
                    <w:snapToGrid/>
                    <w:textAlignment w:val="auto"/>
                    <w:rPr>
                      <w:rFonts w:ascii="Times New Roman" w:hAnsi="Times New Roman" w:eastAsia="宋体"/>
                      <w:color w:val="auto"/>
                      <w:w w:val="100"/>
                      <w:kern w:val="0"/>
                      <w:sz w:val="21"/>
                      <w:szCs w:val="21"/>
                    </w:rPr>
                  </w:pPr>
                  <w:r>
                    <w:rPr>
                      <w:rFonts w:ascii="Times New Roman" w:hAnsi="Times New Roman" w:eastAsia="宋体"/>
                      <w:color w:val="auto"/>
                      <w:w w:val="100"/>
                      <w:kern w:val="0"/>
                      <w:sz w:val="21"/>
                      <w:szCs w:val="21"/>
                    </w:rPr>
                    <w:t>0.</w:t>
                  </w:r>
                  <w:r>
                    <w:rPr>
                      <w:rFonts w:hint="eastAsia" w:ascii="Times New Roman" w:hAnsi="Times New Roman" w:eastAsia="宋体"/>
                      <w:color w:val="auto"/>
                      <w:w w:val="100"/>
                      <w:kern w:val="0"/>
                      <w:sz w:val="21"/>
                      <w:szCs w:val="21"/>
                    </w:rPr>
                    <w:t>2</w:t>
                  </w:r>
                  <w:r>
                    <w:rPr>
                      <w:rFonts w:ascii="Times New Roman" w:hAnsi="Times New Roman" w:eastAsia="宋体"/>
                      <w:color w:val="auto"/>
                      <w:w w:val="100"/>
                      <w:kern w:val="0"/>
                      <w:sz w:val="21"/>
                      <w:szCs w:val="21"/>
                    </w:rPr>
                    <w:t>g/kWh</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b/>
                <w:bCs/>
                <w:snapToGrid w:val="0"/>
                <w:color w:val="auto"/>
                <w:kern w:val="18"/>
                <w:sz w:val="24"/>
              </w:rPr>
            </w:pPr>
            <w:r>
              <w:rPr>
                <w:b/>
                <w:bCs/>
                <w:snapToGrid w:val="0"/>
                <w:color w:val="auto"/>
                <w:kern w:val="18"/>
                <w:sz w:val="24"/>
              </w:rPr>
              <w:t>2、废水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bCs/>
                <w:color w:val="auto"/>
                <w:sz w:val="24"/>
              </w:rPr>
            </w:pPr>
            <w:r>
              <w:rPr>
                <w:rFonts w:hint="eastAsia"/>
                <w:bCs/>
                <w:color w:val="auto"/>
                <w:sz w:val="24"/>
              </w:rPr>
              <w:t>项目产生的废水经“</w:t>
            </w:r>
            <w:r>
              <w:rPr>
                <w:rFonts w:hint="eastAsia"/>
                <w:color w:val="auto"/>
                <w:sz w:val="24"/>
              </w:rPr>
              <w:t>二级生化处理+MBR膜处理+消毒工艺</w:t>
            </w:r>
            <w:r>
              <w:rPr>
                <w:rFonts w:hint="eastAsia"/>
                <w:bCs/>
                <w:color w:val="auto"/>
                <w:sz w:val="24"/>
              </w:rPr>
              <w:t>”处理后的医疗废水满足《医疗机构水污染物排放标准》（GB18466-2005）表2规定的预处理标准及庐山市温泉镇污水处理厂接管标准后（各污染物排放执行两个标准中相对严格的要求）进入庐山市温泉镇污水处理厂进行深度处理，达《城镇污水处理厂污染物排放标准》（GB18918-2002）一级A标准后尾水排入鄱阳湖，综上本项目执行污水排放标准见表3-</w:t>
            </w:r>
            <w:r>
              <w:rPr>
                <w:rFonts w:hint="eastAsia"/>
                <w:bCs/>
                <w:color w:val="auto"/>
                <w:sz w:val="24"/>
                <w:lang w:val="en-US" w:eastAsia="zh-CN"/>
              </w:rPr>
              <w:t>5</w:t>
            </w:r>
            <w:r>
              <w:rPr>
                <w:rFonts w:hint="eastAsia"/>
                <w:bCs/>
                <w:color w:val="auto"/>
                <w:sz w:val="24"/>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sz w:val="21"/>
                <w:szCs w:val="21"/>
              </w:rPr>
            </w:pPr>
            <w:r>
              <w:rPr>
                <w:rFonts w:ascii="Times New Roman" w:hAnsi="Times New Roman" w:eastAsia="宋体"/>
                <w:b/>
                <w:bCs/>
                <w:snapToGrid w:val="0"/>
                <w:color w:val="auto"/>
                <w:kern w:val="18"/>
                <w:sz w:val="21"/>
                <w:szCs w:val="21"/>
              </w:rPr>
              <w:t>表</w:t>
            </w:r>
            <w:r>
              <w:rPr>
                <w:rFonts w:hint="eastAsia" w:ascii="Times New Roman" w:hAnsi="Times New Roman" w:eastAsia="宋体"/>
                <w:b/>
                <w:bCs/>
                <w:snapToGrid w:val="0"/>
                <w:color w:val="auto"/>
                <w:kern w:val="18"/>
                <w:sz w:val="21"/>
                <w:szCs w:val="21"/>
              </w:rPr>
              <w:t>3-</w:t>
            </w:r>
            <w:r>
              <w:rPr>
                <w:rFonts w:hint="eastAsia" w:ascii="Times New Roman" w:hAnsi="Times New Roman" w:eastAsia="宋体"/>
                <w:b/>
                <w:bCs/>
                <w:snapToGrid w:val="0"/>
                <w:color w:val="auto"/>
                <w:kern w:val="18"/>
                <w:sz w:val="21"/>
                <w:szCs w:val="21"/>
                <w:lang w:val="en-US" w:eastAsia="zh-CN"/>
              </w:rPr>
              <w:t>5</w:t>
            </w:r>
            <w:r>
              <w:rPr>
                <w:rFonts w:hint="eastAsia"/>
                <w:b/>
                <w:bCs/>
                <w:snapToGrid w:val="0"/>
                <w:color w:val="auto"/>
                <w:kern w:val="18"/>
                <w:sz w:val="21"/>
                <w:szCs w:val="21"/>
                <w:lang w:val="en-US" w:eastAsia="zh-CN"/>
              </w:rPr>
              <w:t xml:space="preserve"> </w:t>
            </w:r>
            <w:r>
              <w:rPr>
                <w:rFonts w:ascii="Times New Roman" w:hAnsi="Times New Roman" w:eastAsia="宋体"/>
                <w:b/>
                <w:bCs/>
                <w:snapToGrid w:val="0"/>
                <w:color w:val="auto"/>
                <w:kern w:val="18"/>
                <w:sz w:val="21"/>
                <w:szCs w:val="21"/>
              </w:rPr>
              <w:t>项目废水排放标准</w:t>
            </w:r>
            <w:r>
              <w:rPr>
                <w:rFonts w:hint="eastAsia" w:ascii="Times New Roman" w:hAnsi="Times New Roman" w:eastAsia="宋体"/>
                <w:b/>
                <w:bCs/>
                <w:snapToGrid w:val="0"/>
                <w:color w:val="auto"/>
                <w:kern w:val="18"/>
                <w:sz w:val="21"/>
                <w:szCs w:val="21"/>
              </w:rPr>
              <w:t>单位：mg/L（pH除外）</w:t>
            </w:r>
          </w:p>
          <w:tbl>
            <w:tblPr>
              <w:tblStyle w:val="2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57" w:type="dxa"/>
                <w:bottom w:w="28" w:type="dxa"/>
                <w:right w:w="57" w:type="dxa"/>
              </w:tblCellMar>
            </w:tblPr>
            <w:tblGrid>
              <w:gridCol w:w="476"/>
              <w:gridCol w:w="1481"/>
              <w:gridCol w:w="1902"/>
              <w:gridCol w:w="1664"/>
              <w:gridCol w:w="1509"/>
              <w:gridCol w:w="13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712"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控制项目</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GB18466-2005表2中预处理标准</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rPr>
                    <w:t>温泉镇污水处理厂</w:t>
                  </w:r>
                  <w:r>
                    <w:rPr>
                      <w:rFonts w:hint="eastAsia"/>
                      <w:b/>
                      <w:bCs/>
                      <w:color w:val="auto"/>
                      <w:sz w:val="21"/>
                      <w:lang w:val="en-US" w:eastAsia="zh-CN"/>
                    </w:rPr>
                    <w:t>接管标准</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本项目执行标准</w:t>
                  </w:r>
                  <w:r>
                    <w:rPr>
                      <w:rFonts w:hint="eastAsia" w:ascii="Times New Roman" w:hAnsi="Times New Roman" w:eastAsia="宋体"/>
                      <w:b/>
                      <w:bCs/>
                      <w:color w:val="auto"/>
                      <w:sz w:val="21"/>
                      <w:szCs w:val="21"/>
                    </w:rPr>
                    <w:t>（从严）</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b/>
                      <w:bCs/>
                      <w:color w:val="auto"/>
                      <w:sz w:val="21"/>
                      <w:szCs w:val="21"/>
                    </w:rPr>
                  </w:pPr>
                  <w:r>
                    <w:rPr>
                      <w:rFonts w:hint="eastAsia" w:ascii="Times New Roman" w:hAnsi="Times New Roman" w:eastAsia="宋体"/>
                      <w:b/>
                      <w:bCs/>
                      <w:color w:val="auto"/>
                      <w:kern w:val="0"/>
                      <w:sz w:val="21"/>
                      <w:szCs w:val="21"/>
                    </w:rPr>
                    <w:t>污水处理厂排放标准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1</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pH</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6-9</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6-9</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6-9</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2</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250</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200</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3</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100</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4</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SS</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60</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150</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60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723"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5</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粪大肠菌群数（MPN/L）</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500</w:t>
                  </w:r>
                  <w:r>
                    <w:rPr>
                      <w:rFonts w:hint="eastAsia" w:ascii="Times New Roman" w:hAnsi="Times New Roman" w:eastAsia="宋体"/>
                      <w:color w:val="auto"/>
                      <w:sz w:val="21"/>
                      <w:szCs w:val="21"/>
                    </w:rPr>
                    <w:t>0</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500</w:t>
                  </w:r>
                  <w:r>
                    <w:rPr>
                      <w:rFonts w:hint="eastAsia" w:ascii="Times New Roman" w:hAnsi="Times New Roman" w:eastAsia="宋体"/>
                      <w:color w:val="auto"/>
                      <w:sz w:val="21"/>
                      <w:szCs w:val="21"/>
                    </w:rPr>
                    <w:t>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6</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氨氮</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24</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24</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TN</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8</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TP</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9</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动植物油</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LAS</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54" w:hRule="exact"/>
                <w:jc w:val="center"/>
              </w:trPr>
              <w:tc>
                <w:tcPr>
                  <w:tcW w:w="282"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11</w:t>
                  </w:r>
                </w:p>
              </w:tc>
              <w:tc>
                <w:tcPr>
                  <w:tcW w:w="87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总余氯*</w:t>
                  </w:r>
                </w:p>
              </w:tc>
              <w:tc>
                <w:tcPr>
                  <w:tcW w:w="1129"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2~8</w:t>
                  </w:r>
                </w:p>
              </w:tc>
              <w:tc>
                <w:tcPr>
                  <w:tcW w:w="98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896"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2~8</w:t>
                  </w:r>
                </w:p>
              </w:tc>
              <w:tc>
                <w:tcPr>
                  <w:tcW w:w="823"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val="0"/>
                    <w:snapToGrid/>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21" w:firstLineChars="200"/>
              <w:jc w:val="left"/>
              <w:textAlignment w:val="auto"/>
              <w:rPr>
                <w:b/>
                <w:bCs/>
                <w:snapToGrid w:val="0"/>
                <w:color w:val="auto"/>
                <w:kern w:val="18"/>
                <w:sz w:val="21"/>
              </w:rPr>
            </w:pPr>
            <w:r>
              <w:rPr>
                <w:b/>
                <w:bCs/>
                <w:color w:val="auto"/>
                <w:sz w:val="21"/>
                <w:szCs w:val="21"/>
              </w:rPr>
              <w:t>注：*为消毒接触池接触时间≥1h，接触池出口总余氯2~8mg/L。</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b/>
                <w:bCs/>
                <w:snapToGrid w:val="0"/>
                <w:color w:val="auto"/>
                <w:kern w:val="18"/>
                <w:sz w:val="24"/>
              </w:rPr>
            </w:pPr>
            <w:r>
              <w:rPr>
                <w:b/>
                <w:bCs/>
                <w:snapToGrid w:val="0"/>
                <w:color w:val="auto"/>
                <w:kern w:val="18"/>
                <w:sz w:val="24"/>
              </w:rPr>
              <w:t>3、噪声</w:t>
            </w:r>
          </w:p>
          <w:p>
            <w:pPr>
              <w:keepNext w:val="0"/>
              <w:keepLines w:val="0"/>
              <w:pageBreakBefore w:val="0"/>
              <w:widowControl w:val="0"/>
              <w:tabs>
                <w:tab w:val="left" w:pos="5142"/>
              </w:tabs>
              <w:kinsoku/>
              <w:wordWrap/>
              <w:overflowPunct/>
              <w:topLinePunct w:val="0"/>
              <w:autoSpaceDE/>
              <w:autoSpaceDN/>
              <w:bidi w:val="0"/>
              <w:adjustRightInd w:val="0"/>
              <w:snapToGrid/>
              <w:spacing w:line="360" w:lineRule="auto"/>
              <w:ind w:firstLine="480" w:firstLineChars="200"/>
              <w:jc w:val="both"/>
              <w:textAlignment w:val="auto"/>
              <w:rPr>
                <w:color w:val="auto"/>
                <w:sz w:val="24"/>
              </w:rPr>
            </w:pPr>
            <w:r>
              <w:rPr>
                <w:rFonts w:hint="eastAsia"/>
                <w:color w:val="auto"/>
                <w:sz w:val="24"/>
              </w:rPr>
              <w:t>营运期噪声执行《工业企业厂界环境噪声排放标准》（GB12348-2008）中2类功能区噪声排放限值标准。</w:t>
            </w:r>
            <w:r>
              <w:rPr>
                <w:color w:val="auto"/>
                <w:sz w:val="24"/>
              </w:rPr>
              <w:t>具体标准值见下表。</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表</w:t>
            </w:r>
            <w:r>
              <w:rPr>
                <w:rFonts w:hint="eastAsia" w:ascii="Times New Roman" w:hAnsi="Times New Roman" w:eastAsia="宋体"/>
                <w:color w:val="auto"/>
                <w:sz w:val="21"/>
                <w:szCs w:val="21"/>
                <w:lang w:val="en-US"/>
              </w:rPr>
              <w:t>3-</w:t>
            </w:r>
            <w:r>
              <w:rPr>
                <w:rFonts w:hint="eastAsia" w:ascii="Times New Roman" w:hAnsi="Times New Roman" w:eastAsia="宋体"/>
                <w:color w:val="auto"/>
                <w:sz w:val="21"/>
                <w:szCs w:val="21"/>
                <w:lang w:val="en-US" w:eastAsia="zh-CN"/>
              </w:rPr>
              <w:t>6</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rPr>
              <w:t>项目噪声排放标准</w:t>
            </w:r>
            <w:r>
              <w:rPr>
                <w:rFonts w:hint="eastAsia" w:ascii="Times New Roman" w:hAnsi="Times New Roman" w:eastAsia="宋体"/>
                <w:color w:val="auto"/>
                <w:sz w:val="21"/>
                <w:szCs w:val="21"/>
              </w:rPr>
              <w:t>[单位：</w:t>
            </w:r>
            <w:r>
              <w:rPr>
                <w:rFonts w:ascii="Times New Roman" w:hAnsi="Times New Roman" w:eastAsia="宋体"/>
                <w:color w:val="auto"/>
                <w:sz w:val="21"/>
                <w:szCs w:val="21"/>
              </w:rPr>
              <w:t>dB(A)</w:t>
            </w:r>
            <w:r>
              <w:rPr>
                <w:rFonts w:hint="eastAsia" w:ascii="Times New Roman" w:hAnsi="Times New Roman" w:eastAsia="宋体"/>
                <w:color w:val="auto"/>
                <w:sz w:val="21"/>
                <w:szCs w:val="21"/>
              </w:rPr>
              <w:t>]</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993"/>
              <w:gridCol w:w="6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397" w:hRule="atLeast"/>
                <w:jc w:val="center"/>
              </w:trPr>
              <w:tc>
                <w:tcPr>
                  <w:tcW w:w="1183"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类别</w:t>
                  </w:r>
                </w:p>
              </w:tc>
              <w:tc>
                <w:tcPr>
                  <w:tcW w:w="381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lang w:val="en-US"/>
                    </w:rPr>
                  </w:pPr>
                  <w:r>
                    <w:rPr>
                      <w:rFonts w:hint="eastAsia" w:ascii="Times New Roman" w:hAnsi="Times New Roman" w:eastAsia="宋体"/>
                      <w:color w:val="auto"/>
                      <w:sz w:val="21"/>
                      <w:szCs w:val="21"/>
                      <w:lang w:val="en-US"/>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397" w:hRule="atLeast"/>
                <w:jc w:val="center"/>
              </w:trPr>
              <w:tc>
                <w:tcPr>
                  <w:tcW w:w="118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执行标准</w:t>
                  </w:r>
                </w:p>
              </w:tc>
              <w:tc>
                <w:tcPr>
                  <w:tcW w:w="38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《工业企业厂界环境噪声排放标准》（GB12348-2008）中2类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397" w:hRule="atLeast"/>
                <w:jc w:val="center"/>
              </w:trPr>
              <w:tc>
                <w:tcPr>
                  <w:tcW w:w="118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昼间</w:t>
                  </w:r>
                </w:p>
              </w:tc>
              <w:tc>
                <w:tcPr>
                  <w:tcW w:w="38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397" w:hRule="atLeast"/>
                <w:jc w:val="center"/>
              </w:trPr>
              <w:tc>
                <w:tcPr>
                  <w:tcW w:w="118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381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50</w:t>
                  </w:r>
                </w:p>
              </w:tc>
            </w:tr>
          </w:tbl>
          <w:p>
            <w:pPr>
              <w:keepNext w:val="0"/>
              <w:keepLines w:val="0"/>
              <w:pageBreakBefore w:val="0"/>
              <w:widowControl w:val="0"/>
              <w:kinsoku/>
              <w:wordWrap/>
              <w:overflowPunct/>
              <w:topLinePunct w:val="0"/>
              <w:bidi w:val="0"/>
              <w:adjustRightInd w:val="0"/>
              <w:snapToGrid/>
              <w:spacing w:line="360" w:lineRule="auto"/>
              <w:ind w:firstLine="481" w:firstLineChars="200"/>
              <w:jc w:val="both"/>
              <w:textAlignment w:val="auto"/>
              <w:rPr>
                <w:b/>
                <w:bCs/>
                <w:color w:val="auto"/>
                <w:sz w:val="24"/>
              </w:rPr>
            </w:pPr>
            <w:r>
              <w:rPr>
                <w:b/>
                <w:bCs/>
                <w:color w:val="auto"/>
                <w:sz w:val="24"/>
              </w:rPr>
              <w:t>4、固体废物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color w:val="auto"/>
                <w:sz w:val="24"/>
              </w:rPr>
            </w:pPr>
            <w:r>
              <w:rPr>
                <w:color w:val="auto"/>
                <w:sz w:val="24"/>
              </w:rPr>
              <w:t>一般固废的暂存执行《一般工业固体废物贮存和填埋污染控制标准》（GB18599-2020），</w:t>
            </w:r>
            <w:r>
              <w:rPr>
                <w:rFonts w:hint="eastAsia"/>
                <w:color w:val="auto"/>
                <w:sz w:val="24"/>
              </w:rPr>
              <w:t>医疗</w:t>
            </w:r>
            <w:r>
              <w:rPr>
                <w:color w:val="auto"/>
                <w:sz w:val="24"/>
              </w:rPr>
              <w:t>废物和检验废</w:t>
            </w:r>
            <w:r>
              <w:rPr>
                <w:rFonts w:hint="eastAsia"/>
                <w:color w:val="auto"/>
                <w:sz w:val="24"/>
              </w:rPr>
              <w:t>物</w:t>
            </w:r>
            <w:r>
              <w:rPr>
                <w:color w:val="auto"/>
                <w:sz w:val="24"/>
              </w:rPr>
              <w:t>执行</w:t>
            </w:r>
            <w:r>
              <w:rPr>
                <w:rFonts w:hint="eastAsia"/>
                <w:color w:val="auto"/>
                <w:sz w:val="24"/>
              </w:rPr>
              <w:t>《医疗废物处理处置污染控制标准》（GB39707-2020）</w:t>
            </w:r>
            <w:r>
              <w:rPr>
                <w:color w:val="auto"/>
                <w:sz w:val="24"/>
              </w:rPr>
              <w:t>；污水处理站栅渣和污泥属于危险废物，执行《医疗机构水污染排放标准》（GB18466-2005）中表4污泥医疗机构污泥控制标准和</w:t>
            </w:r>
            <w:r>
              <w:rPr>
                <w:rFonts w:hint="eastAsia"/>
                <w:color w:val="auto"/>
                <w:sz w:val="24"/>
              </w:rPr>
              <w:t>《医疗废物处理处置污染控制标准》（GB39707-2020）标准。生活垃圾经袋装收集后，暂存于分类垃圾桶，由市政环卫部门定期清运。</w:t>
            </w:r>
          </w:p>
          <w:p>
            <w:pPr>
              <w:pStyle w:val="43"/>
              <w:keepNext w:val="0"/>
              <w:keepLines w:val="0"/>
              <w:pageBreakBefore w:val="0"/>
              <w:widowControl/>
              <w:kinsoku/>
              <w:wordWrap/>
              <w:overflowPunct w:val="0"/>
              <w:topLinePunct w:val="0"/>
              <w:autoSpaceDE w:val="0"/>
              <w:autoSpaceDN w:val="0"/>
              <w:bidi w:val="0"/>
              <w:adjustRightInd w:val="0"/>
              <w:snapToGrid/>
              <w:textAlignment w:val="baseline"/>
              <w:rPr>
                <w:rFonts w:ascii="Times New Roman" w:hAnsi="Times New Roman" w:eastAsia="宋体"/>
                <w:color w:val="auto"/>
                <w:sz w:val="21"/>
                <w:szCs w:val="21"/>
              </w:rPr>
            </w:pPr>
            <w:r>
              <w:rPr>
                <w:rFonts w:ascii="Times New Roman" w:hAnsi="Times New Roman" w:eastAsia="宋体"/>
                <w:color w:val="auto"/>
                <w:sz w:val="21"/>
                <w:szCs w:val="21"/>
              </w:rPr>
              <w:t>表</w:t>
            </w:r>
            <w:r>
              <w:rPr>
                <w:rFonts w:hint="eastAsia" w:ascii="Times New Roman" w:hAnsi="Times New Roman" w:eastAsia="宋体"/>
                <w:color w:val="auto"/>
                <w:sz w:val="21"/>
                <w:szCs w:val="21"/>
                <w:lang w:val="en-US"/>
              </w:rPr>
              <w:t>3-</w:t>
            </w:r>
            <w:r>
              <w:rPr>
                <w:rFonts w:hint="eastAsia" w:ascii="Times New Roman" w:hAnsi="Times New Roman" w:eastAsia="宋体"/>
                <w:color w:val="auto"/>
                <w:sz w:val="21"/>
                <w:szCs w:val="21"/>
                <w:lang w:val="en-US" w:eastAsia="zh-CN"/>
              </w:rPr>
              <w:t>7</w:t>
            </w:r>
            <w:r>
              <w:rPr>
                <w:rFonts w:hint="eastAsia" w:ascii="Times New Roman" w:hAnsi="Times New Roman" w:eastAsia="宋体"/>
                <w:color w:val="auto"/>
                <w:sz w:val="21"/>
                <w:szCs w:val="21"/>
                <w:lang w:val="en-US"/>
              </w:rPr>
              <w:t xml:space="preserve"> </w:t>
            </w:r>
            <w:r>
              <w:rPr>
                <w:rFonts w:ascii="Times New Roman" w:hAnsi="Times New Roman" w:eastAsia="宋体"/>
                <w:color w:val="auto"/>
                <w:sz w:val="21"/>
                <w:szCs w:val="21"/>
              </w:rPr>
              <w:t>医疗机构污泥控制标准</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506"/>
              <w:gridCol w:w="1310"/>
              <w:gridCol w:w="1121"/>
              <w:gridCol w:w="1121"/>
              <w:gridCol w:w="1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8"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医疗机构类别</w:t>
                  </w:r>
                </w:p>
              </w:tc>
              <w:tc>
                <w:tcPr>
                  <w:tcW w:w="1512"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粪大肠菌群数</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(MPN/g)</w:t>
                  </w:r>
                </w:p>
              </w:tc>
              <w:tc>
                <w:tcPr>
                  <w:tcW w:w="1320"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肠道致病菌</w:t>
                  </w:r>
                </w:p>
              </w:tc>
              <w:tc>
                <w:tcPr>
                  <w:tcW w:w="1129"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肠道病毒</w:t>
                  </w:r>
                </w:p>
              </w:tc>
              <w:tc>
                <w:tcPr>
                  <w:tcW w:w="1129"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结核杆菌</w:t>
                  </w:r>
                </w:p>
              </w:tc>
              <w:tc>
                <w:tcPr>
                  <w:tcW w:w="1680" w:type="dxa"/>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蛔虫卵死亡率（%）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8"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综合医疗机构和</w:t>
                  </w:r>
                  <w:r>
                    <w:rPr>
                      <w:rFonts w:hint="eastAsia" w:ascii="Times New Roman" w:hAnsi="Times New Roman" w:eastAsia="宋体"/>
                      <w:color w:val="auto"/>
                      <w:sz w:val="21"/>
                      <w:szCs w:val="21"/>
                    </w:rPr>
                    <w:t>其他</w:t>
                  </w:r>
                  <w:r>
                    <w:rPr>
                      <w:rFonts w:ascii="Times New Roman" w:hAnsi="Times New Roman" w:eastAsia="宋体"/>
                      <w:color w:val="auto"/>
                      <w:sz w:val="21"/>
                      <w:szCs w:val="21"/>
                    </w:rPr>
                    <w:t>医疗机构</w:t>
                  </w:r>
                </w:p>
              </w:tc>
              <w:tc>
                <w:tcPr>
                  <w:tcW w:w="1512"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1320"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1129"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1129"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1680" w:type="dxa"/>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&gt;95</w:t>
                  </w:r>
                </w:p>
              </w:tc>
            </w:tr>
          </w:tbl>
          <w:p>
            <w:pPr>
              <w:pStyle w:val="15"/>
              <w:ind w:left="0" w:leftChars="0" w:firstLine="0" w:firstLineChars="0"/>
              <w:rPr>
                <w:rFonts w:cs="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tcBorders>
              <w:tl2br w:val="nil"/>
              <w:tr2bl w:val="nil"/>
            </w:tcBorders>
            <w:vAlign w:val="center"/>
          </w:tcPr>
          <w:p>
            <w:pPr>
              <w:pStyle w:val="50"/>
              <w:rPr>
                <w:color w:val="auto"/>
              </w:rPr>
            </w:pPr>
            <w:r>
              <w:rPr>
                <w:rFonts w:hint="eastAsia"/>
                <w:b/>
                <w:bCs/>
                <w:color w:val="auto"/>
              </w:rPr>
              <w:t>总量控制指标</w:t>
            </w:r>
          </w:p>
        </w:tc>
        <w:tc>
          <w:tcPr>
            <w:tcW w:w="8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bCs/>
                <w:color w:val="auto"/>
                <w:kern w:val="0"/>
                <w:sz w:val="24"/>
              </w:rPr>
            </w:pPr>
            <w:r>
              <w:rPr>
                <w:bCs/>
                <w:color w:val="auto"/>
                <w:kern w:val="0"/>
                <w:sz w:val="24"/>
              </w:rPr>
              <w:t>污染物排放实施总量控制是执行环保管理目标责任制的基本原则之一。本环评结合环保管理要求，对项目主要污染物的排放量进行总量控制分析。根据</w:t>
            </w:r>
            <w:r>
              <w:rPr>
                <w:rFonts w:hint="eastAsia"/>
                <w:bCs/>
                <w:color w:val="auto"/>
                <w:kern w:val="0"/>
                <w:sz w:val="24"/>
              </w:rPr>
              <w:t>“十四五”期间总量控制指标</w:t>
            </w:r>
            <w:r>
              <w:rPr>
                <w:bCs/>
                <w:color w:val="auto"/>
                <w:kern w:val="0"/>
                <w:sz w:val="24"/>
              </w:rPr>
              <w:t>，建设项目总量指标审核和管理的污染物范围包括：NO</w:t>
            </w:r>
            <w:r>
              <w:rPr>
                <w:bCs/>
                <w:color w:val="auto"/>
                <w:kern w:val="0"/>
                <w:sz w:val="24"/>
                <w:vertAlign w:val="subscript"/>
              </w:rPr>
              <w:t>X</w:t>
            </w:r>
            <w:r>
              <w:rPr>
                <w:rFonts w:hint="eastAsia"/>
                <w:bCs/>
                <w:color w:val="auto"/>
                <w:kern w:val="0"/>
                <w:sz w:val="24"/>
              </w:rPr>
              <w:t>、</w:t>
            </w:r>
            <w:r>
              <w:rPr>
                <w:color w:val="auto"/>
                <w:sz w:val="24"/>
              </w:rPr>
              <w:t>挥发性有机物</w:t>
            </w:r>
            <w:r>
              <w:rPr>
                <w:bCs/>
                <w:color w:val="auto"/>
                <w:kern w:val="0"/>
                <w:sz w:val="24"/>
              </w:rPr>
              <w:t>及COD</w:t>
            </w:r>
            <w:r>
              <w:rPr>
                <w:bCs/>
                <w:color w:val="auto"/>
                <w:kern w:val="0"/>
                <w:sz w:val="24"/>
                <w:vertAlign w:val="subscript"/>
              </w:rPr>
              <w:t>Cr</w:t>
            </w:r>
            <w:r>
              <w:rPr>
                <w:bCs/>
                <w:color w:val="auto"/>
                <w:kern w:val="0"/>
                <w:sz w:val="24"/>
              </w:rPr>
              <w:t>、NH</w:t>
            </w:r>
            <w:r>
              <w:rPr>
                <w:bCs/>
                <w:color w:val="auto"/>
                <w:kern w:val="0"/>
                <w:sz w:val="24"/>
                <w:vertAlign w:val="subscript"/>
              </w:rPr>
              <w:t>3</w:t>
            </w:r>
            <w:r>
              <w:rPr>
                <w:bCs/>
                <w:color w:val="auto"/>
                <w:kern w:val="0"/>
                <w:sz w:val="24"/>
              </w:rPr>
              <w:t>-N。</w:t>
            </w:r>
            <w:r>
              <w:rPr>
                <w:color w:val="auto"/>
                <w:sz w:val="24"/>
              </w:rPr>
              <w:t>根据国家</w:t>
            </w:r>
            <w:r>
              <w:rPr>
                <w:rFonts w:hint="eastAsia"/>
                <w:color w:val="auto"/>
                <w:sz w:val="24"/>
              </w:rPr>
              <w:t>及地方</w:t>
            </w:r>
            <w:r>
              <w:rPr>
                <w:color w:val="auto"/>
                <w:sz w:val="24"/>
              </w:rPr>
              <w:t>有关政策及本项目排污特征，将</w:t>
            </w:r>
            <w:r>
              <w:rPr>
                <w:color w:val="auto"/>
                <w:kern w:val="0"/>
                <w:sz w:val="24"/>
              </w:rPr>
              <w:t>本项目</w:t>
            </w:r>
            <w:r>
              <w:rPr>
                <w:color w:val="auto"/>
                <w:sz w:val="24"/>
              </w:rPr>
              <w:t>废水中COD</w:t>
            </w:r>
            <w:r>
              <w:rPr>
                <w:color w:val="auto"/>
                <w:sz w:val="24"/>
                <w:vertAlign w:val="subscript"/>
              </w:rPr>
              <w:t>Cr</w:t>
            </w:r>
            <w:r>
              <w:rPr>
                <w:color w:val="auto"/>
                <w:sz w:val="24"/>
              </w:rPr>
              <w:t>、NH</w:t>
            </w:r>
            <w:r>
              <w:rPr>
                <w:color w:val="auto"/>
                <w:sz w:val="24"/>
                <w:vertAlign w:val="subscript"/>
              </w:rPr>
              <w:t>3</w:t>
            </w:r>
            <w:r>
              <w:rPr>
                <w:color w:val="auto"/>
                <w:sz w:val="24"/>
              </w:rPr>
              <w:t>-N作为总量控制因子。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center"/>
              <w:rPr>
                <w:color w:val="auto"/>
                <w:sz w:val="24"/>
              </w:rPr>
            </w:pPr>
            <w:r>
              <w:rPr>
                <w:color w:val="auto"/>
                <w:sz w:val="24"/>
              </w:rPr>
              <w:t>根据工程分析，本项目</w:t>
            </w:r>
            <w:r>
              <w:rPr>
                <w:rFonts w:hint="eastAsia"/>
                <w:color w:val="auto"/>
                <w:sz w:val="24"/>
              </w:rPr>
              <w:t>废水</w:t>
            </w:r>
            <w:r>
              <w:rPr>
                <w:color w:val="auto"/>
                <w:sz w:val="24"/>
              </w:rPr>
              <w:t>排放量为</w:t>
            </w:r>
            <w:r>
              <w:rPr>
                <w:rFonts w:hint="eastAsia"/>
                <w:color w:val="auto"/>
                <w:sz w:val="24"/>
              </w:rPr>
              <w:t>3142.285</w:t>
            </w:r>
            <w:r>
              <w:rPr>
                <w:color w:val="auto"/>
                <w:sz w:val="24"/>
              </w:rPr>
              <w:t>m</w:t>
            </w:r>
            <w:r>
              <w:rPr>
                <w:color w:val="auto"/>
                <w:sz w:val="24"/>
                <w:vertAlign w:val="superscript"/>
              </w:rPr>
              <w:t>3</w:t>
            </w:r>
            <w:r>
              <w:rPr>
                <w:color w:val="auto"/>
                <w:sz w:val="24"/>
              </w:rPr>
              <w:t>/a，项目</w:t>
            </w:r>
            <w:r>
              <w:rPr>
                <w:rFonts w:hint="eastAsia"/>
                <w:color w:val="auto"/>
                <w:sz w:val="24"/>
              </w:rPr>
              <w:t>废水</w:t>
            </w:r>
            <w:r>
              <w:rPr>
                <w:color w:val="auto"/>
                <w:sz w:val="24"/>
              </w:rPr>
              <w:t>经厂内化粪池</w:t>
            </w:r>
            <w:r>
              <w:rPr>
                <w:rFonts w:hint="eastAsia"/>
                <w:color w:val="auto"/>
                <w:sz w:val="24"/>
              </w:rPr>
              <w:t>及自建污水处理设备</w:t>
            </w:r>
            <w:r>
              <w:rPr>
                <w:color w:val="auto"/>
                <w:sz w:val="24"/>
              </w:rPr>
              <w:t>预处理后排入</w:t>
            </w:r>
            <w:r>
              <w:rPr>
                <w:rFonts w:hint="eastAsia"/>
                <w:color w:val="auto"/>
                <w:kern w:val="0"/>
                <w:sz w:val="24"/>
              </w:rPr>
              <w:t>温泉镇</w:t>
            </w:r>
            <w:r>
              <w:rPr>
                <w:color w:val="auto"/>
                <w:sz w:val="24"/>
              </w:rPr>
              <w:t>污水处理厂，经</w:t>
            </w:r>
            <w:r>
              <w:rPr>
                <w:rFonts w:hint="eastAsia"/>
                <w:color w:val="auto"/>
                <w:kern w:val="0"/>
                <w:sz w:val="24"/>
              </w:rPr>
              <w:t>温泉镇</w:t>
            </w:r>
            <w:r>
              <w:rPr>
                <w:color w:val="auto"/>
                <w:sz w:val="24"/>
              </w:rPr>
              <w:t>污水处理厂处理达《城镇污水处理厂污染物排放标准》（GB18918-2002）中一级</w:t>
            </w:r>
            <w:r>
              <w:rPr>
                <w:rFonts w:hint="eastAsia"/>
                <w:color w:val="auto"/>
                <w:sz w:val="24"/>
              </w:rPr>
              <w:t>A</w:t>
            </w:r>
            <w:r>
              <w:rPr>
                <w:color w:val="auto"/>
                <w:sz w:val="24"/>
              </w:rPr>
              <w:t>标准后，排</w:t>
            </w:r>
            <w:r>
              <w:rPr>
                <w:rFonts w:hint="eastAsia"/>
                <w:color w:val="auto"/>
                <w:sz w:val="24"/>
              </w:rPr>
              <w:t>入鄱阳湖</w:t>
            </w:r>
            <w:r>
              <w:rPr>
                <w:color w:val="auto"/>
                <w:sz w:val="24"/>
              </w:rPr>
              <w:t>。其对应的CODcr、NH</w:t>
            </w:r>
            <w:r>
              <w:rPr>
                <w:color w:val="auto"/>
                <w:sz w:val="24"/>
                <w:vertAlign w:val="subscript"/>
              </w:rPr>
              <w:t>3</w:t>
            </w:r>
            <w:r>
              <w:rPr>
                <w:color w:val="auto"/>
                <w:sz w:val="24"/>
              </w:rPr>
              <w:t>-N</w:t>
            </w:r>
            <w:r>
              <w:rPr>
                <w:rFonts w:hint="eastAsia"/>
                <w:color w:val="auto"/>
                <w:sz w:val="24"/>
              </w:rPr>
              <w:t>、</w:t>
            </w:r>
            <w:r>
              <w:rPr>
                <w:color w:val="auto"/>
                <w:sz w:val="24"/>
              </w:rPr>
              <w:t>TP、TN的排放浓度分别为：</w:t>
            </w:r>
            <w:r>
              <w:rPr>
                <w:rFonts w:hint="eastAsia"/>
                <w:color w:val="auto"/>
                <w:sz w:val="24"/>
              </w:rPr>
              <w:t>50</w:t>
            </w:r>
            <w:r>
              <w:rPr>
                <w:color w:val="auto"/>
                <w:sz w:val="24"/>
              </w:rPr>
              <w:t>mg/L，</w:t>
            </w:r>
            <w:r>
              <w:rPr>
                <w:rFonts w:hint="eastAsia"/>
                <w:color w:val="auto"/>
                <w:sz w:val="24"/>
              </w:rPr>
              <w:t>5</w:t>
            </w:r>
            <w:r>
              <w:rPr>
                <w:color w:val="auto"/>
                <w:sz w:val="24"/>
              </w:rPr>
              <w:t>mg/L</w:t>
            </w:r>
            <w:r>
              <w:rPr>
                <w:rFonts w:hint="eastAsia"/>
                <w:color w:val="auto"/>
                <w:sz w:val="24"/>
              </w:rPr>
              <w:t>，</w:t>
            </w:r>
            <w:r>
              <w:rPr>
                <w:color w:val="auto"/>
                <w:sz w:val="24"/>
              </w:rPr>
              <w:t>0.5mg/L，15mg/L。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center"/>
              <w:rPr>
                <w:color w:val="auto"/>
                <w:sz w:val="24"/>
              </w:rPr>
            </w:pPr>
            <w:r>
              <w:rPr>
                <w:color w:val="auto"/>
                <w:sz w:val="24"/>
              </w:rPr>
              <w:t>则本项目总量控制指标计算如下：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center"/>
              <w:rPr>
                <w:color w:val="auto"/>
                <w:sz w:val="24"/>
              </w:rPr>
            </w:pPr>
            <w:r>
              <w:rPr>
                <w:color w:val="auto"/>
                <w:sz w:val="24"/>
              </w:rPr>
              <w:t>COD</w:t>
            </w:r>
            <w:r>
              <w:rPr>
                <w:color w:val="auto"/>
                <w:sz w:val="24"/>
                <w:vertAlign w:val="subscript"/>
              </w:rPr>
              <w:t>cr</w:t>
            </w:r>
            <w:r>
              <w:rPr>
                <w:color w:val="auto"/>
                <w:sz w:val="24"/>
              </w:rPr>
              <w:t>为：</w:t>
            </w:r>
            <w:r>
              <w:rPr>
                <w:rFonts w:hint="eastAsia"/>
                <w:color w:val="auto"/>
                <w:sz w:val="24"/>
              </w:rPr>
              <w:t>3142.285</w:t>
            </w:r>
            <w:r>
              <w:rPr>
                <w:color w:val="auto"/>
                <w:sz w:val="24"/>
              </w:rPr>
              <w:t>×</w:t>
            </w:r>
            <w:r>
              <w:rPr>
                <w:rFonts w:hint="eastAsia"/>
                <w:color w:val="auto"/>
                <w:sz w:val="24"/>
              </w:rPr>
              <w:t>50</w:t>
            </w:r>
            <w:r>
              <w:rPr>
                <w:color w:val="auto"/>
                <w:sz w:val="24"/>
              </w:rPr>
              <w:t>÷1000000=</w:t>
            </w:r>
            <w:r>
              <w:rPr>
                <w:rFonts w:hint="eastAsia"/>
                <w:color w:val="auto"/>
                <w:sz w:val="24"/>
              </w:rPr>
              <w:t>0.157</w:t>
            </w:r>
            <w:r>
              <w:rPr>
                <w:color w:val="auto"/>
                <w:sz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center"/>
              <w:rPr>
                <w:color w:val="auto"/>
                <w:sz w:val="24"/>
              </w:rPr>
            </w:pPr>
            <w:r>
              <w:rPr>
                <w:color w:val="auto"/>
                <w:sz w:val="24"/>
              </w:rPr>
              <w:t>NH</w:t>
            </w:r>
            <w:r>
              <w:rPr>
                <w:color w:val="auto"/>
                <w:sz w:val="24"/>
                <w:vertAlign w:val="subscript"/>
              </w:rPr>
              <w:t>3</w:t>
            </w:r>
            <w:r>
              <w:rPr>
                <w:color w:val="auto"/>
                <w:sz w:val="24"/>
              </w:rPr>
              <w:t>-N为：</w:t>
            </w:r>
            <w:r>
              <w:rPr>
                <w:rFonts w:hint="eastAsia"/>
                <w:color w:val="auto"/>
                <w:sz w:val="24"/>
              </w:rPr>
              <w:t>3142.285</w:t>
            </w:r>
            <w:r>
              <w:rPr>
                <w:color w:val="auto"/>
                <w:sz w:val="24"/>
              </w:rPr>
              <w:t>×</w:t>
            </w:r>
            <w:r>
              <w:rPr>
                <w:rFonts w:hint="eastAsia"/>
                <w:color w:val="auto"/>
                <w:sz w:val="24"/>
              </w:rPr>
              <w:t>5</w:t>
            </w:r>
            <w:r>
              <w:rPr>
                <w:color w:val="auto"/>
                <w:sz w:val="24"/>
              </w:rPr>
              <w:t>÷1000000=</w:t>
            </w:r>
            <w:r>
              <w:rPr>
                <w:rFonts w:hint="eastAsia"/>
                <w:color w:val="auto"/>
                <w:sz w:val="24"/>
              </w:rPr>
              <w:t>0.0157</w:t>
            </w:r>
            <w:r>
              <w:rPr>
                <w:color w:val="auto"/>
                <w:sz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center"/>
              <w:rPr>
                <w:color w:val="auto"/>
                <w:sz w:val="24"/>
              </w:rPr>
            </w:pPr>
            <w:r>
              <w:rPr>
                <w:color w:val="auto"/>
                <w:sz w:val="24"/>
              </w:rPr>
              <w:t>TN为：</w:t>
            </w:r>
            <w:r>
              <w:rPr>
                <w:rFonts w:hint="eastAsia"/>
                <w:color w:val="auto"/>
                <w:sz w:val="24"/>
              </w:rPr>
              <w:t>3142.285</w:t>
            </w:r>
            <w:r>
              <w:rPr>
                <w:color w:val="auto"/>
                <w:sz w:val="24"/>
              </w:rPr>
              <w:t>×15÷1000000=</w:t>
            </w:r>
            <w:r>
              <w:rPr>
                <w:rFonts w:hint="eastAsia"/>
                <w:color w:val="auto"/>
                <w:sz w:val="24"/>
              </w:rPr>
              <w:t>0.0471</w:t>
            </w:r>
            <w:r>
              <w:rPr>
                <w:color w:val="auto"/>
                <w:sz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center"/>
              <w:rPr>
                <w:color w:val="auto"/>
                <w:sz w:val="24"/>
              </w:rPr>
            </w:pPr>
            <w:r>
              <w:rPr>
                <w:color w:val="auto"/>
                <w:sz w:val="24"/>
              </w:rPr>
              <w:t>TP为：</w:t>
            </w:r>
            <w:r>
              <w:rPr>
                <w:rFonts w:hint="eastAsia"/>
                <w:color w:val="auto"/>
                <w:sz w:val="24"/>
              </w:rPr>
              <w:t>3142.285</w:t>
            </w:r>
            <w:r>
              <w:rPr>
                <w:color w:val="auto"/>
                <w:sz w:val="24"/>
              </w:rPr>
              <w:t>×0.5÷1000000=</w:t>
            </w:r>
            <w:r>
              <w:rPr>
                <w:rFonts w:hint="eastAsia"/>
                <w:color w:val="auto"/>
                <w:sz w:val="24"/>
              </w:rPr>
              <w:t>0.00157</w:t>
            </w:r>
            <w:r>
              <w:rPr>
                <w:color w:val="auto"/>
                <w:sz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color w:val="auto"/>
                <w:sz w:val="24"/>
              </w:rPr>
            </w:pPr>
            <w:r>
              <w:rPr>
                <w:rFonts w:hint="eastAsia"/>
                <w:color w:val="auto"/>
                <w:sz w:val="24"/>
              </w:rPr>
              <w:t>因此本</w:t>
            </w:r>
            <w:r>
              <w:rPr>
                <w:color w:val="auto"/>
                <w:sz w:val="24"/>
              </w:rPr>
              <w:t>项目</w:t>
            </w:r>
            <w:r>
              <w:rPr>
                <w:rFonts w:hint="eastAsia"/>
                <w:color w:val="auto"/>
                <w:sz w:val="24"/>
              </w:rPr>
              <w:t>需申请的</w:t>
            </w:r>
            <w:r>
              <w:rPr>
                <w:color w:val="auto"/>
                <w:sz w:val="24"/>
              </w:rPr>
              <w:t>COD</w:t>
            </w:r>
            <w:r>
              <w:rPr>
                <w:color w:val="auto"/>
                <w:sz w:val="24"/>
                <w:vertAlign w:val="subscript"/>
              </w:rPr>
              <w:t>cr</w:t>
            </w:r>
            <w:r>
              <w:rPr>
                <w:rFonts w:hint="eastAsia"/>
                <w:color w:val="auto"/>
                <w:sz w:val="24"/>
              </w:rPr>
              <w:t>为</w:t>
            </w:r>
            <w:r>
              <w:rPr>
                <w:color w:val="auto"/>
                <w:sz w:val="24"/>
              </w:rPr>
              <w:t>：</w:t>
            </w:r>
            <w:r>
              <w:rPr>
                <w:rFonts w:hint="eastAsia"/>
                <w:color w:val="auto"/>
                <w:sz w:val="24"/>
              </w:rPr>
              <w:t>0.157t</w:t>
            </w:r>
            <w:r>
              <w:rPr>
                <w:color w:val="auto"/>
                <w:sz w:val="24"/>
              </w:rPr>
              <w:t>/a；NH</w:t>
            </w:r>
            <w:r>
              <w:rPr>
                <w:color w:val="auto"/>
                <w:sz w:val="24"/>
                <w:vertAlign w:val="subscript"/>
              </w:rPr>
              <w:t>3</w:t>
            </w:r>
            <w:r>
              <w:rPr>
                <w:color w:val="auto"/>
                <w:sz w:val="24"/>
              </w:rPr>
              <w:t>-N</w:t>
            </w:r>
            <w:r>
              <w:rPr>
                <w:rFonts w:hint="eastAsia"/>
                <w:color w:val="auto"/>
                <w:sz w:val="24"/>
              </w:rPr>
              <w:t>为</w:t>
            </w:r>
            <w:r>
              <w:rPr>
                <w:color w:val="auto"/>
                <w:sz w:val="24"/>
              </w:rPr>
              <w:t>：</w:t>
            </w:r>
            <w:r>
              <w:rPr>
                <w:rFonts w:hint="eastAsia"/>
                <w:color w:val="auto"/>
                <w:sz w:val="24"/>
              </w:rPr>
              <w:t>0.0157</w:t>
            </w:r>
            <w:r>
              <w:rPr>
                <w:color w:val="auto"/>
                <w:sz w:val="24"/>
              </w:rPr>
              <w:t>t/a</w:t>
            </w:r>
            <w:r>
              <w:rPr>
                <w:rFonts w:hint="eastAsia"/>
                <w:color w:val="auto"/>
                <w:sz w:val="24"/>
              </w:rPr>
              <w:t>；</w:t>
            </w:r>
            <w:r>
              <w:rPr>
                <w:color w:val="auto"/>
                <w:sz w:val="24"/>
              </w:rPr>
              <w:t>TN为：</w:t>
            </w:r>
            <w:r>
              <w:rPr>
                <w:rFonts w:hint="eastAsia"/>
                <w:color w:val="auto"/>
                <w:sz w:val="24"/>
              </w:rPr>
              <w:t>0.0471</w:t>
            </w:r>
            <w:r>
              <w:rPr>
                <w:color w:val="auto"/>
                <w:sz w:val="24"/>
              </w:rPr>
              <w:t>t/a；TP为：</w:t>
            </w:r>
            <w:r>
              <w:rPr>
                <w:rFonts w:hint="eastAsia"/>
                <w:color w:val="auto"/>
                <w:sz w:val="24"/>
              </w:rPr>
              <w:t>0.00157</w:t>
            </w:r>
            <w:r>
              <w:rPr>
                <w:color w:val="auto"/>
                <w:sz w:val="24"/>
              </w:rPr>
              <w:t>t/a</w:t>
            </w:r>
            <w:r>
              <w:rPr>
                <w:rFonts w:hint="eastAsia"/>
                <w:color w:val="auto"/>
                <w:sz w:val="24"/>
              </w:rPr>
              <w:t>。</w:t>
            </w:r>
          </w:p>
          <w:p>
            <w:pPr>
              <w:pStyle w:val="14"/>
              <w:rPr>
                <w:rFonts w:hint="eastAsia"/>
                <w:color w:val="auto"/>
                <w:sz w:val="24"/>
              </w:rPr>
            </w:pPr>
          </w:p>
          <w:p>
            <w:pPr>
              <w:pStyle w:val="15"/>
              <w:rPr>
                <w:rFonts w:hint="eastAsia"/>
                <w:color w:val="auto"/>
                <w:sz w:val="24"/>
              </w:rPr>
            </w:pPr>
          </w:p>
          <w:p>
            <w:pPr>
              <w:pStyle w:val="15"/>
              <w:rPr>
                <w:rFonts w:hint="eastAsia"/>
                <w:color w:val="auto"/>
                <w:sz w:val="24"/>
              </w:rPr>
            </w:pPr>
          </w:p>
          <w:p>
            <w:pPr>
              <w:pStyle w:val="15"/>
              <w:rPr>
                <w:rFonts w:hint="eastAsia"/>
                <w:color w:val="auto"/>
                <w:sz w:val="24"/>
              </w:rPr>
            </w:pPr>
          </w:p>
          <w:p>
            <w:pPr>
              <w:pStyle w:val="15"/>
              <w:rPr>
                <w:rFonts w:hint="eastAsia"/>
                <w:color w:val="auto"/>
                <w:sz w:val="24"/>
              </w:rPr>
            </w:pPr>
          </w:p>
          <w:p>
            <w:pPr>
              <w:pStyle w:val="15"/>
              <w:rPr>
                <w:rFonts w:hint="eastAsia"/>
                <w:color w:val="auto"/>
                <w:sz w:val="24"/>
              </w:rPr>
            </w:pPr>
          </w:p>
          <w:p>
            <w:pPr>
              <w:pStyle w:val="15"/>
              <w:ind w:left="0" w:leftChars="0" w:firstLine="0" w:firstLineChars="0"/>
              <w:rPr>
                <w:rFonts w:hint="eastAsia"/>
                <w:color w:val="auto"/>
                <w:sz w:val="24"/>
              </w:rPr>
            </w:pPr>
          </w:p>
          <w:p>
            <w:pPr>
              <w:pStyle w:val="15"/>
              <w:rPr>
                <w:rFonts w:hint="eastAsia"/>
                <w:color w:val="auto"/>
                <w:sz w:val="24"/>
              </w:rPr>
            </w:pPr>
          </w:p>
        </w:tc>
      </w:tr>
    </w:tbl>
    <w:p>
      <w:pPr>
        <w:pStyle w:val="9"/>
        <w:rPr>
          <w:color w:val="auto"/>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31"/>
        <w:keepNext/>
        <w:keepLines w:val="0"/>
        <w:pageBreakBefore w:val="0"/>
        <w:widowControl/>
        <w:numPr>
          <w:ilvl w:val="0"/>
          <w:numId w:val="3"/>
        </w:numPr>
        <w:kinsoku/>
        <w:wordWrap/>
        <w:overflowPunct/>
        <w:topLinePunct w:val="0"/>
        <w:autoSpaceDE/>
        <w:autoSpaceDN/>
        <w:bidi w:val="0"/>
        <w:adjustRightInd/>
        <w:snapToGrid/>
        <w:ind w:left="0" w:leftChars="0" w:firstLine="0" w:firstLineChars="0"/>
        <w:textAlignment w:val="auto"/>
        <w:rPr>
          <w:color w:val="auto"/>
        </w:rPr>
      </w:pPr>
      <w:bookmarkStart w:id="7" w:name="_Toc15013"/>
      <w:r>
        <w:rPr>
          <w:rFonts w:hint="eastAsia"/>
          <w:color w:val="auto"/>
        </w:rPr>
        <w:t>主要环境影响和保护措施</w:t>
      </w:r>
      <w:bookmarkEnd w:id="7"/>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9"/>
        <w:gridCol w:w="85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1" w:hRule="atLeast"/>
        </w:trPr>
        <w:tc>
          <w:tcPr>
            <w:tcW w:w="303" w:type="pct"/>
            <w:tcBorders>
              <w:tl2br w:val="nil"/>
              <w:tr2bl w:val="nil"/>
            </w:tcBorders>
            <w:vAlign w:val="center"/>
          </w:tcPr>
          <w:p>
            <w:pPr>
              <w:jc w:val="center"/>
              <w:rPr>
                <w:b/>
                <w:color w:val="auto"/>
                <w:sz w:val="24"/>
              </w:rPr>
            </w:pPr>
            <w:r>
              <w:rPr>
                <w:b/>
                <w:color w:val="auto"/>
                <w:sz w:val="24"/>
              </w:rPr>
              <w:t>施工期环境保护措施</w:t>
            </w:r>
          </w:p>
        </w:tc>
        <w:tc>
          <w:tcPr>
            <w:tcW w:w="46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color w:val="auto"/>
              </w:rPr>
            </w:pPr>
            <w:r>
              <w:rPr>
                <w:rFonts w:hint="eastAsia"/>
                <w:color w:val="auto"/>
                <w:sz w:val="24"/>
              </w:rPr>
              <w:t>本项目位于江西省九江市庐山市温泉镇212省道（环南山公路老隘口村旁），</w:t>
            </w:r>
            <w:r>
              <w:rPr>
                <w:color w:val="auto"/>
                <w:sz w:val="24"/>
              </w:rPr>
              <w:t>地理位置：E：115°54′8.042′′，N：29°25′4.069′′</w:t>
            </w:r>
            <w:r>
              <w:rPr>
                <w:rFonts w:hint="eastAsia"/>
                <w:color w:val="auto"/>
                <w:sz w:val="24"/>
              </w:rPr>
              <w:t>。项目施工期主要内容为</w:t>
            </w:r>
            <w:r>
              <w:rPr>
                <w:color w:val="auto"/>
                <w:sz w:val="24"/>
              </w:rPr>
              <w:t>4602平方米急救大楼装修设计，室外场地硬化、新建围墙门卫，废水处理系统，污水处理</w:t>
            </w:r>
            <w:r>
              <w:rPr>
                <w:rFonts w:hint="eastAsia"/>
                <w:color w:val="auto"/>
                <w:sz w:val="24"/>
              </w:rPr>
              <w:t>，医疗设备安装等。现场调查发现，温泉镇中心卫生院已完成</w:t>
            </w:r>
            <w:r>
              <w:rPr>
                <w:rFonts w:hint="eastAsia"/>
                <w:color w:val="auto"/>
                <w:sz w:val="24"/>
                <w:lang w:val="en-US" w:eastAsia="zh-CN"/>
              </w:rPr>
              <w:t>新院的建设内容，并投入经营，不存在施工期，本次评价不对施工期影响进行分析。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03" w:type="pct"/>
            <w:tcBorders>
              <w:tl2br w:val="nil"/>
              <w:tr2bl w:val="nil"/>
            </w:tcBorders>
            <w:vAlign w:val="center"/>
          </w:tcPr>
          <w:p>
            <w:pPr>
              <w:adjustRightInd w:val="0"/>
              <w:snapToGrid w:val="0"/>
              <w:jc w:val="center"/>
              <w:rPr>
                <w:b/>
                <w:color w:val="auto"/>
                <w:sz w:val="24"/>
              </w:rPr>
            </w:pPr>
            <w:r>
              <w:rPr>
                <w:rFonts w:hint="eastAsia" w:cs="宋体"/>
                <w:b/>
                <w:bCs/>
                <w:color w:val="auto"/>
                <w:sz w:val="24"/>
              </w:rPr>
              <w:t>运营期环境影响和保护措施</w:t>
            </w:r>
            <w:r>
              <w:rPr>
                <w:b/>
                <w:bCs/>
                <w:color w:val="auto"/>
                <w:sz w:val="24"/>
              </w:rPr>
              <mc:AlternateContent>
                <mc:Choice Requires="wps">
                  <w:drawing>
                    <wp:anchor distT="0" distB="0" distL="114300" distR="114300" simplePos="0" relativeHeight="251659264" behindDoc="0" locked="0" layoutInCell="1" allowOverlap="1">
                      <wp:simplePos x="0" y="0"/>
                      <wp:positionH relativeFrom="column">
                        <wp:posOffset>-3045460</wp:posOffset>
                      </wp:positionH>
                      <wp:positionV relativeFrom="paragraph">
                        <wp:posOffset>-2025650</wp:posOffset>
                      </wp:positionV>
                      <wp:extent cx="635" cy="635"/>
                      <wp:effectExtent l="0" t="0" r="0" b="0"/>
                      <wp:wrapNone/>
                      <wp:docPr id="12" name="墨迹 12"/>
                      <wp:cNvGraphicFramePr>
                        <a:graphicFrameLocks xmlns:a="http://schemas.openxmlformats.org/drawingml/2006/main" noGrp="1"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
                                <w14:nvContentPartPr>
                                  <w14:cNvPr id="12" name="墨迹 12"/>
                                  <w14:cNvContentPartPr>
                                    <a14:cpLocks xmlns:a14="http://schemas.microsoft.com/office/drawing/2010/main" noGrp="1" noChangeAspect="1"/>
                                  </w14:cNvContentPartPr>
                                </w14:nvContentPartPr>
                                <w14:xfrm>
                                  <a:off x="-1927860" y="1644650"/>
                                  <a:ext cx="635" cy="635"/>
                                </w14:xfrm>
                              </w14:contentPart>
                            </mc:Choice>
                          </mc:AlternateContent>
                        </a:graphicData>
                      </a:graphic>
                    </wp:anchor>
                  </w:drawing>
                </mc:Choice>
                <mc:Fallback>
                  <w:pict>
                    <v:shape id="_x0000_s1026" o:spid="_x0000_s1026" o:spt="75" style="position:absolute;left:0pt;margin-left:-239.8pt;margin-top:-159.5pt;height:0.05pt;width:0.05pt;z-index:251659264;mso-width-relative:page;mso-height-relative:page;" coordsize="21600,21600" o:gfxdata="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">
                      <v:imagedata r:id="rId15" o:title=""/>
                      <o:lock v:ext="edit"/>
                    </v:shape>
                  </w:pict>
                </mc:Fallback>
              </mc:AlternateContent>
            </w:r>
          </w:p>
        </w:tc>
        <w:tc>
          <w:tcPr>
            <w:tcW w:w="4696" w:type="pct"/>
            <w:tcBorders>
              <w:tl2br w:val="nil"/>
              <w:tr2bl w:val="nil"/>
            </w:tcBorders>
          </w:tcPr>
          <w:p>
            <w:pPr>
              <w:pStyle w:val="56"/>
              <w:keepNext/>
              <w:keepLines/>
              <w:pageBreakBefore w:val="0"/>
              <w:widowControl w:val="0"/>
              <w:kinsoku/>
              <w:wordWrap/>
              <w:overflowPunct/>
              <w:topLinePunct w:val="0"/>
              <w:autoSpaceDE/>
              <w:autoSpaceDN/>
              <w:bidi w:val="0"/>
              <w:adjustRightInd w:val="0"/>
              <w:snapToGrid/>
              <w:spacing w:line="360" w:lineRule="auto"/>
              <w:ind w:firstLine="481" w:firstLineChars="200"/>
              <w:textAlignment w:val="auto"/>
              <w:outlineLvl w:val="9"/>
              <w:rPr>
                <w:rFonts w:ascii="Times New Roman" w:hAnsi="Times New Roman"/>
                <w:color w:val="auto"/>
                <w:sz w:val="24"/>
              </w:rPr>
            </w:pPr>
            <w:bookmarkStart w:id="8" w:name="_Toc5393"/>
            <w:bookmarkStart w:id="9" w:name="bookmark121"/>
            <w:bookmarkStart w:id="10" w:name="bookmark118"/>
            <w:bookmarkStart w:id="11" w:name="bookmark119"/>
            <w:r>
              <w:rPr>
                <w:rFonts w:hint="eastAsia" w:ascii="Times New Roman" w:hAnsi="Times New Roman"/>
                <w:color w:val="auto"/>
                <w:sz w:val="24"/>
                <w:lang w:val="en-US" w:eastAsia="zh-CN"/>
              </w:rPr>
              <w:t>1</w:t>
            </w:r>
            <w:r>
              <w:rPr>
                <w:rFonts w:ascii="Times New Roman" w:hAnsi="Times New Roman"/>
                <w:color w:val="auto"/>
                <w:sz w:val="24"/>
              </w:rPr>
              <w:t>、废气</w:t>
            </w:r>
            <w:bookmarkEnd w:id="8"/>
            <w:bookmarkEnd w:id="9"/>
            <w:bookmarkEnd w:id="10"/>
            <w:bookmarkEnd w:id="11"/>
          </w:p>
          <w:p>
            <w:pPr>
              <w:pStyle w:val="57"/>
              <w:pageBreakBefore w:val="0"/>
              <w:widowControl w:val="0"/>
              <w:kinsoku/>
              <w:wordWrap/>
              <w:overflowPunct/>
              <w:topLinePunct w:val="0"/>
              <w:autoSpaceDE/>
              <w:autoSpaceDN/>
              <w:bidi w:val="0"/>
              <w:adjustRightInd w:val="0"/>
              <w:snapToGrid/>
              <w:ind w:firstLine="496" w:firstLineChars="200"/>
              <w:textAlignment w:val="auto"/>
              <w:outlineLvl w:val="9"/>
              <w:rPr>
                <w:rFonts w:ascii="Times New Roman" w:hAnsi="Times New Roman"/>
                <w:color w:val="auto"/>
                <w:kern w:val="0"/>
                <w:sz w:val="24"/>
              </w:rPr>
            </w:pPr>
            <w:r>
              <w:rPr>
                <w:rFonts w:hint="eastAsia" w:ascii="Times New Roman" w:hAnsi="Times New Roman"/>
                <w:color w:val="auto"/>
                <w:kern w:val="0"/>
                <w:sz w:val="24"/>
              </w:rPr>
              <w:t>项目营运期间的主要污染因子为厨房产生的油烟、污水处理设备产生的废气及备用柴油发电机产生的废气。</w:t>
            </w:r>
          </w:p>
          <w:p>
            <w:pPr>
              <w:pStyle w:val="57"/>
              <w:pageBreakBefore w:val="0"/>
              <w:widowControl w:val="0"/>
              <w:kinsoku/>
              <w:wordWrap/>
              <w:overflowPunct/>
              <w:topLinePunct w:val="0"/>
              <w:autoSpaceDE/>
              <w:autoSpaceDN/>
              <w:bidi w:val="0"/>
              <w:adjustRightInd w:val="0"/>
              <w:snapToGrid/>
              <w:ind w:firstLine="497" w:firstLineChars="200"/>
              <w:textAlignment w:val="auto"/>
              <w:outlineLvl w:val="9"/>
              <w:rPr>
                <w:rFonts w:ascii="Times New Roman" w:hAnsi="Times New Roman"/>
                <w:b/>
                <w:bCs/>
                <w:color w:val="auto"/>
                <w:kern w:val="0"/>
                <w:sz w:val="24"/>
              </w:rPr>
            </w:pPr>
            <w:bookmarkStart w:id="12" w:name="bookmark122"/>
            <w:bookmarkEnd w:id="12"/>
            <w:r>
              <w:rPr>
                <w:rFonts w:hint="eastAsia" w:ascii="Times New Roman" w:hAnsi="Times New Roman"/>
                <w:b/>
                <w:bCs/>
                <w:color w:val="auto"/>
                <w:kern w:val="0"/>
                <w:sz w:val="24"/>
              </w:rPr>
              <w:t>（1）油烟</w:t>
            </w:r>
          </w:p>
          <w:p>
            <w:pPr>
              <w:pStyle w:val="57"/>
              <w:pageBreakBefore w:val="0"/>
              <w:widowControl w:val="0"/>
              <w:kinsoku/>
              <w:wordWrap/>
              <w:overflowPunct/>
              <w:topLinePunct w:val="0"/>
              <w:autoSpaceDE/>
              <w:autoSpaceDN/>
              <w:bidi w:val="0"/>
              <w:adjustRightInd w:val="0"/>
              <w:snapToGrid/>
              <w:ind w:firstLine="496" w:firstLineChars="200"/>
              <w:textAlignment w:val="auto"/>
              <w:outlineLvl w:val="9"/>
              <w:rPr>
                <w:rFonts w:ascii="Times New Roman" w:hAnsi="Times New Roman"/>
                <w:color w:val="auto"/>
                <w:kern w:val="0"/>
                <w:sz w:val="24"/>
              </w:rPr>
            </w:pPr>
            <w:r>
              <w:rPr>
                <w:rFonts w:hint="eastAsia" w:ascii="Times New Roman" w:hAnsi="Times New Roman"/>
                <w:color w:val="auto"/>
                <w:kern w:val="0"/>
                <w:sz w:val="24"/>
              </w:rPr>
              <w:t>医院设一个员工食堂，中午21人用餐、晚上6人用餐，每日用餐人数27人，</w:t>
            </w:r>
            <w:r>
              <w:rPr>
                <w:rFonts w:ascii="Times New Roman" w:hAnsi="Times New Roman"/>
                <w:color w:val="auto"/>
                <w:kern w:val="2"/>
                <w:sz w:val="24"/>
                <w:lang w:bidi="ar"/>
              </w:rPr>
              <w:t>根据</w:t>
            </w:r>
            <w:r>
              <w:rPr>
                <w:rFonts w:hint="eastAsia" w:ascii="Times New Roman" w:hAnsi="Times New Roman"/>
                <w:color w:val="auto"/>
                <w:kern w:val="2"/>
                <w:sz w:val="24"/>
                <w:lang w:bidi="ar"/>
              </w:rPr>
              <w:t>《中国居民膳食指南（2022版）》准则五</w:t>
            </w:r>
            <w:r>
              <w:rPr>
                <w:rFonts w:ascii="Times New Roman" w:hAnsi="Times New Roman"/>
                <w:color w:val="auto"/>
                <w:kern w:val="2"/>
                <w:sz w:val="24"/>
                <w:lang w:bidi="ar"/>
              </w:rPr>
              <w:t>，</w:t>
            </w:r>
            <w:r>
              <w:rPr>
                <w:rFonts w:hint="eastAsia" w:ascii="Times New Roman" w:hAnsi="Times New Roman"/>
                <w:color w:val="auto"/>
                <w:kern w:val="2"/>
                <w:sz w:val="24"/>
                <w:lang w:bidi="ar"/>
              </w:rPr>
              <w:t>成年人烹调油每天摄入量控制在</w:t>
            </w:r>
            <w:r>
              <w:rPr>
                <w:rFonts w:hint="eastAsia" w:ascii="Times New Roman" w:hAnsi="Times New Roman"/>
                <w:color w:val="auto"/>
                <w:spacing w:val="6"/>
                <w:kern w:val="2"/>
                <w:sz w:val="24"/>
                <w:lang w:bidi="ar"/>
              </w:rPr>
              <w:t>25~30g</w:t>
            </w:r>
            <w:r>
              <w:rPr>
                <w:rFonts w:hint="eastAsia" w:ascii="Times New Roman" w:hAnsi="Times New Roman"/>
                <w:color w:val="auto"/>
                <w:kern w:val="2"/>
                <w:sz w:val="24"/>
                <w:lang w:bidi="ar"/>
              </w:rPr>
              <w:t>，本评价以</w:t>
            </w:r>
            <w:r>
              <w:rPr>
                <w:rFonts w:ascii="Times New Roman" w:hAnsi="Times New Roman"/>
                <w:color w:val="auto"/>
                <w:kern w:val="2"/>
                <w:sz w:val="24"/>
                <w:lang w:bidi="ar"/>
              </w:rPr>
              <w:t>0.0</w:t>
            </w:r>
            <w:r>
              <w:rPr>
                <w:rFonts w:hint="eastAsia" w:ascii="Times New Roman" w:hAnsi="Times New Roman"/>
                <w:color w:val="auto"/>
                <w:kern w:val="2"/>
                <w:sz w:val="24"/>
                <w:lang w:bidi="ar"/>
              </w:rPr>
              <w:t>3</w:t>
            </w:r>
            <w:r>
              <w:rPr>
                <w:rFonts w:ascii="Times New Roman" w:hAnsi="Times New Roman"/>
                <w:color w:val="auto"/>
                <w:kern w:val="2"/>
                <w:sz w:val="24"/>
                <w:lang w:bidi="ar"/>
              </w:rPr>
              <w:t>kg/</w:t>
            </w:r>
            <w:r>
              <w:rPr>
                <w:rFonts w:hint="eastAsia" w:ascii="Times New Roman" w:hAnsi="Times New Roman"/>
                <w:color w:val="auto"/>
                <w:kern w:val="2"/>
                <w:sz w:val="24"/>
                <w:lang w:bidi="ar"/>
              </w:rPr>
              <w:t>(人</w:t>
            </w:r>
            <w:r>
              <w:rPr>
                <w:rFonts w:ascii="Times New Roman" w:hAnsi="Times New Roman"/>
                <w:color w:val="auto"/>
                <w:kern w:val="2"/>
                <w:sz w:val="24"/>
                <w:lang w:bidi="ar"/>
              </w:rPr>
              <w:t>‧</w:t>
            </w:r>
            <w:r>
              <w:rPr>
                <w:rFonts w:hint="eastAsia" w:ascii="Times New Roman" w:hAnsi="Times New Roman"/>
                <w:color w:val="auto"/>
                <w:kern w:val="2"/>
                <w:sz w:val="24"/>
                <w:lang w:bidi="ar"/>
              </w:rPr>
              <w:t>d)计，则本项目</w:t>
            </w:r>
            <w:r>
              <w:rPr>
                <w:rFonts w:ascii="Times New Roman" w:hAnsi="Times New Roman"/>
                <w:color w:val="auto"/>
                <w:kern w:val="2"/>
                <w:sz w:val="24"/>
                <w:lang w:bidi="ar"/>
              </w:rPr>
              <w:t>食用油消耗量</w:t>
            </w:r>
            <w:r>
              <w:rPr>
                <w:rFonts w:hint="eastAsia" w:ascii="Times New Roman" w:hAnsi="Times New Roman"/>
                <w:color w:val="auto"/>
                <w:kern w:val="2"/>
                <w:sz w:val="24"/>
                <w:lang w:bidi="ar"/>
              </w:rPr>
              <w:t>约</w:t>
            </w:r>
            <w:r>
              <w:rPr>
                <w:rFonts w:ascii="Times New Roman" w:hAnsi="Times New Roman"/>
                <w:color w:val="auto"/>
                <w:kern w:val="2"/>
                <w:sz w:val="24"/>
                <w:lang w:bidi="ar"/>
              </w:rPr>
              <w:t>为</w:t>
            </w:r>
            <w:r>
              <w:rPr>
                <w:rFonts w:hint="eastAsia" w:ascii="Times New Roman" w:hAnsi="Times New Roman"/>
                <w:color w:val="auto"/>
                <w:kern w:val="2"/>
                <w:sz w:val="24"/>
                <w:lang w:bidi="ar"/>
              </w:rPr>
              <w:t>0.3t/a，</w:t>
            </w:r>
            <w:r>
              <w:rPr>
                <w:rFonts w:hint="eastAsia" w:ascii="Times New Roman" w:hAnsi="Times New Roman"/>
                <w:color w:val="auto"/>
                <w:kern w:val="0"/>
                <w:sz w:val="24"/>
              </w:rPr>
              <w:t>一般油烟挥发量占总耗油量的3%，则油烟产生量约为24.3g/d，0.009t/a。</w:t>
            </w:r>
          </w:p>
          <w:p>
            <w:pPr>
              <w:pStyle w:val="57"/>
              <w:pageBreakBefore w:val="0"/>
              <w:widowControl w:val="0"/>
              <w:kinsoku/>
              <w:wordWrap/>
              <w:overflowPunct/>
              <w:topLinePunct w:val="0"/>
              <w:autoSpaceDE/>
              <w:autoSpaceDN/>
              <w:bidi w:val="0"/>
              <w:adjustRightInd w:val="0"/>
              <w:snapToGrid/>
              <w:ind w:firstLine="496" w:firstLineChars="200"/>
              <w:textAlignment w:val="auto"/>
              <w:outlineLvl w:val="9"/>
              <w:rPr>
                <w:rFonts w:hint="eastAsia" w:ascii="Times New Roman" w:hAnsi="Times New Roman" w:eastAsia="宋体"/>
                <w:color w:val="auto"/>
                <w:kern w:val="0"/>
                <w:sz w:val="24"/>
                <w:lang w:eastAsia="zh-CN"/>
              </w:rPr>
            </w:pPr>
            <w:r>
              <w:rPr>
                <w:rFonts w:hint="eastAsia" w:ascii="Times New Roman" w:hAnsi="Times New Roman"/>
                <w:color w:val="auto"/>
                <w:kern w:val="0"/>
                <w:sz w:val="24"/>
              </w:rPr>
              <w:t>食堂设有2个基准灶台，1台油烟净化器，油烟机日均工作6h，产生的油烟经集气罩收集吸排油烟机处理后，由专用油烟道引致楼顶排放。油烟机风量设为4000m</w:t>
            </w:r>
            <w:r>
              <w:rPr>
                <w:rFonts w:hint="eastAsia" w:ascii="Times New Roman" w:hAnsi="Times New Roman"/>
                <w:color w:val="auto"/>
                <w:kern w:val="0"/>
                <w:sz w:val="24"/>
                <w:vertAlign w:val="superscript"/>
              </w:rPr>
              <w:t>3</w:t>
            </w:r>
            <w:r>
              <w:rPr>
                <w:rFonts w:hint="eastAsia" w:ascii="Times New Roman" w:hAnsi="Times New Roman"/>
                <w:color w:val="auto"/>
                <w:kern w:val="0"/>
                <w:sz w:val="24"/>
              </w:rPr>
              <w:t>/h。根据《饮食业油烟排放标准》GB18483-2001要求，中小型规模饮食业单位最低油烟处理效率不得低于60%，本评价以60%计。经计算，项目油烟排放量为3.6kg/a，排放速率为0.001644kg/h，排放浓度0.411mg/m</w:t>
            </w:r>
            <w:r>
              <w:rPr>
                <w:rFonts w:hint="eastAsia" w:ascii="Times New Roman" w:hAnsi="Times New Roman"/>
                <w:color w:val="auto"/>
                <w:kern w:val="0"/>
                <w:sz w:val="24"/>
                <w:vertAlign w:val="superscript"/>
              </w:rPr>
              <w:t>3</w:t>
            </w:r>
            <w:r>
              <w:rPr>
                <w:rFonts w:hint="eastAsia" w:ascii="Times New Roman" w:hAnsi="Times New Roman"/>
                <w:color w:val="auto"/>
                <w:kern w:val="0"/>
                <w:sz w:val="24"/>
              </w:rPr>
              <w:t>。满足《饮食业油烟排放标准(试行)》(GB18483-2001)中小型规模排放标准限值</w:t>
            </w:r>
            <w:r>
              <w:rPr>
                <w:rFonts w:hint="eastAsia" w:ascii="Times New Roman" w:hAnsi="Times New Roman"/>
                <w:color w:val="auto"/>
                <w:kern w:val="0"/>
                <w:sz w:val="24"/>
                <w:lang w:eastAsia="zh-CN"/>
              </w:rPr>
              <w:t>。</w:t>
            </w:r>
          </w:p>
          <w:p>
            <w:pPr>
              <w:pStyle w:val="57"/>
              <w:keepNext w:val="0"/>
              <w:keepLines w:val="0"/>
              <w:pageBreakBefore w:val="0"/>
              <w:widowControl w:val="0"/>
              <w:kinsoku/>
              <w:wordWrap/>
              <w:overflowPunct/>
              <w:topLinePunct w:val="0"/>
              <w:autoSpaceDE/>
              <w:autoSpaceDN/>
              <w:bidi w:val="0"/>
              <w:adjustRightInd w:val="0"/>
              <w:snapToGrid/>
              <w:ind w:firstLine="497" w:firstLineChars="200"/>
              <w:textAlignment w:val="auto"/>
              <w:outlineLvl w:val="9"/>
              <w:rPr>
                <w:rFonts w:ascii="Times New Roman" w:hAnsi="Times New Roman"/>
                <w:b/>
                <w:bCs/>
                <w:color w:val="auto"/>
                <w:kern w:val="0"/>
                <w:sz w:val="24"/>
              </w:rPr>
            </w:pPr>
            <w:bookmarkStart w:id="13" w:name="bookmark123"/>
            <w:bookmarkEnd w:id="13"/>
            <w:r>
              <w:rPr>
                <w:rFonts w:hint="eastAsia" w:ascii="Times New Roman" w:hAnsi="Times New Roman"/>
                <w:b/>
                <w:bCs/>
                <w:color w:val="auto"/>
                <w:kern w:val="0"/>
                <w:sz w:val="24"/>
              </w:rPr>
              <w:t>（2）污水处理设施臭气</w:t>
            </w:r>
          </w:p>
          <w:p>
            <w:pPr>
              <w:pStyle w:val="57"/>
              <w:keepNext w:val="0"/>
              <w:keepLines w:val="0"/>
              <w:pageBreakBefore w:val="0"/>
              <w:widowControl w:val="0"/>
              <w:kinsoku/>
              <w:wordWrap/>
              <w:overflowPunct/>
              <w:topLinePunct w:val="0"/>
              <w:autoSpaceDE/>
              <w:autoSpaceDN/>
              <w:bidi w:val="0"/>
              <w:adjustRightInd w:val="0"/>
              <w:snapToGrid/>
              <w:ind w:firstLine="496" w:firstLineChars="200"/>
              <w:textAlignment w:val="auto"/>
              <w:outlineLvl w:val="9"/>
              <w:rPr>
                <w:rFonts w:ascii="Times New Roman" w:hAnsi="Times New Roman"/>
                <w:color w:val="auto"/>
                <w:kern w:val="0"/>
                <w:sz w:val="24"/>
              </w:rPr>
            </w:pPr>
            <w:r>
              <w:rPr>
                <w:rFonts w:hint="eastAsia" w:ascii="Times New Roman" w:hAnsi="Times New Roman"/>
                <w:color w:val="auto"/>
                <w:kern w:val="0"/>
                <w:sz w:val="24"/>
              </w:rPr>
              <w:t>本项目医院污水处理站臭气源强核算参照《污染源源强核算技术指南准则》（HJ884-2018）及《排污许可证申请与核发技术规范医疗机构》（HJ1105-2020）等相关要求进行。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color w:val="auto"/>
                <w:sz w:val="24"/>
              </w:rPr>
            </w:pPr>
            <w:r>
              <w:rPr>
                <w:rFonts w:hint="eastAsia"/>
                <w:color w:val="auto"/>
                <w:sz w:val="24"/>
              </w:rPr>
              <w:t>项目污水处理站采用“二级生物处理+MBR膜处理+次氯酸钠消毒”工艺，处理能力为10t/d，运行过程中会产生少量废气，</w:t>
            </w:r>
            <w:r>
              <w:rPr>
                <w:color w:val="auto"/>
                <w:sz w:val="24"/>
              </w:rPr>
              <w:t>污水处理站恶臭组成成分复杂，包括NH</w:t>
            </w:r>
            <w:r>
              <w:rPr>
                <w:color w:val="auto"/>
                <w:sz w:val="24"/>
                <w:vertAlign w:val="subscript"/>
              </w:rPr>
              <w:t>3</w:t>
            </w:r>
            <w:r>
              <w:rPr>
                <w:color w:val="auto"/>
                <w:sz w:val="24"/>
              </w:rPr>
              <w:t>、H</w:t>
            </w:r>
            <w:r>
              <w:rPr>
                <w:color w:val="auto"/>
                <w:sz w:val="24"/>
                <w:vertAlign w:val="subscript"/>
              </w:rPr>
              <w:t>2</w:t>
            </w:r>
            <w:r>
              <w:rPr>
                <w:color w:val="auto"/>
                <w:sz w:val="24"/>
              </w:rPr>
              <w:t>S、甲硫醇、甲硫醚、三甲胺等10余种成分，主要成份为NH</w:t>
            </w:r>
            <w:r>
              <w:rPr>
                <w:color w:val="auto"/>
                <w:sz w:val="24"/>
                <w:vertAlign w:val="subscript"/>
              </w:rPr>
              <w:t>3</w:t>
            </w:r>
            <w:r>
              <w:rPr>
                <w:rFonts w:hint="eastAsia"/>
                <w:color w:val="auto"/>
                <w:sz w:val="24"/>
              </w:rPr>
              <w:t>、</w:t>
            </w:r>
            <w:r>
              <w:rPr>
                <w:color w:val="auto"/>
                <w:sz w:val="24"/>
              </w:rPr>
              <w:t>H</w:t>
            </w:r>
            <w:r>
              <w:rPr>
                <w:color w:val="auto"/>
                <w:sz w:val="24"/>
                <w:vertAlign w:val="subscript"/>
              </w:rPr>
              <w:t>2</w:t>
            </w:r>
            <w:r>
              <w:rPr>
                <w:color w:val="auto"/>
                <w:sz w:val="24"/>
              </w:rPr>
              <w:t>S</w:t>
            </w:r>
            <w:r>
              <w:rPr>
                <w:rFonts w:hint="eastAsia"/>
                <w:color w:val="auto"/>
                <w:sz w:val="24"/>
              </w:rPr>
              <w:t>和臭气浓度</w:t>
            </w:r>
            <w:r>
              <w:rPr>
                <w:color w:val="auto"/>
                <w:sz w:val="24"/>
              </w:rPr>
              <w:t>，其它污染物影响相对较小，可不予以考虑。因此，本评价以NH</w:t>
            </w:r>
            <w:r>
              <w:rPr>
                <w:color w:val="auto"/>
                <w:sz w:val="24"/>
                <w:vertAlign w:val="subscript"/>
              </w:rPr>
              <w:t>3</w:t>
            </w:r>
            <w:r>
              <w:rPr>
                <w:color w:val="auto"/>
                <w:sz w:val="24"/>
              </w:rPr>
              <w:t>、H</w:t>
            </w:r>
            <w:r>
              <w:rPr>
                <w:color w:val="auto"/>
                <w:sz w:val="24"/>
                <w:vertAlign w:val="subscript"/>
              </w:rPr>
              <w:t>2</w:t>
            </w:r>
            <w:r>
              <w:rPr>
                <w:color w:val="auto"/>
                <w:sz w:val="24"/>
              </w:rPr>
              <w:t>S两个因子来分析评价恶臭影响。</w:t>
            </w:r>
          </w:p>
          <w:p>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eastAsia="宋体"/>
                <w:color w:val="auto"/>
                <w:sz w:val="24"/>
                <w:lang w:eastAsia="zh-CN"/>
              </w:rPr>
            </w:pPr>
            <w:r>
              <w:rPr>
                <w:color w:val="auto"/>
                <w:sz w:val="24"/>
              </w:rPr>
              <w:t>根据美国EPA对城市污水处理厂恶臭污染物产生情况的研究，每去除1g的BOD</w:t>
            </w:r>
            <w:r>
              <w:rPr>
                <w:color w:val="auto"/>
                <w:sz w:val="24"/>
                <w:vertAlign w:val="subscript"/>
              </w:rPr>
              <w:t>5</w:t>
            </w:r>
            <w:r>
              <w:rPr>
                <w:color w:val="auto"/>
                <w:sz w:val="24"/>
              </w:rPr>
              <w:t>，可产生0.0031g的NH</w:t>
            </w:r>
            <w:r>
              <w:rPr>
                <w:color w:val="auto"/>
                <w:sz w:val="24"/>
                <w:vertAlign w:val="subscript"/>
              </w:rPr>
              <w:t>3</w:t>
            </w:r>
            <w:r>
              <w:rPr>
                <w:color w:val="auto"/>
                <w:sz w:val="24"/>
              </w:rPr>
              <w:t>、0.00012g的H</w:t>
            </w:r>
            <w:r>
              <w:rPr>
                <w:color w:val="auto"/>
                <w:sz w:val="24"/>
                <w:vertAlign w:val="subscript"/>
              </w:rPr>
              <w:t>2</w:t>
            </w:r>
            <w:r>
              <w:rPr>
                <w:color w:val="auto"/>
                <w:sz w:val="24"/>
              </w:rPr>
              <w:t>S，</w:t>
            </w:r>
            <w:r>
              <w:rPr>
                <w:rFonts w:hint="eastAsia"/>
                <w:color w:val="auto"/>
                <w:sz w:val="24"/>
              </w:rPr>
              <w:t>由污水源强分析计算可知本项目BOD</w:t>
            </w:r>
            <w:r>
              <w:rPr>
                <w:rFonts w:hint="eastAsia"/>
                <w:color w:val="auto"/>
                <w:sz w:val="24"/>
                <w:vertAlign w:val="subscript"/>
              </w:rPr>
              <w:t>5</w:t>
            </w:r>
            <w:r>
              <w:rPr>
                <w:rFonts w:hint="eastAsia"/>
                <w:color w:val="auto"/>
                <w:sz w:val="24"/>
              </w:rPr>
              <w:t>产生量为</w:t>
            </w:r>
            <w:r>
              <w:rPr>
                <w:rFonts w:hint="eastAsia"/>
                <w:color w:val="auto"/>
                <w:sz w:val="24"/>
                <w:szCs w:val="21"/>
              </w:rPr>
              <w:t>0.4085</w:t>
            </w:r>
            <w:r>
              <w:rPr>
                <w:rFonts w:hint="eastAsia"/>
                <w:color w:val="auto"/>
                <w:sz w:val="24"/>
              </w:rPr>
              <w:t>t/a，经污水处理站处理后排放量为</w:t>
            </w:r>
            <w:r>
              <w:rPr>
                <w:rFonts w:hint="eastAsia"/>
                <w:color w:val="auto"/>
                <w:sz w:val="24"/>
                <w:szCs w:val="21"/>
              </w:rPr>
              <w:t>0.0388</w:t>
            </w:r>
            <w:r>
              <w:rPr>
                <w:rFonts w:hint="eastAsia"/>
                <w:color w:val="auto"/>
                <w:sz w:val="24"/>
              </w:rPr>
              <w:t>t/a，则BOD</w:t>
            </w:r>
            <w:r>
              <w:rPr>
                <w:rFonts w:hint="eastAsia"/>
                <w:color w:val="auto"/>
                <w:sz w:val="24"/>
                <w:vertAlign w:val="subscript"/>
              </w:rPr>
              <w:t>5</w:t>
            </w:r>
            <w:r>
              <w:rPr>
                <w:rFonts w:hint="eastAsia"/>
                <w:color w:val="auto"/>
                <w:sz w:val="24"/>
              </w:rPr>
              <w:t>的去除量约为0.37t/a，由此可得出本</w:t>
            </w:r>
            <w:r>
              <w:rPr>
                <w:color w:val="auto"/>
                <w:sz w:val="24"/>
              </w:rPr>
              <w:t>项目污水处理站产生的废气中NH</w:t>
            </w:r>
            <w:r>
              <w:rPr>
                <w:color w:val="auto"/>
                <w:sz w:val="24"/>
                <w:vertAlign w:val="subscript"/>
              </w:rPr>
              <w:t>3</w:t>
            </w:r>
            <w:r>
              <w:rPr>
                <w:color w:val="auto"/>
                <w:sz w:val="24"/>
              </w:rPr>
              <w:t>为</w:t>
            </w:r>
            <w:r>
              <w:rPr>
                <w:rFonts w:hint="eastAsia"/>
                <w:color w:val="auto"/>
                <w:sz w:val="24"/>
              </w:rPr>
              <w:t>1.15kg</w:t>
            </w:r>
            <w:r>
              <w:rPr>
                <w:color w:val="auto"/>
                <w:sz w:val="24"/>
              </w:rPr>
              <w:t>/a（</w:t>
            </w:r>
            <w:r>
              <w:rPr>
                <w:rFonts w:hint="eastAsia"/>
                <w:color w:val="auto"/>
                <w:sz w:val="24"/>
              </w:rPr>
              <w:t>0.1313</w:t>
            </w:r>
            <w:r>
              <w:rPr>
                <w:color w:val="auto"/>
                <w:sz w:val="24"/>
              </w:rPr>
              <w:t>g/h），H</w:t>
            </w:r>
            <w:r>
              <w:rPr>
                <w:color w:val="auto"/>
                <w:sz w:val="24"/>
                <w:vertAlign w:val="subscript"/>
              </w:rPr>
              <w:t>2</w:t>
            </w:r>
            <w:r>
              <w:rPr>
                <w:color w:val="auto"/>
                <w:sz w:val="24"/>
              </w:rPr>
              <w:t>S为</w:t>
            </w:r>
            <w:r>
              <w:rPr>
                <w:rFonts w:hint="eastAsia"/>
                <w:color w:val="auto"/>
                <w:sz w:val="24"/>
              </w:rPr>
              <w:t>0.044kg</w:t>
            </w:r>
            <w:r>
              <w:rPr>
                <w:color w:val="auto"/>
                <w:sz w:val="24"/>
              </w:rPr>
              <w:t>/a（</w:t>
            </w:r>
            <w:r>
              <w:rPr>
                <w:rFonts w:hint="eastAsia"/>
                <w:color w:val="auto"/>
                <w:sz w:val="24"/>
              </w:rPr>
              <w:t>0.005</w:t>
            </w:r>
            <w:r>
              <w:rPr>
                <w:color w:val="auto"/>
                <w:sz w:val="24"/>
              </w:rPr>
              <w:t>g/h）。污水处理设施</w:t>
            </w:r>
            <w:r>
              <w:rPr>
                <w:rFonts w:hint="eastAsia"/>
                <w:color w:val="auto"/>
                <w:sz w:val="24"/>
              </w:rPr>
              <w:t>采用地埋式一体化设备</w:t>
            </w:r>
            <w:r>
              <w:rPr>
                <w:color w:val="auto"/>
                <w:sz w:val="24"/>
              </w:rPr>
              <w:t>，周边设置绿化带，恶臭的去除效率约为</w:t>
            </w:r>
            <w:r>
              <w:rPr>
                <w:rFonts w:hint="eastAsia"/>
                <w:color w:val="auto"/>
                <w:sz w:val="24"/>
              </w:rPr>
              <w:t>4</w:t>
            </w:r>
            <w:r>
              <w:rPr>
                <w:color w:val="auto"/>
                <w:sz w:val="24"/>
              </w:rPr>
              <w:t>0%，污水处理站年运行时间</w:t>
            </w:r>
            <w:r>
              <w:rPr>
                <w:rFonts w:hint="eastAsia"/>
                <w:color w:val="auto"/>
                <w:sz w:val="24"/>
              </w:rPr>
              <w:t>24</w:t>
            </w:r>
            <w:r>
              <w:rPr>
                <w:rFonts w:cs="Arial"/>
                <w:color w:val="auto"/>
                <w:sz w:val="24"/>
              </w:rPr>
              <w:t>×</w:t>
            </w:r>
            <w:r>
              <w:rPr>
                <w:rFonts w:hint="eastAsia"/>
                <w:color w:val="auto"/>
                <w:sz w:val="24"/>
              </w:rPr>
              <w:t>365=</w:t>
            </w:r>
            <w:r>
              <w:rPr>
                <w:color w:val="auto"/>
                <w:sz w:val="24"/>
              </w:rPr>
              <w:t>8760h，则NH</w:t>
            </w:r>
            <w:r>
              <w:rPr>
                <w:color w:val="auto"/>
                <w:sz w:val="24"/>
                <w:vertAlign w:val="subscript"/>
              </w:rPr>
              <w:t>3</w:t>
            </w:r>
            <w:r>
              <w:rPr>
                <w:rFonts w:hint="eastAsia"/>
                <w:color w:val="auto"/>
                <w:sz w:val="24"/>
              </w:rPr>
              <w:t>排放量</w:t>
            </w:r>
            <w:r>
              <w:rPr>
                <w:color w:val="auto"/>
                <w:sz w:val="24"/>
              </w:rPr>
              <w:t>为</w:t>
            </w:r>
            <w:r>
              <w:rPr>
                <w:rFonts w:hint="eastAsia"/>
                <w:color w:val="auto"/>
                <w:sz w:val="24"/>
                <w:szCs w:val="21"/>
              </w:rPr>
              <w:t>0.69</w:t>
            </w:r>
            <w:r>
              <w:rPr>
                <w:rFonts w:hint="eastAsia"/>
                <w:color w:val="auto"/>
                <w:sz w:val="24"/>
              </w:rPr>
              <w:t>kg</w:t>
            </w:r>
            <w:r>
              <w:rPr>
                <w:color w:val="auto"/>
                <w:sz w:val="24"/>
              </w:rPr>
              <w:t>/a（</w:t>
            </w:r>
            <w:r>
              <w:rPr>
                <w:rFonts w:hint="eastAsia"/>
                <w:color w:val="auto"/>
                <w:sz w:val="24"/>
                <w:szCs w:val="21"/>
              </w:rPr>
              <w:t>0.07878</w:t>
            </w:r>
            <w:r>
              <w:rPr>
                <w:color w:val="auto"/>
                <w:sz w:val="24"/>
              </w:rPr>
              <w:t>g/h），H</w:t>
            </w:r>
            <w:r>
              <w:rPr>
                <w:color w:val="auto"/>
                <w:sz w:val="24"/>
                <w:vertAlign w:val="subscript"/>
              </w:rPr>
              <w:t>2</w:t>
            </w:r>
            <w:r>
              <w:rPr>
                <w:color w:val="auto"/>
                <w:sz w:val="24"/>
              </w:rPr>
              <w:t>S</w:t>
            </w:r>
            <w:r>
              <w:rPr>
                <w:rFonts w:hint="eastAsia"/>
                <w:color w:val="auto"/>
                <w:sz w:val="24"/>
              </w:rPr>
              <w:t>排放量</w:t>
            </w:r>
            <w:r>
              <w:rPr>
                <w:color w:val="auto"/>
                <w:sz w:val="24"/>
              </w:rPr>
              <w:t>为</w:t>
            </w:r>
            <w:r>
              <w:rPr>
                <w:rFonts w:hint="eastAsia"/>
                <w:color w:val="auto"/>
                <w:sz w:val="24"/>
                <w:szCs w:val="21"/>
              </w:rPr>
              <w:t>0.0264</w:t>
            </w:r>
            <w:r>
              <w:rPr>
                <w:rFonts w:hint="eastAsia"/>
                <w:color w:val="auto"/>
                <w:sz w:val="24"/>
              </w:rPr>
              <w:t>kg</w:t>
            </w:r>
            <w:r>
              <w:rPr>
                <w:color w:val="auto"/>
                <w:sz w:val="24"/>
              </w:rPr>
              <w:t>/a（</w:t>
            </w:r>
            <w:r>
              <w:rPr>
                <w:rFonts w:hint="eastAsia"/>
                <w:color w:val="auto"/>
                <w:sz w:val="24"/>
                <w:szCs w:val="21"/>
              </w:rPr>
              <w:t>0.003</w:t>
            </w:r>
            <w:r>
              <w:rPr>
                <w:color w:val="auto"/>
                <w:sz w:val="24"/>
              </w:rPr>
              <w:t>g/h）。则项目NH</w:t>
            </w:r>
            <w:r>
              <w:rPr>
                <w:color w:val="auto"/>
                <w:sz w:val="24"/>
                <w:vertAlign w:val="subscript"/>
              </w:rPr>
              <w:t>3</w:t>
            </w:r>
            <w:r>
              <w:rPr>
                <w:color w:val="auto"/>
                <w:sz w:val="24"/>
              </w:rPr>
              <w:t>、H</w:t>
            </w:r>
            <w:r>
              <w:rPr>
                <w:color w:val="auto"/>
                <w:sz w:val="24"/>
                <w:vertAlign w:val="subscript"/>
              </w:rPr>
              <w:t>2</w:t>
            </w:r>
            <w:r>
              <w:rPr>
                <w:color w:val="auto"/>
                <w:sz w:val="24"/>
              </w:rPr>
              <w:t>S</w:t>
            </w:r>
            <w:r>
              <w:rPr>
                <w:rFonts w:hint="eastAsia"/>
                <w:color w:val="auto"/>
                <w:sz w:val="24"/>
              </w:rPr>
              <w:t>产</w:t>
            </w:r>
            <w:r>
              <w:rPr>
                <w:color w:val="auto"/>
                <w:sz w:val="24"/>
              </w:rPr>
              <w:t>生及排放情况见下表</w:t>
            </w:r>
            <w:r>
              <w:rPr>
                <w:rFonts w:hint="eastAsia"/>
                <w:color w:val="auto"/>
                <w:sz w:val="24"/>
                <w:lang w:eastAsia="zh-CN"/>
              </w:rPr>
              <w:t>。</w:t>
            </w:r>
          </w:p>
          <w:p>
            <w:pPr>
              <w:pStyle w:val="5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表4-1废气产排情况</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8"/>
              <w:gridCol w:w="898"/>
              <w:gridCol w:w="1340"/>
              <w:gridCol w:w="1282"/>
              <w:gridCol w:w="1118"/>
              <w:gridCol w:w="1540"/>
              <w:gridCol w:w="1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产排污环节</w:t>
                  </w:r>
                </w:p>
              </w:tc>
              <w:tc>
                <w:tcPr>
                  <w:tcW w:w="541"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污染物种类</w:t>
                  </w:r>
                </w:p>
              </w:tc>
              <w:tc>
                <w:tcPr>
                  <w:tcW w:w="1581"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产生源强</w:t>
                  </w:r>
                </w:p>
              </w:tc>
              <w:tc>
                <w:tcPr>
                  <w:tcW w:w="67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处理效率(%)</w:t>
                  </w:r>
                </w:p>
              </w:tc>
              <w:tc>
                <w:tcPr>
                  <w:tcW w:w="1769"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43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5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80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产生量</w:t>
                  </w:r>
                  <w:r>
                    <w:rPr>
                      <w:rFonts w:hint="eastAsia" w:ascii="Times New Roman" w:hAnsi="Times New Roman" w:eastAsia="宋体"/>
                      <w:b/>
                      <w:bCs/>
                      <w:color w:val="auto"/>
                      <w:kern w:val="0"/>
                      <w:sz w:val="21"/>
                      <w:szCs w:val="21"/>
                    </w:rPr>
                    <w:t>kg</w:t>
                  </w:r>
                  <w:r>
                    <w:rPr>
                      <w:rFonts w:ascii="Times New Roman" w:hAnsi="Times New Roman" w:eastAsia="宋体"/>
                      <w:b/>
                      <w:bCs/>
                      <w:color w:val="auto"/>
                      <w:kern w:val="0"/>
                      <w:sz w:val="21"/>
                      <w:szCs w:val="21"/>
                    </w:rPr>
                    <w:t>/a</w:t>
                  </w:r>
                </w:p>
              </w:tc>
              <w:tc>
                <w:tcPr>
                  <w:tcW w:w="77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产生速率g/h</w:t>
                  </w:r>
                </w:p>
              </w:tc>
              <w:tc>
                <w:tcPr>
                  <w:tcW w:w="67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1769"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ascii="Times New Roman" w:hAnsi="Times New Roman" w:eastAsia="宋体"/>
                      <w:b/>
                      <w:bCs/>
                      <w:color w:val="auto"/>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5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80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77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67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p>
              </w:tc>
              <w:tc>
                <w:tcPr>
                  <w:tcW w:w="92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hint="eastAsia" w:ascii="Times New Roman" w:hAnsi="Times New Roman" w:eastAsia="宋体"/>
                      <w:b/>
                      <w:bCs/>
                      <w:color w:val="auto"/>
                      <w:kern w:val="0"/>
                      <w:sz w:val="21"/>
                      <w:szCs w:val="21"/>
                    </w:rPr>
                    <w:t>排放量kg</w:t>
                  </w:r>
                  <w:r>
                    <w:rPr>
                      <w:rFonts w:ascii="Times New Roman" w:hAnsi="Times New Roman" w:eastAsia="宋体"/>
                      <w:b/>
                      <w:bCs/>
                      <w:color w:val="auto"/>
                      <w:kern w:val="0"/>
                      <w:sz w:val="21"/>
                      <w:szCs w:val="21"/>
                    </w:rPr>
                    <w:t>/a</w:t>
                  </w:r>
                </w:p>
              </w:tc>
              <w:tc>
                <w:tcPr>
                  <w:tcW w:w="84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kern w:val="0"/>
                      <w:sz w:val="21"/>
                      <w:szCs w:val="21"/>
                    </w:rPr>
                  </w:pPr>
                  <w:r>
                    <w:rPr>
                      <w:rFonts w:hint="eastAsia" w:ascii="Times New Roman" w:hAnsi="Times New Roman" w:eastAsia="宋体"/>
                      <w:b/>
                      <w:bCs/>
                      <w:color w:val="auto"/>
                      <w:kern w:val="0"/>
                      <w:sz w:val="21"/>
                      <w:szCs w:val="21"/>
                    </w:rPr>
                    <w:t>排放速率</w:t>
                  </w:r>
                  <w:r>
                    <w:rPr>
                      <w:rFonts w:ascii="Times New Roman" w:hAnsi="Times New Roman" w:eastAsia="宋体"/>
                      <w:b/>
                      <w:bCs/>
                      <w:color w:val="auto"/>
                      <w:kern w:val="0"/>
                      <w:sz w:val="21"/>
                      <w:szCs w:val="21"/>
                    </w:rPr>
                    <w:t>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43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食堂</w:t>
                  </w:r>
                </w:p>
              </w:tc>
              <w:tc>
                <w:tcPr>
                  <w:tcW w:w="5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油烟</w:t>
                  </w:r>
                </w:p>
              </w:tc>
              <w:tc>
                <w:tcPr>
                  <w:tcW w:w="80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9</w:t>
                  </w:r>
                </w:p>
              </w:tc>
              <w:tc>
                <w:tcPr>
                  <w:tcW w:w="7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4.11</w:t>
                  </w:r>
                </w:p>
              </w:tc>
              <w:tc>
                <w:tcPr>
                  <w:tcW w:w="6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60</w:t>
                  </w:r>
                </w:p>
              </w:tc>
              <w:tc>
                <w:tcPr>
                  <w:tcW w:w="92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3.6</w:t>
                  </w:r>
                </w:p>
              </w:tc>
              <w:tc>
                <w:tcPr>
                  <w:tcW w:w="84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1.644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43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ascii="Times New Roman" w:hAnsi="Times New Roman" w:eastAsia="宋体"/>
                      <w:color w:val="auto"/>
                      <w:kern w:val="0"/>
                      <w:sz w:val="21"/>
                      <w:szCs w:val="21"/>
                    </w:rPr>
                    <w:t>污水处理</w:t>
                  </w:r>
                  <w:r>
                    <w:rPr>
                      <w:rFonts w:hint="eastAsia" w:ascii="Times New Roman" w:hAnsi="Times New Roman" w:eastAsia="宋体"/>
                      <w:color w:val="auto"/>
                      <w:kern w:val="0"/>
                      <w:sz w:val="21"/>
                      <w:szCs w:val="21"/>
                    </w:rPr>
                    <w:t>站</w:t>
                  </w:r>
                </w:p>
              </w:tc>
              <w:tc>
                <w:tcPr>
                  <w:tcW w:w="5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p>
              </w:tc>
              <w:tc>
                <w:tcPr>
                  <w:tcW w:w="80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rPr>
                    <w:t>1.15</w:t>
                  </w:r>
                </w:p>
              </w:tc>
              <w:tc>
                <w:tcPr>
                  <w:tcW w:w="7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rPr>
                    <w:t>0.1313</w:t>
                  </w:r>
                </w:p>
              </w:tc>
              <w:tc>
                <w:tcPr>
                  <w:tcW w:w="6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40</w:t>
                  </w:r>
                </w:p>
              </w:tc>
              <w:tc>
                <w:tcPr>
                  <w:tcW w:w="92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0.69</w:t>
                  </w:r>
                </w:p>
              </w:tc>
              <w:tc>
                <w:tcPr>
                  <w:tcW w:w="84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0.07878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3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p>
              </w:tc>
              <w:tc>
                <w:tcPr>
                  <w:tcW w:w="5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ascii="Times New Roman" w:hAnsi="Times New Roman" w:eastAsia="宋体"/>
                      <w:color w:val="auto"/>
                      <w:sz w:val="21"/>
                      <w:szCs w:val="21"/>
                    </w:rPr>
                    <w:t>H</w:t>
                  </w:r>
                  <w:r>
                    <w:rPr>
                      <w:rFonts w:ascii="Times New Roman" w:hAnsi="Times New Roman" w:eastAsia="宋体"/>
                      <w:color w:val="auto"/>
                      <w:sz w:val="21"/>
                      <w:szCs w:val="21"/>
                      <w:vertAlign w:val="subscript"/>
                    </w:rPr>
                    <w:t>2</w:t>
                  </w:r>
                  <w:r>
                    <w:rPr>
                      <w:rFonts w:ascii="Times New Roman" w:hAnsi="Times New Roman" w:eastAsia="宋体"/>
                      <w:color w:val="auto"/>
                      <w:sz w:val="21"/>
                      <w:szCs w:val="21"/>
                    </w:rPr>
                    <w:t>S</w:t>
                  </w:r>
                </w:p>
              </w:tc>
              <w:tc>
                <w:tcPr>
                  <w:tcW w:w="80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rPr>
                    <w:t>0.044</w:t>
                  </w:r>
                </w:p>
              </w:tc>
              <w:tc>
                <w:tcPr>
                  <w:tcW w:w="77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rPr>
                    <w:t>0.005</w:t>
                  </w:r>
                </w:p>
              </w:tc>
              <w:tc>
                <w:tcPr>
                  <w:tcW w:w="6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40</w:t>
                  </w:r>
                </w:p>
              </w:tc>
              <w:tc>
                <w:tcPr>
                  <w:tcW w:w="92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0.0264</w:t>
                  </w:r>
                </w:p>
              </w:tc>
              <w:tc>
                <w:tcPr>
                  <w:tcW w:w="84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0.003</w:t>
                  </w:r>
                </w:p>
              </w:tc>
            </w:tr>
          </w:tbl>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b/>
                <w:bCs/>
                <w:color w:val="auto"/>
                <w:sz w:val="24"/>
              </w:rPr>
            </w:pPr>
            <w:bookmarkStart w:id="14" w:name="bookmark124"/>
            <w:bookmarkEnd w:id="14"/>
            <w:r>
              <w:rPr>
                <w:rFonts w:hint="eastAsia"/>
                <w:b/>
                <w:bCs/>
                <w:color w:val="auto"/>
                <w:sz w:val="24"/>
              </w:rPr>
              <w:t>（3）</w:t>
            </w:r>
            <w:r>
              <w:rPr>
                <w:b/>
                <w:bCs/>
                <w:color w:val="auto"/>
                <w:sz w:val="24"/>
              </w:rPr>
              <w:t>柴油发电机废气</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kern w:val="0"/>
                <w:sz w:val="24"/>
                <w:lang w:bidi="ar"/>
              </w:rPr>
            </w:pPr>
            <w:r>
              <w:rPr>
                <w:color w:val="auto"/>
                <w:kern w:val="0"/>
                <w:sz w:val="24"/>
                <w:lang w:bidi="ar"/>
              </w:rPr>
              <w:t>项目备用柴油发电机只有在停电时才会启用，使用时间少，其产生少量废气，主要污染物为CO、NOx、HC，经自带的废气净化装置净化后通过内置烟井引至室外绿化带排放。</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（4）大气影响和污染防治措施可行性分析</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根据《医院污水处理工程技术规范》（HJ2029-2013）“6.3.6.1医院污水处理工程废气应进行适当的处理后排放，不宜直接排放”、《医疗机构水污染物排放标准》（GB18466-2005）“4.2.1污水处理站排放的废气应进行除臭除味处理”。本项目为</w:t>
            </w:r>
            <w:r>
              <w:rPr>
                <w:rFonts w:hint="eastAsia"/>
                <w:color w:val="auto"/>
                <w:sz w:val="24"/>
              </w:rPr>
              <w:t>乡镇卫生院（所、站）</w:t>
            </w:r>
            <w:r>
              <w:rPr>
                <w:color w:val="auto"/>
                <w:sz w:val="24"/>
              </w:rPr>
              <w:t>，项目医疗废水量较小，根据项目医疗废水设计方案，项目医院污水处理设施拟设置在院区</w:t>
            </w:r>
            <w:r>
              <w:rPr>
                <w:rFonts w:hint="eastAsia"/>
                <w:color w:val="auto"/>
                <w:sz w:val="24"/>
              </w:rPr>
              <w:t>西南角</w:t>
            </w:r>
            <w:r>
              <w:rPr>
                <w:color w:val="auto"/>
                <w:sz w:val="24"/>
              </w:rPr>
              <w:t>，采用</w:t>
            </w:r>
            <w:r>
              <w:rPr>
                <w:rFonts w:hint="eastAsia"/>
                <w:color w:val="auto"/>
                <w:sz w:val="24"/>
              </w:rPr>
              <w:t>地埋式一体化处理设备</w:t>
            </w:r>
            <w:r>
              <w:rPr>
                <w:color w:val="auto"/>
                <w:sz w:val="24"/>
              </w:rPr>
              <w:t>，</w:t>
            </w:r>
            <w:r>
              <w:rPr>
                <w:rFonts w:hint="eastAsia"/>
                <w:color w:val="auto"/>
                <w:sz w:val="24"/>
              </w:rPr>
              <w:t>周边绿化等措施，可</w:t>
            </w:r>
            <w:r>
              <w:rPr>
                <w:color w:val="auto"/>
                <w:sz w:val="24"/>
              </w:rPr>
              <w:t>降低</w:t>
            </w:r>
            <w:r>
              <w:rPr>
                <w:rFonts w:hint="eastAsia"/>
                <w:color w:val="auto"/>
                <w:sz w:val="24"/>
              </w:rPr>
              <w:t>污水处理</w:t>
            </w:r>
            <w:r>
              <w:rPr>
                <w:color w:val="auto"/>
                <w:sz w:val="24"/>
              </w:rPr>
              <w:t>站臭气排放，采取以上臭气污染防治措施，臭气排放量较小，对环境影响很小。</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根据《排污许可证申请与核发技术规范医疗机构》（HJ1105-2020）附录A表A.1医疗机构排污单位废气治理可行技术参照表</w:t>
            </w:r>
            <w:r>
              <w:rPr>
                <w:rFonts w:hint="eastAsia"/>
                <w:color w:val="auto"/>
                <w:sz w:val="24"/>
              </w:rPr>
              <w:t>中：对于无组织排放形式的氨、硫化氢、臭气浓度、甲烷、氯气，治理可行技术有</w:t>
            </w:r>
            <w:r>
              <w:rPr>
                <w:rFonts w:cs="宋体"/>
                <w:color w:val="auto"/>
                <w:sz w:val="24"/>
              </w:rPr>
              <w:t>产生恶臭区域加罩或加盖</w:t>
            </w:r>
            <w:r>
              <w:rPr>
                <w:rFonts w:hint="eastAsia" w:cs="宋体"/>
                <w:color w:val="auto"/>
                <w:sz w:val="24"/>
              </w:rPr>
              <w:t>，投放除臭剂</w:t>
            </w:r>
            <w:r>
              <w:rPr>
                <w:color w:val="auto"/>
                <w:sz w:val="24"/>
              </w:rPr>
              <w:t>，项目采</w:t>
            </w:r>
            <w:r>
              <w:rPr>
                <w:rFonts w:hint="eastAsia"/>
                <w:color w:val="auto"/>
                <w:sz w:val="24"/>
              </w:rPr>
              <w:t>用地埋式一体化处理污水设备，各构筑物为密闭结构，同时在污水处理设备周边进行绿化，项目</w:t>
            </w:r>
            <w:r>
              <w:rPr>
                <w:color w:val="auto"/>
                <w:sz w:val="24"/>
              </w:rPr>
              <w:t>废气治理措施属于可行技术。</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color w:val="auto"/>
                <w:kern w:val="0"/>
                <w:sz w:val="24"/>
              </w:rPr>
            </w:pPr>
            <w:r>
              <w:rPr>
                <w:rFonts w:hint="eastAsia"/>
                <w:b/>
                <w:color w:val="auto"/>
                <w:kern w:val="0"/>
                <w:sz w:val="24"/>
              </w:rPr>
              <w:t>（5）废气达标性分析</w:t>
            </w:r>
          </w:p>
          <w:p>
            <w:pPr>
              <w:pStyle w:val="60"/>
              <w:keepNext w:val="0"/>
              <w:keepLines w:val="0"/>
              <w:pageBreakBefore w:val="0"/>
              <w:widowControl w:val="0"/>
              <w:kinsoku/>
              <w:wordWrap/>
              <w:overflowPunct/>
              <w:topLinePunct w:val="0"/>
              <w:autoSpaceDE/>
              <w:autoSpaceDN/>
              <w:bidi w:val="0"/>
              <w:adjustRightInd w:val="0"/>
              <w:snapToGrid/>
              <w:ind w:firstLine="480"/>
              <w:textAlignment w:val="auto"/>
              <w:rPr>
                <w:color w:val="auto"/>
                <w:sz w:val="24"/>
              </w:rPr>
            </w:pPr>
            <w:r>
              <w:rPr>
                <w:rFonts w:hint="eastAsia"/>
                <w:color w:val="auto"/>
                <w:sz w:val="24"/>
                <w:szCs w:val="28"/>
              </w:rPr>
              <w:t>根据表4-</w:t>
            </w:r>
            <w:r>
              <w:rPr>
                <w:rFonts w:hint="eastAsia"/>
                <w:color w:val="auto"/>
                <w:sz w:val="24"/>
                <w:szCs w:val="28"/>
                <w:lang w:val="en-US" w:eastAsia="zh-CN"/>
              </w:rPr>
              <w:t>1</w:t>
            </w:r>
            <w:r>
              <w:rPr>
                <w:rFonts w:hint="eastAsia"/>
                <w:color w:val="auto"/>
                <w:sz w:val="24"/>
                <w:szCs w:val="28"/>
              </w:rPr>
              <w:t>可知，项目食堂油烟经过油烟净化器处理后排放浓度满足《饮食业油烟排放标准》（GB18483-2001）小型标准要求</w:t>
            </w:r>
            <w:r>
              <w:rPr>
                <w:rFonts w:hint="eastAsia"/>
                <w:color w:val="auto"/>
                <w:kern w:val="0"/>
                <w:sz w:val="24"/>
              </w:rPr>
              <w:t>；</w:t>
            </w:r>
            <w:r>
              <w:rPr>
                <w:color w:val="auto"/>
                <w:kern w:val="0"/>
                <w:sz w:val="24"/>
              </w:rPr>
              <w:t>污水处理站恶臭废气</w:t>
            </w:r>
            <w:r>
              <w:rPr>
                <w:rFonts w:hint="eastAsia"/>
                <w:color w:val="auto"/>
                <w:sz w:val="24"/>
              </w:rPr>
              <w:t>满足</w:t>
            </w:r>
            <w:r>
              <w:rPr>
                <w:color w:val="auto"/>
                <w:sz w:val="24"/>
              </w:rPr>
              <w:t>《医疗机构水污染物排放标准》（GB18466-2005）中表3</w:t>
            </w:r>
            <w:r>
              <w:rPr>
                <w:rFonts w:hint="eastAsia"/>
                <w:color w:val="auto"/>
                <w:sz w:val="24"/>
              </w:rPr>
              <w:t>“</w:t>
            </w:r>
            <w:r>
              <w:rPr>
                <w:color w:val="auto"/>
                <w:sz w:val="24"/>
              </w:rPr>
              <w:t>污水处理站周边大气污染物最高允许浓度</w:t>
            </w:r>
            <w:r>
              <w:rPr>
                <w:rFonts w:hint="eastAsia"/>
                <w:color w:val="auto"/>
                <w:sz w:val="24"/>
              </w:rPr>
              <w:t>”</w:t>
            </w:r>
            <w:r>
              <w:rPr>
                <w:color w:val="auto"/>
                <w:sz w:val="24"/>
              </w:rPr>
              <w:t>标准</w:t>
            </w:r>
            <w:r>
              <w:rPr>
                <w:rFonts w:hint="eastAsia"/>
                <w:color w:val="auto"/>
                <w:sz w:val="24"/>
              </w:rPr>
              <w:t>要求。</w:t>
            </w:r>
            <w:r>
              <w:rPr>
                <w:color w:val="auto"/>
                <w:sz w:val="24"/>
              </w:rPr>
              <w:t>根据《排污许可证申请与核发技术规范医疗机构》（HJ1105-2020）附录A废气废水治理可行技术参考表，医院污水处理站产生的恶臭，可采取产生恶臭区域加罩或加盖、喷洒除臭剂等措施，本项目污水处理设备</w:t>
            </w:r>
            <w:r>
              <w:rPr>
                <w:rFonts w:hint="eastAsia"/>
                <w:color w:val="auto"/>
                <w:sz w:val="24"/>
              </w:rPr>
              <w:t>为一体式</w:t>
            </w:r>
            <w:r>
              <w:rPr>
                <w:color w:val="auto"/>
                <w:sz w:val="24"/>
              </w:rPr>
              <w:t>，各处理单元加盖板进行密闭，采取封闭措施，</w:t>
            </w:r>
            <w:r>
              <w:rPr>
                <w:rFonts w:hint="eastAsia"/>
                <w:color w:val="auto"/>
                <w:sz w:val="24"/>
              </w:rPr>
              <w:t>同时</w:t>
            </w:r>
            <w:r>
              <w:rPr>
                <w:color w:val="auto"/>
                <w:sz w:val="24"/>
              </w:rPr>
              <w:t>设置绿化隔离带，减少污水处理站对周边环境的影响，所采取的措施属于可行技术。</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kern w:val="0"/>
                <w:sz w:val="24"/>
              </w:rPr>
              <w:t>综上所述，在运营单位妥善管理的前提下，本项目排放废气量较小，同时经过处理后可达标排放，项目废气对周边大气环境影响很小。</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color w:val="auto"/>
                <w:kern w:val="0"/>
                <w:sz w:val="24"/>
              </w:rPr>
            </w:pPr>
            <w:r>
              <w:rPr>
                <w:rFonts w:hint="eastAsia"/>
                <w:b/>
                <w:color w:val="auto"/>
                <w:kern w:val="0"/>
                <w:sz w:val="24"/>
              </w:rPr>
              <w:t>（</w:t>
            </w:r>
            <w:r>
              <w:rPr>
                <w:rFonts w:hint="eastAsia"/>
                <w:b/>
                <w:color w:val="auto"/>
                <w:kern w:val="0"/>
                <w:sz w:val="24"/>
                <w:lang w:val="en-US" w:eastAsia="zh-CN"/>
              </w:rPr>
              <w:t>6</w:t>
            </w:r>
            <w:r>
              <w:rPr>
                <w:rFonts w:hint="eastAsia"/>
                <w:b/>
                <w:color w:val="auto"/>
                <w:kern w:val="0"/>
                <w:sz w:val="24"/>
              </w:rPr>
              <w:t>）</w:t>
            </w:r>
            <w:r>
              <w:rPr>
                <w:b/>
                <w:color w:val="auto"/>
                <w:kern w:val="0"/>
                <w:sz w:val="24"/>
              </w:rPr>
              <w:t>废气监测要求</w:t>
            </w:r>
          </w:p>
          <w:p>
            <w:pPr>
              <w:pStyle w:val="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auto"/>
              <w:rPr>
                <w:color w:val="auto"/>
                <w:sz w:val="24"/>
              </w:rPr>
            </w:pPr>
            <w:r>
              <w:rPr>
                <w:color w:val="auto"/>
                <w:sz w:val="24"/>
                <w:szCs w:val="24"/>
              </w:rPr>
              <w:t>根据《</w:t>
            </w:r>
            <w:r>
              <w:rPr>
                <w:rFonts w:hint="eastAsia"/>
                <w:color w:val="auto"/>
                <w:sz w:val="24"/>
                <w:szCs w:val="24"/>
              </w:rPr>
              <w:t>排污许可证申请与核发技术规范医疗机构</w:t>
            </w:r>
            <w:r>
              <w:rPr>
                <w:color w:val="auto"/>
                <w:sz w:val="24"/>
                <w:szCs w:val="24"/>
              </w:rPr>
              <w:t>》</w:t>
            </w:r>
            <w:r>
              <w:rPr>
                <w:rFonts w:hint="eastAsia"/>
                <w:color w:val="auto"/>
                <w:sz w:val="24"/>
                <w:szCs w:val="24"/>
              </w:rPr>
              <w:t>（HJ1105-2020）</w:t>
            </w:r>
            <w:r>
              <w:rPr>
                <w:color w:val="auto"/>
                <w:sz w:val="24"/>
                <w:szCs w:val="24"/>
              </w:rPr>
              <w:t>，确定</w:t>
            </w:r>
            <w:r>
              <w:rPr>
                <w:rFonts w:hint="eastAsia"/>
                <w:color w:val="auto"/>
                <w:sz w:val="24"/>
                <w:szCs w:val="24"/>
              </w:rPr>
              <w:t>本</w:t>
            </w:r>
            <w:r>
              <w:rPr>
                <w:color w:val="auto"/>
                <w:sz w:val="24"/>
                <w:szCs w:val="24"/>
              </w:rPr>
              <w:t>项目</w:t>
            </w:r>
            <w:r>
              <w:rPr>
                <w:rFonts w:hint="eastAsia"/>
                <w:color w:val="auto"/>
                <w:sz w:val="24"/>
                <w:szCs w:val="24"/>
              </w:rPr>
              <w:t>废气</w:t>
            </w:r>
            <w:r>
              <w:rPr>
                <w:color w:val="auto"/>
                <w:sz w:val="24"/>
                <w:szCs w:val="24"/>
              </w:rPr>
              <w:t>污染源监测计划</w:t>
            </w:r>
            <w:r>
              <w:rPr>
                <w:rFonts w:hint="eastAsia"/>
                <w:color w:val="auto"/>
                <w:sz w:val="24"/>
                <w:szCs w:val="24"/>
              </w:rPr>
              <w:t>如下：</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ascii="Times New Roman" w:hAnsi="Times New Roman" w:eastAsia="宋体"/>
                <w:b/>
                <w:bCs/>
                <w:color w:val="auto"/>
                <w:sz w:val="21"/>
              </w:rPr>
              <w:t>表</w:t>
            </w:r>
            <w:r>
              <w:rPr>
                <w:rFonts w:hint="eastAsia" w:ascii="Times New Roman" w:hAnsi="Times New Roman" w:eastAsia="宋体"/>
                <w:b/>
                <w:bCs/>
                <w:color w:val="auto"/>
                <w:sz w:val="21"/>
              </w:rPr>
              <w:t>4-</w:t>
            </w:r>
            <w:r>
              <w:rPr>
                <w:rFonts w:hint="eastAsia"/>
                <w:b/>
                <w:bCs/>
                <w:color w:val="auto"/>
                <w:sz w:val="21"/>
                <w:lang w:val="en-US" w:eastAsia="zh-CN"/>
              </w:rPr>
              <w:t>2</w:t>
            </w:r>
            <w:r>
              <w:rPr>
                <w:rFonts w:ascii="Times New Roman" w:hAnsi="Times New Roman" w:eastAsia="宋体"/>
                <w:b/>
                <w:bCs/>
                <w:color w:val="auto"/>
                <w:sz w:val="21"/>
              </w:rPr>
              <w:t xml:space="preserve"> </w:t>
            </w:r>
            <w:r>
              <w:rPr>
                <w:rFonts w:hint="eastAsia" w:ascii="Times New Roman" w:hAnsi="Times New Roman" w:eastAsia="宋体"/>
                <w:b/>
                <w:bCs/>
                <w:color w:val="auto"/>
                <w:sz w:val="21"/>
              </w:rPr>
              <w:t>废气</w:t>
            </w:r>
            <w:r>
              <w:rPr>
                <w:rFonts w:ascii="Times New Roman" w:hAnsi="Times New Roman" w:eastAsia="宋体"/>
                <w:b/>
                <w:bCs/>
                <w:color w:val="auto"/>
                <w:sz w:val="21"/>
              </w:rPr>
              <w:t>监测计划一览表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178"/>
              <w:gridCol w:w="1319"/>
              <w:gridCol w:w="1128"/>
              <w:gridCol w:w="3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排放形式</w:t>
                  </w:r>
                </w:p>
              </w:tc>
              <w:tc>
                <w:tcPr>
                  <w:tcW w:w="71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监测点位</w:t>
                  </w:r>
                </w:p>
              </w:tc>
              <w:tc>
                <w:tcPr>
                  <w:tcW w:w="79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监测指标</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监测频次</w:t>
                  </w:r>
                </w:p>
              </w:tc>
              <w:tc>
                <w:tcPr>
                  <w:tcW w:w="2158"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5" w:type="pct"/>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无组织</w:t>
                  </w:r>
                </w:p>
              </w:tc>
              <w:tc>
                <w:tcPr>
                  <w:tcW w:w="71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18"/>
                      <w:sz w:val="21"/>
                      <w:szCs w:val="21"/>
                    </w:rPr>
                    <w:t>污水处理站周界</w:t>
                  </w:r>
                </w:p>
              </w:tc>
              <w:tc>
                <w:tcPr>
                  <w:tcW w:w="79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18"/>
                      <w:sz w:val="21"/>
                      <w:szCs w:val="21"/>
                    </w:rPr>
                    <w:t>氨、硫化氢、臭气浓度、氯气、甲烷</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18"/>
                      <w:sz w:val="21"/>
                      <w:szCs w:val="21"/>
                    </w:rPr>
                    <w:t>1次/季度</w:t>
                  </w:r>
                </w:p>
              </w:tc>
              <w:tc>
                <w:tcPr>
                  <w:tcW w:w="2158"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《医疗机构水污染物排放标准》（GB18466-2005）表3“污水处理站周边大气污染物最高允许浓度”标准</w:t>
                  </w:r>
                </w:p>
              </w:tc>
            </w:tr>
          </w:tbl>
          <w:p>
            <w:pPr>
              <w:pStyle w:val="56"/>
              <w:keepNext/>
              <w:keepLines/>
              <w:pageBreakBefore w:val="0"/>
              <w:widowControl w:val="0"/>
              <w:kinsoku/>
              <w:wordWrap/>
              <w:overflowPunct/>
              <w:topLinePunct w:val="0"/>
              <w:bidi w:val="0"/>
              <w:adjustRightInd w:val="0"/>
              <w:snapToGrid/>
              <w:spacing w:line="360" w:lineRule="auto"/>
              <w:ind w:firstLine="481" w:firstLineChars="200"/>
              <w:textAlignment w:val="auto"/>
              <w:outlineLvl w:val="9"/>
              <w:rPr>
                <w:rFonts w:ascii="Times New Roman" w:hAnsi="Times New Roman"/>
                <w:color w:val="auto"/>
                <w:sz w:val="24"/>
                <w:lang w:val="en-US" w:eastAsia="zh-CN"/>
              </w:rPr>
            </w:pPr>
            <w:bookmarkStart w:id="15" w:name="bookmark116"/>
            <w:bookmarkStart w:id="16" w:name="bookmark115"/>
            <w:bookmarkStart w:id="17" w:name="bookmark117"/>
            <w:bookmarkStart w:id="18" w:name="_Toc25099"/>
            <w:r>
              <w:rPr>
                <w:rFonts w:hint="eastAsia" w:ascii="Times New Roman" w:hAnsi="Times New Roman"/>
                <w:color w:val="auto"/>
                <w:sz w:val="24"/>
                <w:lang w:val="en-US" w:eastAsia="zh-CN"/>
              </w:rPr>
              <w:t>2</w:t>
            </w:r>
            <w:r>
              <w:rPr>
                <w:rFonts w:ascii="Times New Roman" w:hAnsi="Times New Roman"/>
                <w:color w:val="auto"/>
                <w:sz w:val="24"/>
              </w:rPr>
              <w:t>、废水</w:t>
            </w:r>
            <w:bookmarkEnd w:id="15"/>
            <w:bookmarkEnd w:id="16"/>
            <w:bookmarkEnd w:id="17"/>
            <w:bookmarkEnd w:id="18"/>
          </w:p>
          <w:p>
            <w:pPr>
              <w:pStyle w:val="57"/>
              <w:pageBreakBefore w:val="0"/>
              <w:widowControl w:val="0"/>
              <w:kinsoku/>
              <w:wordWrap/>
              <w:overflowPunct/>
              <w:topLinePunct w:val="0"/>
              <w:bidi w:val="0"/>
              <w:adjustRightInd w:val="0"/>
              <w:snapToGrid/>
              <w:ind w:firstLine="497" w:firstLineChars="200"/>
              <w:textAlignment w:val="auto"/>
              <w:outlineLvl w:val="9"/>
              <w:rPr>
                <w:rFonts w:ascii="Times New Roman" w:hAnsi="Times New Roman"/>
                <w:b/>
                <w:bCs/>
                <w:color w:val="auto"/>
                <w:kern w:val="0"/>
                <w:sz w:val="24"/>
              </w:rPr>
            </w:pPr>
            <w:r>
              <w:rPr>
                <w:rFonts w:hint="eastAsia" w:ascii="Times New Roman" w:hAnsi="Times New Roman"/>
                <w:b/>
                <w:bCs/>
                <w:color w:val="auto"/>
                <w:kern w:val="0"/>
                <w:sz w:val="24"/>
              </w:rPr>
              <w:t>（1）废水产生情况</w:t>
            </w:r>
          </w:p>
          <w:p>
            <w:pPr>
              <w:pageBreakBefore w:val="0"/>
              <w:widowControl w:val="0"/>
              <w:kinsoku/>
              <w:wordWrap/>
              <w:overflowPunct/>
              <w:topLinePunct w:val="0"/>
              <w:bidi w:val="0"/>
              <w:adjustRightInd w:val="0"/>
              <w:snapToGrid/>
              <w:spacing w:line="360" w:lineRule="auto"/>
              <w:ind w:firstLine="480" w:firstLineChars="200"/>
              <w:textAlignment w:val="auto"/>
              <w:outlineLvl w:val="9"/>
              <w:rPr>
                <w:color w:val="auto"/>
                <w:kern w:val="0"/>
                <w:sz w:val="24"/>
              </w:rPr>
            </w:pPr>
            <w:r>
              <w:rPr>
                <w:color w:val="auto"/>
                <w:kern w:val="0"/>
                <w:sz w:val="24"/>
              </w:rPr>
              <w:t>项目不设置传染科，医院影像科的影片均采用激光打印机进行打印，不进行洗片，不产生洗印废水。本项目检验科主要进行常规的血样、尿样分析，不使用含重金属的药剂，检验科的试剂使用设备厂家配套的套装试剂，不会产生废试剂；检验科废水主要为检验设备清洗废水，不会产生含氰、含铬等重金属的检验废水</w:t>
            </w:r>
            <w:r>
              <w:rPr>
                <w:rFonts w:hint="eastAsia"/>
                <w:color w:val="auto"/>
                <w:kern w:val="0"/>
                <w:sz w:val="24"/>
              </w:rPr>
              <w:t>。</w:t>
            </w:r>
          </w:p>
          <w:p>
            <w:pPr>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color w:val="auto"/>
                <w:sz w:val="24"/>
              </w:rPr>
            </w:pPr>
            <w:r>
              <w:rPr>
                <w:rFonts w:hint="eastAsia"/>
                <w:color w:val="auto"/>
                <w:sz w:val="24"/>
              </w:rPr>
              <w:t>项目</w:t>
            </w:r>
            <w:r>
              <w:rPr>
                <w:color w:val="auto"/>
                <w:sz w:val="24"/>
              </w:rPr>
              <w:t>产生的废水</w:t>
            </w:r>
            <w:r>
              <w:rPr>
                <w:rFonts w:hint="eastAsia"/>
                <w:color w:val="auto"/>
                <w:sz w:val="24"/>
              </w:rPr>
              <w:t>主要来自</w:t>
            </w:r>
            <w:r>
              <w:rPr>
                <w:rFonts w:hint="eastAsia"/>
                <w:color w:val="auto"/>
                <w:kern w:val="0"/>
                <w:sz w:val="24"/>
              </w:rPr>
              <w:t>医务人员用水、行政人员用水、住院部病人用水、门诊用水、检验用水、陪护人员用水、病床</w:t>
            </w:r>
            <w:r>
              <w:rPr>
                <w:rFonts w:hint="eastAsia"/>
                <w:color w:val="auto"/>
                <w:sz w:val="24"/>
              </w:rPr>
              <w:t>床品衣物洗涤用水、食堂用水。其中</w:t>
            </w:r>
            <w:r>
              <w:rPr>
                <w:rFonts w:hint="eastAsia"/>
                <w:color w:val="auto"/>
                <w:kern w:val="0"/>
                <w:sz w:val="24"/>
              </w:rPr>
              <w:t>住院部病人废水、门诊废水、检验废水、病床</w:t>
            </w:r>
            <w:r>
              <w:rPr>
                <w:rFonts w:hint="eastAsia"/>
                <w:color w:val="auto"/>
                <w:sz w:val="24"/>
              </w:rPr>
              <w:t>床品衣物洗涤废水以病区废水核算，</w:t>
            </w:r>
            <w:r>
              <w:rPr>
                <w:rFonts w:hint="eastAsia"/>
                <w:color w:val="auto"/>
                <w:kern w:val="0"/>
                <w:sz w:val="24"/>
              </w:rPr>
              <w:t>医务人员、行政人员、陪护人员废水、</w:t>
            </w:r>
            <w:r>
              <w:rPr>
                <w:rFonts w:hint="eastAsia"/>
                <w:color w:val="auto"/>
                <w:sz w:val="24"/>
              </w:rPr>
              <w:t>食堂废水及未预见废水以非病区废水核算。依据</w:t>
            </w:r>
            <w:r>
              <w:rPr>
                <w:rFonts w:hint="eastAsia" w:ascii="Times New Roman" w:hAnsi="Times New Roman"/>
                <w:color w:val="auto"/>
                <w:kern w:val="0"/>
                <w:sz w:val="24"/>
              </w:rPr>
              <w:t>《综合医院建筑设计</w:t>
            </w:r>
            <w:r>
              <w:rPr>
                <w:rFonts w:hint="eastAsia"/>
                <w:color w:val="auto"/>
                <w:kern w:val="0"/>
                <w:sz w:val="24"/>
                <w:lang w:val="en-US" w:eastAsia="zh-CN"/>
              </w:rPr>
              <w:t>标准</w:t>
            </w:r>
            <w:r>
              <w:rPr>
                <w:rFonts w:hint="eastAsia" w:ascii="Times New Roman" w:hAnsi="Times New Roman"/>
                <w:color w:val="auto"/>
                <w:kern w:val="0"/>
                <w:sz w:val="24"/>
              </w:rPr>
              <w:t>》（GB51039-2014</w:t>
            </w:r>
            <w:r>
              <w:rPr>
                <w:rFonts w:hint="eastAsia"/>
                <w:color w:val="auto"/>
                <w:kern w:val="0"/>
                <w:sz w:val="24"/>
                <w:lang w:val="en-US" w:eastAsia="zh-CN"/>
              </w:rPr>
              <w:t>局部修订条文</w:t>
            </w:r>
            <w:r>
              <w:rPr>
                <w:rFonts w:hint="eastAsia" w:ascii="Times New Roman" w:hAnsi="Times New Roman"/>
                <w:color w:val="auto"/>
                <w:kern w:val="0"/>
                <w:sz w:val="24"/>
              </w:rPr>
              <w:t>）</w:t>
            </w:r>
            <w:r>
              <w:rPr>
                <w:rFonts w:hint="eastAsia"/>
                <w:color w:val="auto"/>
                <w:sz w:val="24"/>
              </w:rPr>
              <w:t>、《建筑给排水设计规范》</w:t>
            </w:r>
            <w:r>
              <w:rPr>
                <w:rFonts w:hint="eastAsia" w:ascii="Times New Roman" w:hAnsi="Times New Roman"/>
                <w:color w:val="auto"/>
                <w:kern w:val="0"/>
                <w:sz w:val="24"/>
              </w:rPr>
              <w:t>（GB5</w:t>
            </w:r>
            <w:r>
              <w:rPr>
                <w:rFonts w:hint="eastAsia"/>
                <w:color w:val="auto"/>
                <w:kern w:val="0"/>
                <w:sz w:val="24"/>
                <w:lang w:val="en-US" w:eastAsia="zh-CN"/>
              </w:rPr>
              <w:t>0015</w:t>
            </w:r>
            <w:r>
              <w:rPr>
                <w:rFonts w:hint="eastAsia" w:ascii="Times New Roman" w:hAnsi="Times New Roman"/>
                <w:color w:val="auto"/>
                <w:kern w:val="0"/>
                <w:sz w:val="24"/>
              </w:rPr>
              <w:t>-201</w:t>
            </w:r>
            <w:r>
              <w:rPr>
                <w:rFonts w:hint="eastAsia"/>
                <w:color w:val="auto"/>
                <w:kern w:val="0"/>
                <w:sz w:val="24"/>
                <w:lang w:val="en-US" w:eastAsia="zh-CN"/>
              </w:rPr>
              <w:t>9</w:t>
            </w:r>
            <w:r>
              <w:rPr>
                <w:rFonts w:hint="eastAsia" w:ascii="Times New Roman" w:hAnsi="Times New Roman"/>
                <w:color w:val="auto"/>
                <w:kern w:val="0"/>
                <w:sz w:val="24"/>
              </w:rPr>
              <w:t>）</w:t>
            </w:r>
            <w:r>
              <w:rPr>
                <w:rFonts w:hint="eastAsia"/>
                <w:color w:val="auto"/>
                <w:sz w:val="24"/>
              </w:rPr>
              <w:t>以及《医院污水处理工程技术规范》(HJ2029—2013)，项目废水排放系数取值为0.85。</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sz w:val="24"/>
              </w:rPr>
              <w:t>1）病区废水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cs="Calibri"/>
                <w:color w:val="auto"/>
                <w:sz w:val="24"/>
              </w:rPr>
              <w:t>①</w:t>
            </w:r>
            <w:r>
              <w:rPr>
                <w:rFonts w:hint="eastAsia"/>
                <w:color w:val="auto"/>
                <w:sz w:val="24"/>
              </w:rPr>
              <w:t>住院废水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sz w:val="24"/>
              </w:rPr>
              <w:t>本项目床位20张，</w:t>
            </w:r>
            <w:r>
              <w:rPr>
                <w:rFonts w:hint="eastAsia" w:ascii="Times New Roman" w:hAnsi="Times New Roman"/>
                <w:color w:val="auto"/>
                <w:kern w:val="0"/>
                <w:sz w:val="24"/>
              </w:rPr>
              <w:t>参考《综合医院建筑设计</w:t>
            </w:r>
            <w:r>
              <w:rPr>
                <w:rFonts w:hint="eastAsia"/>
                <w:color w:val="auto"/>
                <w:kern w:val="0"/>
                <w:sz w:val="24"/>
                <w:lang w:val="en-US" w:eastAsia="zh-CN"/>
              </w:rPr>
              <w:t>标准</w:t>
            </w:r>
            <w:r>
              <w:rPr>
                <w:rFonts w:hint="eastAsia" w:ascii="Times New Roman" w:hAnsi="Times New Roman"/>
                <w:color w:val="auto"/>
                <w:kern w:val="0"/>
                <w:sz w:val="24"/>
              </w:rPr>
              <w:t>》（GB51039-2014</w:t>
            </w:r>
            <w:r>
              <w:rPr>
                <w:rFonts w:hint="eastAsia"/>
                <w:color w:val="auto"/>
                <w:kern w:val="0"/>
                <w:sz w:val="24"/>
                <w:lang w:val="en-US" w:eastAsia="zh-CN"/>
              </w:rPr>
              <w:t>局部修订条文</w:t>
            </w:r>
            <w:r>
              <w:rPr>
                <w:rFonts w:hint="eastAsia" w:ascii="Times New Roman" w:hAnsi="Times New Roman"/>
                <w:color w:val="auto"/>
                <w:kern w:val="0"/>
                <w:sz w:val="24"/>
              </w:rPr>
              <w:t>）</w:t>
            </w:r>
            <w:r>
              <w:rPr>
                <w:rFonts w:hint="eastAsia" w:ascii="Times New Roman" w:hAnsi="Times New Roman"/>
                <w:color w:val="auto"/>
                <w:sz w:val="24"/>
              </w:rPr>
              <w:t>，</w:t>
            </w:r>
            <w:r>
              <w:rPr>
                <w:rFonts w:hint="eastAsia"/>
                <w:color w:val="auto"/>
                <w:sz w:val="24"/>
              </w:rPr>
              <w:t>本项目</w:t>
            </w:r>
            <w:r>
              <w:rPr>
                <w:rFonts w:hint="eastAsia"/>
                <w:color w:val="auto"/>
                <w:sz w:val="24"/>
                <w:lang w:val="en-US" w:eastAsia="zh-CN"/>
              </w:rPr>
              <w:t>用水</w:t>
            </w:r>
            <w:r>
              <w:rPr>
                <w:rFonts w:hint="eastAsia"/>
                <w:color w:val="auto"/>
                <w:sz w:val="24"/>
              </w:rPr>
              <w:t>取200L/床·d，按满负荷计算，则住院病人用水量为4m³/d，即1460m³/a，</w:t>
            </w:r>
            <w:r>
              <w:rPr>
                <w:rFonts w:hint="eastAsia"/>
                <w:color w:val="auto"/>
                <w:kern w:val="0"/>
                <w:sz w:val="24"/>
                <w:lang w:bidi="ar"/>
              </w:rPr>
              <w:t>排放系数按用水量85%计算，则</w:t>
            </w:r>
            <w:r>
              <w:rPr>
                <w:rFonts w:hint="eastAsia"/>
                <w:color w:val="auto"/>
                <w:sz w:val="24"/>
              </w:rPr>
              <w:t>住院病人废水</w:t>
            </w:r>
            <w:r>
              <w:rPr>
                <w:rFonts w:hint="eastAsia"/>
                <w:color w:val="auto"/>
                <w:kern w:val="0"/>
                <w:sz w:val="24"/>
                <w:lang w:bidi="ar"/>
              </w:rPr>
              <w:t>3.4</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，1241</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kern w:val="0"/>
                <w:sz w:val="24"/>
                <w:lang w:bidi="ar"/>
              </w:rPr>
              <w:t>。住院废水先由化粪池进行预处理，然后排入院内污水处理站进行处理，再通过市政污水管网排入温泉镇污水处理厂进一步处理达标排放。</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s="宋体"/>
                <w:color w:val="auto"/>
                <w:sz w:val="24"/>
              </w:rPr>
              <w:t>②</w:t>
            </w:r>
            <w:r>
              <w:rPr>
                <w:rFonts w:hint="eastAsia"/>
                <w:color w:val="auto"/>
                <w:sz w:val="24"/>
              </w:rPr>
              <w:t>门诊废水</w:t>
            </w:r>
          </w:p>
          <w:p>
            <w:pPr>
              <w:keepNext w:val="0"/>
              <w:keepLines w:val="0"/>
              <w:pageBreakBefore w:val="0"/>
              <w:widowControl w:val="0"/>
              <w:kinsoku/>
              <w:wordWrap/>
              <w:overflowPunct/>
              <w:bidi w:val="0"/>
              <w:adjustRightInd w:val="0"/>
              <w:snapToGrid/>
              <w:spacing w:line="360" w:lineRule="auto"/>
              <w:ind w:firstLine="480" w:firstLineChars="200"/>
              <w:textAlignment w:val="center"/>
              <w:outlineLvl w:val="9"/>
              <w:rPr>
                <w:color w:val="auto"/>
                <w:sz w:val="24"/>
              </w:rPr>
            </w:pPr>
            <w:r>
              <w:rPr>
                <w:rFonts w:hint="eastAsia"/>
                <w:color w:val="auto"/>
                <w:sz w:val="24"/>
              </w:rPr>
              <w:t>项目现门诊量约20人次/d，根据</w:t>
            </w:r>
            <w:r>
              <w:rPr>
                <w:rFonts w:hint="eastAsia" w:ascii="Times New Roman" w:hAnsi="Times New Roman"/>
                <w:color w:val="auto"/>
                <w:kern w:val="0"/>
                <w:sz w:val="24"/>
              </w:rPr>
              <w:t>《综合医院建筑设计</w:t>
            </w:r>
            <w:r>
              <w:rPr>
                <w:rFonts w:hint="eastAsia"/>
                <w:color w:val="auto"/>
                <w:kern w:val="0"/>
                <w:sz w:val="24"/>
                <w:lang w:val="en-US" w:eastAsia="zh-CN"/>
              </w:rPr>
              <w:t>标准</w:t>
            </w:r>
            <w:r>
              <w:rPr>
                <w:rFonts w:hint="eastAsia" w:ascii="Times New Roman" w:hAnsi="Times New Roman"/>
                <w:color w:val="auto"/>
                <w:kern w:val="0"/>
                <w:sz w:val="24"/>
              </w:rPr>
              <w:t>》（GB51039-2014</w:t>
            </w:r>
            <w:r>
              <w:rPr>
                <w:rFonts w:hint="eastAsia"/>
                <w:color w:val="auto"/>
                <w:kern w:val="0"/>
                <w:sz w:val="24"/>
                <w:lang w:val="en-US" w:eastAsia="zh-CN"/>
              </w:rPr>
              <w:t>局部修订条文</w:t>
            </w:r>
            <w:r>
              <w:rPr>
                <w:rFonts w:hint="eastAsia" w:ascii="Times New Roman" w:hAnsi="Times New Roman"/>
                <w:color w:val="auto"/>
                <w:kern w:val="0"/>
                <w:sz w:val="24"/>
              </w:rPr>
              <w:t>）</w:t>
            </w:r>
            <w:r>
              <w:rPr>
                <w:rFonts w:hint="eastAsia"/>
                <w:color w:val="auto"/>
                <w:sz w:val="24"/>
              </w:rPr>
              <w:t>中“门诊类”用水标准，门诊用水按15L/人·次计算，则门诊用水量为0.3m</w:t>
            </w:r>
            <w:r>
              <w:rPr>
                <w:rFonts w:hint="eastAsia"/>
                <w:color w:val="auto"/>
                <w:sz w:val="24"/>
                <w:vertAlign w:val="superscript"/>
              </w:rPr>
              <w:t>3</w:t>
            </w:r>
            <w:r>
              <w:rPr>
                <w:rFonts w:hint="eastAsia"/>
                <w:color w:val="auto"/>
                <w:sz w:val="24"/>
              </w:rPr>
              <w:t>/d，109.5m</w:t>
            </w:r>
            <w:r>
              <w:rPr>
                <w:rFonts w:hint="eastAsia"/>
                <w:color w:val="auto"/>
                <w:sz w:val="24"/>
                <w:vertAlign w:val="superscript"/>
              </w:rPr>
              <w:t>3</w:t>
            </w:r>
            <w:r>
              <w:rPr>
                <w:rFonts w:hint="eastAsia"/>
                <w:color w:val="auto"/>
                <w:sz w:val="24"/>
              </w:rPr>
              <w:t>/a，</w:t>
            </w:r>
            <w:r>
              <w:rPr>
                <w:rFonts w:hint="eastAsia"/>
                <w:color w:val="auto"/>
                <w:kern w:val="0"/>
                <w:sz w:val="24"/>
                <w:lang w:bidi="ar"/>
              </w:rPr>
              <w:t>排放系数按用水量85%计算，则</w:t>
            </w:r>
            <w:r>
              <w:rPr>
                <w:rFonts w:hint="eastAsia"/>
                <w:color w:val="auto"/>
                <w:sz w:val="24"/>
              </w:rPr>
              <w:t>门诊废水</w:t>
            </w:r>
            <w:r>
              <w:rPr>
                <w:rFonts w:hint="eastAsia"/>
                <w:color w:val="auto"/>
                <w:kern w:val="0"/>
                <w:sz w:val="24"/>
                <w:lang w:bidi="ar"/>
              </w:rPr>
              <w:t>0.255</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，93.075</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sz w:val="24"/>
              </w:rPr>
              <w:t>。门诊废水</w:t>
            </w:r>
            <w:r>
              <w:rPr>
                <w:rFonts w:hint="eastAsia"/>
                <w:color w:val="auto"/>
                <w:kern w:val="0"/>
                <w:sz w:val="24"/>
                <w:lang w:bidi="ar"/>
              </w:rPr>
              <w:t>先由化粪池进行预处理，然后排入院内污水处理站进行处理，再通过市政污水管网排入温泉镇污水处理厂进一步处理达标排放</w:t>
            </w:r>
            <w:r>
              <w:rPr>
                <w:rFonts w:hint="eastAsia"/>
                <w:color w:val="auto"/>
                <w:sz w:val="24"/>
              </w:rPr>
              <w:t>。</w:t>
            </w:r>
          </w:p>
          <w:p>
            <w:pPr>
              <w:pStyle w:val="14"/>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cs="Calibri"/>
                <w:color w:val="auto"/>
                <w:sz w:val="24"/>
              </w:rPr>
              <w:t>③</w:t>
            </w:r>
            <w:r>
              <w:rPr>
                <w:rFonts w:hint="eastAsia"/>
                <w:color w:val="auto"/>
                <w:kern w:val="0"/>
                <w:sz w:val="24"/>
              </w:rPr>
              <w:t>检验</w:t>
            </w:r>
            <w:r>
              <w:rPr>
                <w:rFonts w:hint="eastAsia"/>
                <w:color w:val="auto"/>
                <w:sz w:val="24"/>
              </w:rPr>
              <w:t>废水</w:t>
            </w:r>
          </w:p>
          <w:p>
            <w:pPr>
              <w:keepNext w:val="0"/>
              <w:keepLines w:val="0"/>
              <w:pageBreakBefore w:val="0"/>
              <w:widowControl w:val="0"/>
              <w:kinsoku/>
              <w:wordWrap/>
              <w:overflowPunct/>
              <w:bidi w:val="0"/>
              <w:adjustRightInd w:val="0"/>
              <w:snapToGrid/>
              <w:spacing w:line="360" w:lineRule="auto"/>
              <w:ind w:firstLine="480" w:firstLineChars="200"/>
              <w:textAlignment w:val="center"/>
              <w:outlineLvl w:val="9"/>
              <w:rPr>
                <w:color w:val="auto"/>
                <w:sz w:val="24"/>
              </w:rPr>
            </w:pPr>
            <w:r>
              <w:rPr>
                <w:rFonts w:hint="eastAsia"/>
                <w:color w:val="auto"/>
                <w:sz w:val="24"/>
              </w:rPr>
              <w:t>医院门诊一般需要化验，</w:t>
            </w:r>
            <w:r>
              <w:rPr>
                <w:color w:val="auto"/>
                <w:kern w:val="0"/>
                <w:sz w:val="24"/>
              </w:rPr>
              <w:t>本项目检验室主要进行血常规、尿常规、大便常规的化验工作，主要使用成套的分析化验仪器如全自动生化分析仪、尿分析仪等设备进行分析，检验产生的血液分析仪废液、尿液分析仪废液和尿液废液、大便分析仪废液和大便均作为固废处置</w:t>
            </w:r>
            <w:r>
              <w:rPr>
                <w:rFonts w:hint="eastAsia"/>
                <w:color w:val="auto"/>
                <w:kern w:val="0"/>
                <w:sz w:val="24"/>
              </w:rPr>
              <w:t>，检验科仅进行常规化验，不使用铬类化合物以及氰类化合物作为检验药剂，无含铬、含氰废水，排放污水中不含第一类污染物。</w:t>
            </w:r>
            <w:r>
              <w:rPr>
                <w:rFonts w:hint="eastAsia"/>
                <w:color w:val="auto"/>
                <w:sz w:val="24"/>
              </w:rPr>
              <w:t>根据建设单位提供资料，</w:t>
            </w:r>
            <w:r>
              <w:rPr>
                <w:rFonts w:hint="eastAsia"/>
                <w:color w:val="auto"/>
                <w:kern w:val="0"/>
                <w:sz w:val="24"/>
              </w:rPr>
              <w:t>检验科用水主要为各类检验仪器清洗用水、各类器皿清洗用水和高压蒸汽灭菌锅用水，根据建设单位提供的资料，</w:t>
            </w:r>
            <w:r>
              <w:rPr>
                <w:rFonts w:hint="eastAsia"/>
                <w:color w:val="auto"/>
                <w:sz w:val="24"/>
              </w:rPr>
              <w:t>检验科用水量为0.3m</w:t>
            </w:r>
            <w:r>
              <w:rPr>
                <w:rFonts w:hint="eastAsia"/>
                <w:color w:val="auto"/>
                <w:sz w:val="24"/>
                <w:vertAlign w:val="superscript"/>
              </w:rPr>
              <w:t>3</w:t>
            </w:r>
            <w:r>
              <w:rPr>
                <w:rFonts w:hint="eastAsia"/>
                <w:color w:val="auto"/>
                <w:sz w:val="24"/>
              </w:rPr>
              <w:t>/d，109.5m</w:t>
            </w:r>
            <w:r>
              <w:rPr>
                <w:rFonts w:hint="eastAsia"/>
                <w:color w:val="auto"/>
                <w:sz w:val="24"/>
                <w:vertAlign w:val="superscript"/>
              </w:rPr>
              <w:t>3</w:t>
            </w:r>
            <w:r>
              <w:rPr>
                <w:rFonts w:hint="eastAsia"/>
                <w:color w:val="auto"/>
                <w:sz w:val="24"/>
              </w:rPr>
              <w:t>/a，用分类收集桶全部收集，</w:t>
            </w:r>
            <w:r>
              <w:rPr>
                <w:rFonts w:hint="eastAsia"/>
                <w:color w:val="auto"/>
                <w:kern w:val="0"/>
                <w:sz w:val="24"/>
                <w:lang w:bidi="ar"/>
              </w:rPr>
              <w:t>则</w:t>
            </w:r>
            <w:r>
              <w:rPr>
                <w:rFonts w:hint="eastAsia"/>
                <w:color w:val="auto"/>
                <w:sz w:val="24"/>
              </w:rPr>
              <w:t>门诊检验废水</w:t>
            </w:r>
            <w:r>
              <w:rPr>
                <w:rFonts w:hint="eastAsia"/>
                <w:color w:val="auto"/>
                <w:kern w:val="0"/>
                <w:sz w:val="24"/>
                <w:lang w:bidi="ar"/>
              </w:rPr>
              <w:t>0.3</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，109.5</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sz w:val="24"/>
              </w:rPr>
              <w:t>。门诊检验废水分类收集后作为危废处理，定期由资质单位清运，不外排。</w:t>
            </w:r>
          </w:p>
          <w:p>
            <w:pPr>
              <w:pStyle w:val="51"/>
              <w:keepNext w:val="0"/>
              <w:keepLines w:val="0"/>
              <w:pageBreakBefore w:val="0"/>
              <w:widowControl w:val="0"/>
              <w:kinsoku/>
              <w:wordWrap/>
              <w:overflowPunct/>
              <w:bidi w:val="0"/>
              <w:adjustRightInd w:val="0"/>
              <w:snapToGrid/>
              <w:ind w:firstLine="480" w:firstLineChars="200"/>
              <w:outlineLvl w:val="9"/>
              <w:rPr>
                <w:color w:val="auto"/>
                <w:sz w:val="24"/>
              </w:rPr>
            </w:pPr>
            <w:r>
              <w:rPr>
                <w:rFonts w:hint="eastAsia" w:cs="宋体"/>
                <w:bCs/>
                <w:color w:val="auto"/>
                <w:sz w:val="24"/>
              </w:rPr>
              <w:t>④</w:t>
            </w:r>
            <w:r>
              <w:rPr>
                <w:rFonts w:hint="eastAsia"/>
                <w:color w:val="auto"/>
                <w:sz w:val="24"/>
              </w:rPr>
              <w:t>病床床品衣物洗涤废水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sz w:val="24"/>
              </w:rPr>
              <w:t>本项目病床数20张，产生的病服、床单、被套等需进行洗涤。根据</w:t>
            </w:r>
            <w:r>
              <w:rPr>
                <w:rFonts w:hint="eastAsia"/>
                <w:color w:val="auto"/>
                <w:kern w:val="0"/>
                <w:sz w:val="24"/>
              </w:rPr>
              <w:t>《建筑给排水设计规范》</w:t>
            </w:r>
            <w:r>
              <w:rPr>
                <w:rFonts w:hint="eastAsia"/>
                <w:color w:val="auto"/>
                <w:sz w:val="24"/>
              </w:rPr>
              <w:t>洗衣用水定额为40-80L/每千克干衣，取60L/每千克干衣，一套病服和一套床品总重量约2kg，平均清洗周期为1周/次，年清洗52次，则项目现有病床床品衣服洗涤用水量约为0.35m</w:t>
            </w:r>
            <w:r>
              <w:rPr>
                <w:rFonts w:hint="eastAsia"/>
                <w:color w:val="auto"/>
                <w:sz w:val="24"/>
                <w:vertAlign w:val="superscript"/>
              </w:rPr>
              <w:t>3</w:t>
            </w:r>
            <w:r>
              <w:rPr>
                <w:rFonts w:hint="eastAsia"/>
                <w:color w:val="auto"/>
                <w:sz w:val="24"/>
              </w:rPr>
              <w:t>/d，127.75m</w:t>
            </w:r>
            <w:r>
              <w:rPr>
                <w:rFonts w:hint="eastAsia"/>
                <w:color w:val="auto"/>
                <w:sz w:val="24"/>
                <w:vertAlign w:val="superscript"/>
              </w:rPr>
              <w:t>3</w:t>
            </w:r>
            <w:r>
              <w:rPr>
                <w:rFonts w:hint="eastAsia"/>
                <w:color w:val="auto"/>
                <w:sz w:val="24"/>
              </w:rPr>
              <w:t>/a，</w:t>
            </w:r>
            <w:r>
              <w:rPr>
                <w:rFonts w:hint="eastAsia"/>
                <w:color w:val="auto"/>
                <w:kern w:val="0"/>
                <w:sz w:val="24"/>
                <w:lang w:bidi="ar"/>
              </w:rPr>
              <w:t>排放系数按用水量85%计算，则产生洗涤</w:t>
            </w:r>
            <w:r>
              <w:rPr>
                <w:rFonts w:hint="eastAsia"/>
                <w:color w:val="auto"/>
                <w:sz w:val="24"/>
              </w:rPr>
              <w:t>废水</w:t>
            </w:r>
            <w:r>
              <w:rPr>
                <w:rFonts w:hint="eastAsia"/>
                <w:color w:val="auto"/>
                <w:kern w:val="0"/>
                <w:sz w:val="24"/>
                <w:lang w:bidi="ar"/>
              </w:rPr>
              <w:t>0.3</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，109.5</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sz w:val="24"/>
              </w:rPr>
              <w:t>。</w:t>
            </w:r>
            <w:r>
              <w:rPr>
                <w:rFonts w:hint="eastAsia"/>
                <w:color w:val="auto"/>
                <w:kern w:val="0"/>
                <w:sz w:val="24"/>
              </w:rPr>
              <w:t>病床</w:t>
            </w:r>
            <w:r>
              <w:rPr>
                <w:rFonts w:hint="eastAsia"/>
                <w:color w:val="auto"/>
                <w:sz w:val="24"/>
              </w:rPr>
              <w:t>床品衣服洗涤废水</w:t>
            </w:r>
            <w:r>
              <w:rPr>
                <w:rFonts w:hint="eastAsia"/>
                <w:color w:val="auto"/>
                <w:kern w:val="0"/>
                <w:sz w:val="24"/>
                <w:lang w:bidi="ar"/>
              </w:rPr>
              <w:t>先由化粪池进行预处理，然后排入院内污水处理站进行处理，再通过市政污水管网排入温泉镇污水处理处理达标排放。</w:t>
            </w:r>
          </w:p>
          <w:p>
            <w:pPr>
              <w:keepNext w:val="0"/>
              <w:keepLines w:val="0"/>
              <w:pageBreakBefore w:val="0"/>
              <w:widowControl w:val="0"/>
              <w:kinsoku/>
              <w:wordWrap/>
              <w:overflowPunct/>
              <w:bidi w:val="0"/>
              <w:adjustRightInd w:val="0"/>
              <w:snapToGrid/>
              <w:spacing w:line="360" w:lineRule="auto"/>
              <w:ind w:firstLine="480" w:firstLineChars="200"/>
              <w:outlineLvl w:val="9"/>
              <w:rPr>
                <w:rFonts w:cs="宋体"/>
                <w:color w:val="auto"/>
                <w:sz w:val="24"/>
              </w:rPr>
            </w:pPr>
            <w:r>
              <w:rPr>
                <w:rFonts w:hint="eastAsia" w:cs="宋体"/>
                <w:color w:val="auto"/>
                <w:sz w:val="24"/>
              </w:rPr>
              <w:t>（2）</w:t>
            </w:r>
            <w:r>
              <w:rPr>
                <w:rFonts w:hint="eastAsia"/>
                <w:color w:val="auto"/>
                <w:sz w:val="24"/>
              </w:rPr>
              <w:t>非病区废水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s="宋体"/>
                <w:color w:val="auto"/>
                <w:sz w:val="24"/>
              </w:rPr>
              <w:t>①</w:t>
            </w:r>
            <w:r>
              <w:rPr>
                <w:rFonts w:hint="eastAsia"/>
                <w:color w:val="auto"/>
                <w:sz w:val="24"/>
              </w:rPr>
              <w:t>医务人员办公</w:t>
            </w:r>
            <w:r>
              <w:rPr>
                <w:color w:val="auto"/>
                <w:sz w:val="24"/>
              </w:rPr>
              <w:t>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sz w:val="24"/>
              </w:rPr>
              <w:t>项目医务人员24人，根据</w:t>
            </w:r>
            <w:r>
              <w:rPr>
                <w:rFonts w:hint="eastAsia" w:ascii="Times New Roman" w:hAnsi="Times New Roman"/>
                <w:color w:val="auto"/>
                <w:kern w:val="0"/>
                <w:sz w:val="24"/>
              </w:rPr>
              <w:t>《综合医院建筑设计</w:t>
            </w:r>
            <w:r>
              <w:rPr>
                <w:rFonts w:hint="eastAsia"/>
                <w:color w:val="auto"/>
                <w:kern w:val="0"/>
                <w:sz w:val="24"/>
                <w:lang w:val="en-US" w:eastAsia="zh-CN"/>
              </w:rPr>
              <w:t>标准</w:t>
            </w:r>
            <w:r>
              <w:rPr>
                <w:rFonts w:hint="eastAsia" w:ascii="Times New Roman" w:hAnsi="Times New Roman"/>
                <w:color w:val="auto"/>
                <w:kern w:val="0"/>
                <w:sz w:val="24"/>
              </w:rPr>
              <w:t>》（GB51039-2014</w:t>
            </w:r>
            <w:r>
              <w:rPr>
                <w:rFonts w:hint="eastAsia"/>
                <w:color w:val="auto"/>
                <w:kern w:val="0"/>
                <w:sz w:val="24"/>
                <w:lang w:val="en-US" w:eastAsia="zh-CN"/>
              </w:rPr>
              <w:t>局部修订条文</w:t>
            </w:r>
            <w:r>
              <w:rPr>
                <w:rFonts w:hint="eastAsia" w:ascii="Times New Roman" w:hAnsi="Times New Roman"/>
                <w:color w:val="auto"/>
                <w:kern w:val="0"/>
                <w:sz w:val="24"/>
              </w:rPr>
              <w:t>）</w:t>
            </w:r>
            <w:r>
              <w:rPr>
                <w:rFonts w:hint="eastAsia"/>
                <w:color w:val="auto"/>
                <w:kern w:val="0"/>
                <w:sz w:val="24"/>
              </w:rPr>
              <w:t>中医务人员用水定额，评价</w:t>
            </w:r>
            <w:r>
              <w:rPr>
                <w:color w:val="auto"/>
                <w:kern w:val="0"/>
                <w:sz w:val="24"/>
                <w:lang w:bidi="ar"/>
              </w:rPr>
              <w:t>按150L/人·d计，</w:t>
            </w:r>
            <w:r>
              <w:rPr>
                <w:rFonts w:hint="eastAsia"/>
                <w:color w:val="auto"/>
                <w:kern w:val="0"/>
                <w:sz w:val="24"/>
                <w:lang w:bidi="ar"/>
              </w:rPr>
              <w:t>项目医务人员用水量3.6t/d，1314t/a；</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kern w:val="0"/>
                <w:sz w:val="24"/>
                <w:lang w:bidi="ar"/>
              </w:rPr>
              <w:t>废水排放系数按用水量85%计算，则</w:t>
            </w:r>
            <w:r>
              <w:rPr>
                <w:rFonts w:hint="eastAsia"/>
                <w:color w:val="auto"/>
                <w:sz w:val="24"/>
              </w:rPr>
              <w:t>医务人员办公</w:t>
            </w:r>
            <w:r>
              <w:rPr>
                <w:color w:val="auto"/>
                <w:sz w:val="24"/>
              </w:rPr>
              <w:t>废水</w:t>
            </w:r>
            <w:r>
              <w:rPr>
                <w:rFonts w:hint="eastAsia"/>
                <w:color w:val="auto"/>
                <w:kern w:val="0"/>
                <w:sz w:val="24"/>
                <w:lang w:bidi="ar"/>
              </w:rPr>
              <w:t>3.06</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，1116.9</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kern w:val="0"/>
                <w:sz w:val="24"/>
                <w:lang w:bidi="ar"/>
              </w:rPr>
              <w:t>。</w:t>
            </w:r>
            <w:r>
              <w:rPr>
                <w:rFonts w:hint="eastAsia"/>
                <w:color w:val="auto"/>
                <w:sz w:val="24"/>
              </w:rPr>
              <w:t>医务人员办公</w:t>
            </w:r>
            <w:r>
              <w:rPr>
                <w:color w:val="auto"/>
                <w:sz w:val="24"/>
              </w:rPr>
              <w:t>废水</w:t>
            </w:r>
            <w:r>
              <w:rPr>
                <w:rFonts w:hint="eastAsia"/>
                <w:color w:val="auto"/>
                <w:kern w:val="0"/>
                <w:sz w:val="24"/>
                <w:lang w:bidi="ar"/>
              </w:rPr>
              <w:t>先由化粪池进行预处理，然后排入院内污水处理站进行处理，再通过市政污水管网排入温泉镇污水处理处理达标排放。</w:t>
            </w:r>
          </w:p>
          <w:p>
            <w:pPr>
              <w:keepNext w:val="0"/>
              <w:keepLines w:val="0"/>
              <w:pageBreakBefore w:val="0"/>
              <w:widowControl w:val="0"/>
              <w:kinsoku/>
              <w:wordWrap/>
              <w:overflowPunct/>
              <w:bidi w:val="0"/>
              <w:adjustRightInd w:val="0"/>
              <w:snapToGrid/>
              <w:spacing w:line="360" w:lineRule="auto"/>
              <w:ind w:firstLine="480" w:firstLineChars="200"/>
              <w:outlineLvl w:val="9"/>
              <w:rPr>
                <w:rFonts w:cs="Calibri"/>
                <w:color w:val="auto"/>
                <w:sz w:val="24"/>
              </w:rPr>
            </w:pPr>
            <w:r>
              <w:rPr>
                <w:rFonts w:cs="Calibri"/>
                <w:color w:val="auto"/>
                <w:sz w:val="24"/>
              </w:rPr>
              <w:t>②</w:t>
            </w:r>
            <w:r>
              <w:rPr>
                <w:rFonts w:hint="eastAsia" w:cs="Calibri"/>
                <w:color w:val="auto"/>
                <w:sz w:val="24"/>
              </w:rPr>
              <w:t>陪护人员废水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sz w:val="24"/>
              </w:rPr>
              <w:t>项目每张病床设一个陪护人员，用水标准为50L/人·d，则陪护人员用水量为1</w:t>
            </w:r>
            <w:r>
              <w:rPr>
                <w:color w:val="auto"/>
                <w:sz w:val="24"/>
              </w:rPr>
              <w:t>m</w:t>
            </w:r>
            <w:r>
              <w:rPr>
                <w:color w:val="auto"/>
                <w:sz w:val="24"/>
                <w:vertAlign w:val="superscript"/>
              </w:rPr>
              <w:t>3</w:t>
            </w:r>
            <w:r>
              <w:rPr>
                <w:color w:val="auto"/>
                <w:sz w:val="24"/>
              </w:rPr>
              <w:t>/d，</w:t>
            </w:r>
            <w:r>
              <w:rPr>
                <w:rFonts w:hint="eastAsia"/>
                <w:color w:val="auto"/>
                <w:sz w:val="24"/>
              </w:rPr>
              <w:t>365</w:t>
            </w:r>
            <w:r>
              <w:rPr>
                <w:color w:val="auto"/>
                <w:sz w:val="24"/>
              </w:rPr>
              <w:t>m</w:t>
            </w:r>
            <w:r>
              <w:rPr>
                <w:color w:val="auto"/>
                <w:sz w:val="24"/>
                <w:vertAlign w:val="superscript"/>
              </w:rPr>
              <w:t>3</w:t>
            </w:r>
            <w:r>
              <w:rPr>
                <w:color w:val="auto"/>
                <w:sz w:val="24"/>
              </w:rPr>
              <w:t>/a</w:t>
            </w:r>
            <w:r>
              <w:rPr>
                <w:rFonts w:hint="eastAsia"/>
                <w:color w:val="auto"/>
                <w:sz w:val="24"/>
              </w:rPr>
              <w:t>，</w:t>
            </w:r>
            <w:r>
              <w:rPr>
                <w:rFonts w:hint="eastAsia"/>
                <w:color w:val="auto"/>
                <w:kern w:val="0"/>
                <w:sz w:val="24"/>
                <w:lang w:bidi="ar"/>
              </w:rPr>
              <w:t>废水排放系数按用水量85%计算，则</w:t>
            </w:r>
            <w:r>
              <w:rPr>
                <w:rFonts w:hint="eastAsia"/>
                <w:color w:val="auto"/>
                <w:sz w:val="24"/>
              </w:rPr>
              <w:t>陪护人员产生</w:t>
            </w:r>
            <w:r>
              <w:rPr>
                <w:color w:val="auto"/>
                <w:sz w:val="24"/>
              </w:rPr>
              <w:t>废水</w:t>
            </w:r>
            <w:r>
              <w:rPr>
                <w:rFonts w:hint="eastAsia"/>
                <w:color w:val="auto"/>
                <w:kern w:val="0"/>
                <w:sz w:val="24"/>
                <w:lang w:bidi="ar"/>
              </w:rPr>
              <w:t>0.85</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，310.25</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kern w:val="0"/>
                <w:sz w:val="24"/>
                <w:lang w:bidi="ar"/>
              </w:rPr>
              <w:t>。</w:t>
            </w:r>
            <w:r>
              <w:rPr>
                <w:rFonts w:hint="eastAsia"/>
                <w:color w:val="auto"/>
                <w:sz w:val="24"/>
              </w:rPr>
              <w:t>陪护人员办公</w:t>
            </w:r>
            <w:r>
              <w:rPr>
                <w:color w:val="auto"/>
                <w:sz w:val="24"/>
              </w:rPr>
              <w:t>废水</w:t>
            </w:r>
            <w:r>
              <w:rPr>
                <w:rFonts w:hint="eastAsia"/>
                <w:color w:val="auto"/>
                <w:kern w:val="0"/>
                <w:sz w:val="24"/>
                <w:lang w:bidi="ar"/>
              </w:rPr>
              <w:t>先由化粪池进行预处理，然后排入院内污水处理站进行处理，再通过市政污水管网排入温泉镇污水处理处理达标排放。</w:t>
            </w:r>
          </w:p>
          <w:p>
            <w:pPr>
              <w:keepNext w:val="0"/>
              <w:keepLines w:val="0"/>
              <w:pageBreakBefore w:val="0"/>
              <w:widowControl w:val="0"/>
              <w:kinsoku/>
              <w:wordWrap/>
              <w:overflowPunct/>
              <w:autoSpaceDE w:val="0"/>
              <w:autoSpaceDN w:val="0"/>
              <w:bidi w:val="0"/>
              <w:adjustRightInd w:val="0"/>
              <w:snapToGrid/>
              <w:spacing w:line="360" w:lineRule="auto"/>
              <w:ind w:firstLine="480" w:firstLineChars="200"/>
              <w:outlineLvl w:val="9"/>
              <w:rPr>
                <w:color w:val="auto"/>
                <w:sz w:val="24"/>
              </w:rPr>
            </w:pPr>
            <w:r>
              <w:rPr>
                <w:rFonts w:hint="eastAsia" w:cs="宋体"/>
                <w:color w:val="auto"/>
                <w:sz w:val="24"/>
              </w:rPr>
              <w:t>③</w:t>
            </w:r>
            <w:r>
              <w:rPr>
                <w:rFonts w:hint="eastAsia"/>
                <w:color w:val="auto"/>
                <w:sz w:val="24"/>
              </w:rPr>
              <w:t>行政人员办公废水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rFonts w:hint="eastAsia"/>
                <w:color w:val="auto"/>
                <w:sz w:val="24"/>
              </w:rPr>
              <w:t>项目行政人员4人，根据</w:t>
            </w:r>
            <w:r>
              <w:rPr>
                <w:rFonts w:hint="eastAsia" w:ascii="Times New Roman" w:hAnsi="Times New Roman"/>
                <w:color w:val="auto"/>
                <w:kern w:val="0"/>
                <w:sz w:val="24"/>
              </w:rPr>
              <w:t>《建筑给排水设计规范》（GB5</w:t>
            </w:r>
            <w:r>
              <w:rPr>
                <w:rFonts w:hint="eastAsia"/>
                <w:color w:val="auto"/>
                <w:kern w:val="0"/>
                <w:sz w:val="24"/>
                <w:lang w:val="en-US" w:eastAsia="zh-CN"/>
              </w:rPr>
              <w:t>0015</w:t>
            </w:r>
            <w:r>
              <w:rPr>
                <w:rFonts w:hint="eastAsia" w:ascii="Times New Roman" w:hAnsi="Times New Roman"/>
                <w:color w:val="auto"/>
                <w:kern w:val="0"/>
                <w:sz w:val="24"/>
              </w:rPr>
              <w:t>-201</w:t>
            </w:r>
            <w:r>
              <w:rPr>
                <w:rFonts w:hint="eastAsia"/>
                <w:color w:val="auto"/>
                <w:kern w:val="0"/>
                <w:sz w:val="24"/>
                <w:lang w:val="en-US" w:eastAsia="zh-CN"/>
              </w:rPr>
              <w:t>9</w:t>
            </w:r>
            <w:r>
              <w:rPr>
                <w:rFonts w:hint="eastAsia" w:ascii="Times New Roman" w:hAnsi="Times New Roman"/>
                <w:color w:val="auto"/>
                <w:kern w:val="0"/>
                <w:sz w:val="24"/>
              </w:rPr>
              <w:t>）</w:t>
            </w:r>
            <w:r>
              <w:rPr>
                <w:rFonts w:hint="eastAsia"/>
                <w:color w:val="auto"/>
                <w:sz w:val="24"/>
              </w:rPr>
              <w:t>，项目行政人员在按用水量以50L/(人</w:t>
            </w:r>
            <w:r>
              <w:rPr>
                <w:rFonts w:hint="eastAsia" w:cs="宋体"/>
                <w:color w:val="auto"/>
                <w:sz w:val="24"/>
              </w:rPr>
              <w:t>•</w:t>
            </w:r>
            <w:r>
              <w:rPr>
                <w:rFonts w:hint="eastAsia"/>
                <w:color w:val="auto"/>
                <w:sz w:val="24"/>
              </w:rPr>
              <w:t>d)计，则行政人员用水量为0.2m³/d，73m³/a，</w:t>
            </w:r>
            <w:r>
              <w:rPr>
                <w:rFonts w:hint="eastAsia"/>
                <w:color w:val="auto"/>
                <w:kern w:val="0"/>
                <w:sz w:val="24"/>
                <w:lang w:bidi="ar"/>
              </w:rPr>
              <w:t>废水排放系数按用水量85%计算，则</w:t>
            </w:r>
            <w:r>
              <w:rPr>
                <w:rFonts w:hint="eastAsia"/>
                <w:color w:val="auto"/>
                <w:sz w:val="24"/>
              </w:rPr>
              <w:t>行政人员办公</w:t>
            </w:r>
            <w:r>
              <w:rPr>
                <w:color w:val="auto"/>
                <w:sz w:val="24"/>
              </w:rPr>
              <w:t>废水</w:t>
            </w:r>
            <w:r>
              <w:rPr>
                <w:rFonts w:hint="eastAsia"/>
                <w:color w:val="auto"/>
                <w:kern w:val="0"/>
                <w:sz w:val="24"/>
                <w:lang w:bidi="ar"/>
              </w:rPr>
              <w:t>0.17</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，62.05</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kern w:val="0"/>
                <w:sz w:val="24"/>
                <w:lang w:bidi="ar"/>
              </w:rPr>
              <w:t>。</w:t>
            </w:r>
            <w:r>
              <w:rPr>
                <w:rFonts w:hint="eastAsia"/>
                <w:color w:val="auto"/>
                <w:sz w:val="24"/>
              </w:rPr>
              <w:t>陪护人员办公</w:t>
            </w:r>
            <w:r>
              <w:rPr>
                <w:color w:val="auto"/>
                <w:sz w:val="24"/>
              </w:rPr>
              <w:t>废水</w:t>
            </w:r>
            <w:r>
              <w:rPr>
                <w:rFonts w:hint="eastAsia"/>
                <w:color w:val="auto"/>
                <w:kern w:val="0"/>
                <w:sz w:val="24"/>
                <w:lang w:bidi="ar"/>
              </w:rPr>
              <w:t>先由化粪池进行预处理，然后排入院内污水处理站进行处理，再通过市政污水管网排入温泉镇污水处理处理达标排放。</w:t>
            </w:r>
          </w:p>
          <w:p>
            <w:pPr>
              <w:keepNext w:val="0"/>
              <w:keepLines w:val="0"/>
              <w:pageBreakBefore w:val="0"/>
              <w:widowControl w:val="0"/>
              <w:kinsoku/>
              <w:wordWrap/>
              <w:overflowPunct/>
              <w:autoSpaceDE w:val="0"/>
              <w:autoSpaceDN w:val="0"/>
              <w:bidi w:val="0"/>
              <w:adjustRightInd w:val="0"/>
              <w:snapToGrid/>
              <w:spacing w:line="360" w:lineRule="auto"/>
              <w:ind w:firstLine="480" w:firstLineChars="200"/>
              <w:outlineLvl w:val="9"/>
              <w:rPr>
                <w:bCs/>
                <w:color w:val="auto"/>
                <w:sz w:val="24"/>
              </w:rPr>
            </w:pPr>
            <w:r>
              <w:rPr>
                <w:rFonts w:hint="eastAsia" w:cs="宋体"/>
                <w:bCs/>
                <w:color w:val="auto"/>
                <w:sz w:val="24"/>
              </w:rPr>
              <w:t>④</w:t>
            </w:r>
            <w:r>
              <w:rPr>
                <w:rFonts w:hint="eastAsia"/>
                <w:color w:val="auto"/>
                <w:sz w:val="24"/>
              </w:rPr>
              <w:t>食堂废水</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kern w:val="0"/>
                <w:sz w:val="24"/>
                <w:lang w:bidi="ar"/>
              </w:rPr>
            </w:pPr>
            <w:r>
              <w:rPr>
                <w:rFonts w:hint="eastAsia"/>
                <w:color w:val="auto"/>
                <w:sz w:val="24"/>
              </w:rPr>
              <w:t>项目设一个员工食堂，仅医院工作人员用餐，根据《建筑给排水设计规范》（GB50015-2019）职工及学生食堂用水标准，本项目用水取25L每顾客每次，项目提供午餐和晚餐，中午有21人就餐，晚上6人就餐，则食堂用水0.675t/d，246.4t/a，</w:t>
            </w:r>
            <w:r>
              <w:rPr>
                <w:rFonts w:hint="eastAsia"/>
                <w:color w:val="auto"/>
                <w:kern w:val="0"/>
                <w:sz w:val="24"/>
                <w:lang w:bidi="ar"/>
              </w:rPr>
              <w:t>废水排放系数按用水量85%计算，则</w:t>
            </w:r>
            <w:r>
              <w:rPr>
                <w:rFonts w:hint="eastAsia"/>
                <w:color w:val="auto"/>
                <w:kern w:val="0"/>
                <w:sz w:val="24"/>
              </w:rPr>
              <w:t>食堂</w:t>
            </w:r>
            <w:r>
              <w:rPr>
                <w:color w:val="auto"/>
                <w:sz w:val="24"/>
              </w:rPr>
              <w:t>废水</w:t>
            </w:r>
            <w:r>
              <w:rPr>
                <w:rFonts w:hint="eastAsia"/>
                <w:color w:val="auto"/>
                <w:sz w:val="24"/>
              </w:rPr>
              <w:t>产生量</w:t>
            </w:r>
            <w:r>
              <w:rPr>
                <w:rFonts w:hint="eastAsia"/>
                <w:color w:val="auto"/>
                <w:kern w:val="0"/>
                <w:sz w:val="24"/>
                <w:lang w:bidi="ar"/>
              </w:rPr>
              <w:t>0.574</w:t>
            </w:r>
            <w:r>
              <w:rPr>
                <w:color w:val="auto"/>
                <w:kern w:val="0"/>
                <w:sz w:val="24"/>
                <w:lang w:bidi="ar"/>
              </w:rPr>
              <w:t>m</w:t>
            </w:r>
            <w:r>
              <w:rPr>
                <w:color w:val="auto"/>
                <w:kern w:val="0"/>
                <w:sz w:val="24"/>
                <w:vertAlign w:val="superscript"/>
                <w:lang w:bidi="ar"/>
              </w:rPr>
              <w:t>3</w:t>
            </w:r>
            <w:r>
              <w:rPr>
                <w:color w:val="auto"/>
                <w:kern w:val="0"/>
                <w:sz w:val="24"/>
                <w:lang w:bidi="ar"/>
              </w:rPr>
              <w:t xml:space="preserve"> /d</w:t>
            </w:r>
            <w:r>
              <w:rPr>
                <w:rFonts w:hint="eastAsia"/>
                <w:color w:val="auto"/>
                <w:kern w:val="0"/>
                <w:sz w:val="24"/>
                <w:lang w:bidi="ar"/>
              </w:rPr>
              <w:t>，209.51</w:t>
            </w:r>
            <w:r>
              <w:rPr>
                <w:color w:val="auto"/>
                <w:kern w:val="0"/>
                <w:sz w:val="24"/>
                <w:lang w:bidi="ar"/>
              </w:rPr>
              <w:t>m</w:t>
            </w:r>
            <w:r>
              <w:rPr>
                <w:color w:val="auto"/>
                <w:kern w:val="0"/>
                <w:sz w:val="24"/>
                <w:vertAlign w:val="superscript"/>
                <w:lang w:bidi="ar"/>
              </w:rPr>
              <w:t>3</w:t>
            </w:r>
            <w:r>
              <w:rPr>
                <w:color w:val="auto"/>
                <w:kern w:val="0"/>
                <w:sz w:val="24"/>
                <w:lang w:bidi="ar"/>
              </w:rPr>
              <w:t xml:space="preserve"> /a</w:t>
            </w:r>
            <w:r>
              <w:rPr>
                <w:rFonts w:hint="eastAsia"/>
                <w:color w:val="auto"/>
                <w:kern w:val="0"/>
                <w:sz w:val="24"/>
                <w:lang w:bidi="ar"/>
              </w:rPr>
              <w:t>。食堂废水先通过隔油池进行处理，再进入化粪池预处理，然后排入院内污水处理站进行处理，再通过市政污水管网排入温泉镇污水处理处理达标排放。</w:t>
            </w:r>
          </w:p>
          <w:p>
            <w:pPr>
              <w:pStyle w:val="57"/>
              <w:keepNext w:val="0"/>
              <w:keepLines w:val="0"/>
              <w:pageBreakBefore w:val="0"/>
              <w:widowControl w:val="0"/>
              <w:kinsoku/>
              <w:wordWrap/>
              <w:overflowPunct/>
              <w:bidi w:val="0"/>
              <w:adjustRightInd w:val="0"/>
              <w:snapToGrid/>
              <w:ind w:firstLine="496" w:firstLineChars="200"/>
              <w:outlineLvl w:val="9"/>
              <w:rPr>
                <w:rFonts w:ascii="Times New Roman" w:hAnsi="Times New Roman"/>
                <w:color w:val="auto"/>
                <w:kern w:val="0"/>
                <w:sz w:val="24"/>
              </w:rPr>
            </w:pPr>
            <w:r>
              <w:rPr>
                <w:rFonts w:hint="eastAsia" w:ascii="Times New Roman" w:hAnsi="Times New Roman"/>
                <w:color w:val="auto"/>
                <w:sz w:val="24"/>
              </w:rPr>
              <w:t>综上，卫生院运行期间，项目病区废水排放量约为3.955</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w:t>
            </w:r>
            <w:r>
              <w:rPr>
                <w:rFonts w:hint="eastAsia" w:ascii="Times New Roman" w:hAnsi="Times New Roman"/>
                <w:color w:val="auto"/>
                <w:sz w:val="24"/>
              </w:rPr>
              <w:t>1443.575</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/a。</w:t>
            </w:r>
            <w:r>
              <w:rPr>
                <w:rFonts w:hint="eastAsia" w:ascii="Times New Roman" w:hAnsi="Times New Roman"/>
                <w:color w:val="auto"/>
                <w:sz w:val="24"/>
              </w:rPr>
              <w:t>非病区</w:t>
            </w:r>
            <w:r>
              <w:rPr>
                <w:rFonts w:ascii="Times New Roman" w:hAnsi="Times New Roman"/>
                <w:color w:val="auto"/>
                <w:sz w:val="24"/>
              </w:rPr>
              <w:t>废水的排放量为</w:t>
            </w:r>
            <w:r>
              <w:rPr>
                <w:rFonts w:hint="eastAsia" w:ascii="Times New Roman" w:hAnsi="Times New Roman"/>
                <w:color w:val="auto"/>
                <w:sz w:val="24"/>
              </w:rPr>
              <w:t>4.654</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w:t>
            </w:r>
            <w:r>
              <w:rPr>
                <w:rFonts w:hint="eastAsia" w:ascii="Times New Roman" w:hAnsi="Times New Roman"/>
                <w:color w:val="auto"/>
                <w:sz w:val="24"/>
              </w:rPr>
              <w:t>1698.71</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/a</w:t>
            </w:r>
            <w:r>
              <w:rPr>
                <w:rFonts w:hint="eastAsia" w:ascii="Times New Roman" w:hAnsi="Times New Roman"/>
                <w:color w:val="auto"/>
                <w:sz w:val="24"/>
              </w:rPr>
              <w:t>。</w:t>
            </w:r>
            <w:r>
              <w:rPr>
                <w:rFonts w:ascii="Times New Roman" w:hAnsi="Times New Roman"/>
                <w:color w:val="auto"/>
                <w:kern w:val="0"/>
                <w:sz w:val="24"/>
              </w:rPr>
              <w:t>本项目废水经</w:t>
            </w:r>
            <w:r>
              <w:rPr>
                <w:rFonts w:hint="eastAsia" w:ascii="Times New Roman" w:hAnsi="Times New Roman"/>
                <w:color w:val="auto"/>
                <w:kern w:val="0"/>
                <w:sz w:val="24"/>
              </w:rPr>
              <w:t>院内污水处理设备</w:t>
            </w:r>
            <w:r>
              <w:rPr>
                <w:rFonts w:ascii="Times New Roman" w:hAnsi="Times New Roman"/>
                <w:color w:val="auto"/>
                <w:kern w:val="0"/>
                <w:sz w:val="24"/>
              </w:rPr>
              <w:t>处理后，</w:t>
            </w:r>
            <w:r>
              <w:rPr>
                <w:rFonts w:hint="eastAsia" w:ascii="Times New Roman" w:hAnsi="Times New Roman"/>
                <w:color w:val="auto"/>
                <w:kern w:val="0"/>
                <w:sz w:val="24"/>
              </w:rPr>
              <w:t>废水满足《医疗机构水污染物排放标准》（GB18466-2005）表2规定的预处理标准及温泉镇污水处理厂接管标准后（各污染物排放执行两个标准中相对严格的要求）</w:t>
            </w:r>
            <w:r>
              <w:rPr>
                <w:rFonts w:ascii="Times New Roman" w:hAnsi="Times New Roman"/>
                <w:color w:val="auto"/>
                <w:kern w:val="0"/>
                <w:sz w:val="24"/>
              </w:rPr>
              <w:t>，经市政污水管道排入</w:t>
            </w:r>
            <w:r>
              <w:rPr>
                <w:rFonts w:hint="eastAsia" w:ascii="Times New Roman" w:hAnsi="Times New Roman"/>
                <w:snapToGrid w:val="0"/>
                <w:color w:val="auto"/>
                <w:sz w:val="24"/>
              </w:rPr>
              <w:t>温泉镇污水处理厂进一步</w:t>
            </w:r>
            <w:r>
              <w:rPr>
                <w:rFonts w:ascii="Times New Roman" w:hAnsi="Times New Roman"/>
                <w:color w:val="auto"/>
                <w:kern w:val="0"/>
                <w:sz w:val="24"/>
              </w:rPr>
              <w:t>处理，经处理后达《城镇污水处理厂污染物排放标准》（GB18918-2002）中一级A标准</w:t>
            </w:r>
            <w:r>
              <w:rPr>
                <w:rFonts w:hint="eastAsia" w:ascii="Times New Roman" w:hAnsi="Times New Roman"/>
                <w:color w:val="auto"/>
                <w:kern w:val="0"/>
                <w:sz w:val="24"/>
              </w:rPr>
              <w:t>后，最终汇鄱阳湖。</w:t>
            </w:r>
          </w:p>
          <w:p>
            <w:pPr>
              <w:keepNext w:val="0"/>
              <w:keepLines w:val="0"/>
              <w:pageBreakBefore w:val="0"/>
              <w:widowControl w:val="0"/>
              <w:kinsoku/>
              <w:wordWrap/>
              <w:overflowPunct/>
              <w:bidi w:val="0"/>
              <w:adjustRightInd w:val="0"/>
              <w:snapToGrid/>
              <w:spacing w:line="360" w:lineRule="auto"/>
              <w:ind w:firstLine="480" w:firstLineChars="200"/>
              <w:outlineLvl w:val="9"/>
              <w:rPr>
                <w:color w:val="auto"/>
                <w:sz w:val="24"/>
              </w:rPr>
            </w:pPr>
            <w:r>
              <w:rPr>
                <w:color w:val="auto"/>
                <w:sz w:val="24"/>
              </w:rPr>
              <w:t>根据《医院污水处理工程技术规范》(HJ2029-2013)，</w:t>
            </w:r>
            <w:r>
              <w:rPr>
                <w:rFonts w:hint="eastAsia"/>
                <w:color w:val="auto"/>
                <w:sz w:val="24"/>
              </w:rPr>
              <w:t>本项目</w:t>
            </w:r>
            <w:r>
              <w:rPr>
                <w:color w:val="auto"/>
                <w:sz w:val="24"/>
              </w:rPr>
              <w:t>医疗废水水质可参考下表中的平均值</w:t>
            </w:r>
            <w:r>
              <w:rPr>
                <w:rFonts w:hint="eastAsia"/>
                <w:color w:val="auto"/>
                <w:sz w:val="24"/>
              </w:rPr>
              <w:t>及</w:t>
            </w:r>
            <w:r>
              <w:rPr>
                <w:rFonts w:hint="eastAsia"/>
                <w:color w:val="auto"/>
                <w:spacing w:val="-2"/>
                <w:sz w:val="24"/>
              </w:rPr>
              <w:t>江西省一般生活污水水质</w:t>
            </w:r>
            <w:r>
              <w:rPr>
                <w:color w:val="auto"/>
                <w:sz w:val="24"/>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表4-</w:t>
            </w:r>
            <w:r>
              <w:rPr>
                <w:rFonts w:hint="eastAsia" w:ascii="Times New Roman" w:hAnsi="Times New Roman" w:eastAsia="宋体"/>
                <w:b/>
                <w:bCs/>
                <w:color w:val="auto"/>
                <w:sz w:val="21"/>
                <w:szCs w:val="21"/>
                <w:lang w:val="en-US" w:eastAsia="zh-CN"/>
              </w:rPr>
              <w:t>3</w:t>
            </w:r>
            <w:r>
              <w:rPr>
                <w:rFonts w:ascii="Times New Roman" w:hAnsi="Times New Roman" w:eastAsia="宋体"/>
                <w:b/>
                <w:bCs/>
                <w:color w:val="auto"/>
                <w:sz w:val="21"/>
                <w:szCs w:val="21"/>
              </w:rPr>
              <w:t xml:space="preserve"> 医疗废水水质  单位：mg/L</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133"/>
              <w:gridCol w:w="1133"/>
              <w:gridCol w:w="1133"/>
              <w:gridCol w:w="1274"/>
              <w:gridCol w:w="1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0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指标</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COD</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BOD</w:t>
                  </w:r>
                  <w:r>
                    <w:rPr>
                      <w:rFonts w:ascii="Times New Roman" w:hAnsi="Times New Roman" w:eastAsia="宋体"/>
                      <w:b/>
                      <w:bCs/>
                      <w:color w:val="auto"/>
                      <w:sz w:val="21"/>
                      <w:szCs w:val="21"/>
                      <w:vertAlign w:val="subscript"/>
                    </w:rPr>
                    <w:t>5</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SS</w:t>
                  </w:r>
                </w:p>
              </w:tc>
              <w:tc>
                <w:tcPr>
                  <w:tcW w:w="7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NH</w:t>
                  </w:r>
                  <w:r>
                    <w:rPr>
                      <w:rFonts w:ascii="Times New Roman" w:hAnsi="Times New Roman" w:eastAsia="宋体"/>
                      <w:b/>
                      <w:bCs/>
                      <w:color w:val="auto"/>
                      <w:sz w:val="21"/>
                      <w:szCs w:val="21"/>
                      <w:vertAlign w:val="subscript"/>
                    </w:rPr>
                    <w:t>3</w:t>
                  </w:r>
                  <w:r>
                    <w:rPr>
                      <w:rFonts w:ascii="Times New Roman" w:hAnsi="Times New Roman" w:eastAsia="宋体"/>
                      <w:b/>
                      <w:bCs/>
                      <w:color w:val="auto"/>
                      <w:sz w:val="21"/>
                      <w:szCs w:val="21"/>
                    </w:rPr>
                    <w:t>-N</w:t>
                  </w:r>
                </w:p>
              </w:tc>
              <w:tc>
                <w:tcPr>
                  <w:tcW w:w="11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粪大肠杆菌(个/L)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污水浓度范围</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150～300</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80～150</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40～120</w:t>
                  </w:r>
                </w:p>
              </w:tc>
              <w:tc>
                <w:tcPr>
                  <w:tcW w:w="7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10～50</w:t>
                  </w:r>
                </w:p>
              </w:tc>
              <w:tc>
                <w:tcPr>
                  <w:tcW w:w="11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1.0×10</w:t>
                  </w:r>
                  <w:r>
                    <w:rPr>
                      <w:rFonts w:ascii="Times New Roman" w:hAnsi="Times New Roman" w:eastAsia="宋体"/>
                      <w:color w:val="auto"/>
                      <w:sz w:val="21"/>
                      <w:szCs w:val="21"/>
                      <w:vertAlign w:val="superscript"/>
                    </w:rPr>
                    <w:t>6</w:t>
                  </w:r>
                  <w:r>
                    <w:rPr>
                      <w:rFonts w:ascii="Times New Roman" w:hAnsi="Times New Roman" w:eastAsia="宋体"/>
                      <w:color w:val="auto"/>
                      <w:sz w:val="21"/>
                      <w:szCs w:val="21"/>
                    </w:rPr>
                    <w:t xml:space="preserve"> ~3.0×10</w:t>
                  </w:r>
                  <w:r>
                    <w:rPr>
                      <w:rFonts w:ascii="Times New Roman" w:hAnsi="Times New Roman" w:eastAsia="宋体"/>
                      <w:color w:val="auto"/>
                      <w:sz w:val="21"/>
                      <w:szCs w:val="21"/>
                      <w:vertAlign w:val="superscript"/>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取</w:t>
                  </w:r>
                  <w:r>
                    <w:rPr>
                      <w:rFonts w:ascii="Times New Roman" w:hAnsi="Times New Roman" w:eastAsia="宋体"/>
                      <w:color w:val="auto"/>
                      <w:sz w:val="21"/>
                      <w:szCs w:val="21"/>
                    </w:rPr>
                    <w:t>值</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250</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w:t>
                  </w:r>
                  <w:r>
                    <w:rPr>
                      <w:rFonts w:hint="eastAsia" w:ascii="Times New Roman" w:hAnsi="Times New Roman" w:eastAsia="宋体"/>
                      <w:color w:val="auto"/>
                      <w:sz w:val="21"/>
                      <w:szCs w:val="21"/>
                    </w:rPr>
                    <w:t>30</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100</w:t>
                  </w:r>
                </w:p>
              </w:tc>
              <w:tc>
                <w:tcPr>
                  <w:tcW w:w="7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30</w:t>
                  </w:r>
                </w:p>
              </w:tc>
              <w:tc>
                <w:tcPr>
                  <w:tcW w:w="11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×10</w:t>
                  </w:r>
                  <w:r>
                    <w:rPr>
                      <w:rFonts w:hint="eastAsia" w:ascii="Times New Roman" w:hAnsi="Times New Roman" w:eastAsia="宋体"/>
                      <w:color w:val="auto"/>
                      <w:sz w:val="21"/>
                      <w:szCs w:val="21"/>
                      <w:vertAlign w:val="superscript"/>
                    </w:rPr>
                    <w:t>6</w:t>
                  </w:r>
                </w:p>
              </w:tc>
            </w:tr>
          </w:tbl>
          <w:p>
            <w:pPr>
              <w:pStyle w:val="15"/>
              <w:keepNext w:val="0"/>
              <w:keepLines w:val="0"/>
              <w:pageBreakBefore w:val="0"/>
              <w:widowControl/>
              <w:kinsoku/>
              <w:wordWrap/>
              <w:overflowPunct/>
              <w:topLinePunct w:val="0"/>
              <w:autoSpaceDE/>
              <w:autoSpaceDN/>
              <w:bidi w:val="0"/>
              <w:adjustRightInd w:val="0"/>
              <w:snapToGrid/>
              <w:spacing w:line="360" w:lineRule="auto"/>
              <w:ind w:firstLine="472"/>
              <w:textAlignment w:val="auto"/>
              <w:rPr>
                <w:rFonts w:hint="eastAsia" w:ascii="Times New Roman" w:hAnsi="Times New Roman" w:eastAsia="宋体"/>
                <w:color w:val="auto"/>
                <w:spacing w:val="-2"/>
                <w:sz w:val="24"/>
                <w:lang w:eastAsia="zh-CN"/>
              </w:rPr>
            </w:pPr>
            <w:r>
              <w:rPr>
                <w:rFonts w:hint="eastAsia" w:ascii="Times New Roman" w:hAnsi="Times New Roman"/>
                <w:color w:val="auto"/>
                <w:spacing w:val="-2"/>
                <w:sz w:val="24"/>
              </w:rPr>
              <w:t>项目非病区废水水质参考江西省一般生活污水水质，各污染物浓度详见表4-</w:t>
            </w:r>
            <w:r>
              <w:rPr>
                <w:rFonts w:hint="eastAsia" w:ascii="Times New Roman" w:hAnsi="Times New Roman"/>
                <w:color w:val="auto"/>
                <w:spacing w:val="-2"/>
                <w:sz w:val="24"/>
                <w:lang w:val="en-US" w:eastAsia="zh-CN"/>
              </w:rPr>
              <w:t>4</w:t>
            </w:r>
          </w:p>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表4-</w:t>
            </w:r>
            <w:r>
              <w:rPr>
                <w:rFonts w:hint="eastAsia" w:ascii="Times New Roman" w:hAnsi="Times New Roman" w:eastAsia="宋体"/>
                <w:b/>
                <w:bCs/>
                <w:color w:val="auto"/>
                <w:sz w:val="21"/>
                <w:szCs w:val="21"/>
                <w:lang w:val="en-US" w:eastAsia="zh-CN"/>
              </w:rPr>
              <w:t>4</w:t>
            </w:r>
            <w:r>
              <w:rPr>
                <w:rFonts w:hint="eastAsia" w:ascii="Times New Roman" w:hAnsi="Times New Roman" w:eastAsia="宋体"/>
                <w:b/>
                <w:bCs/>
                <w:color w:val="auto"/>
                <w:sz w:val="21"/>
                <w:szCs w:val="21"/>
              </w:rPr>
              <w:t xml:space="preserve">项目非病区废水水质  </w:t>
            </w:r>
            <w:r>
              <w:rPr>
                <w:rFonts w:ascii="Times New Roman" w:hAnsi="Times New Roman" w:eastAsia="宋体"/>
                <w:b/>
                <w:bCs/>
                <w:color w:val="auto"/>
                <w:sz w:val="21"/>
                <w:szCs w:val="21"/>
              </w:rPr>
              <w:t>单位：mg/L</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81"/>
              <w:gridCol w:w="1285"/>
              <w:gridCol w:w="1181"/>
              <w:gridCol w:w="963"/>
              <w:gridCol w:w="1270"/>
              <w:gridCol w:w="888"/>
              <w:gridCol w:w="9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73"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指标</w:t>
                  </w:r>
                </w:p>
              </w:tc>
              <w:tc>
                <w:tcPr>
                  <w:tcW w:w="774"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CODcr</w:t>
                  </w:r>
                </w:p>
              </w:tc>
              <w:tc>
                <w:tcPr>
                  <w:tcW w:w="711"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BOD</w:t>
                  </w:r>
                  <w:r>
                    <w:rPr>
                      <w:rFonts w:hint="eastAsia" w:ascii="Times New Roman" w:hAnsi="Times New Roman" w:eastAsia="宋体"/>
                      <w:color w:val="auto"/>
                      <w:spacing w:val="-2"/>
                      <w:sz w:val="21"/>
                      <w:vertAlign w:val="subscript"/>
                    </w:rPr>
                    <w:t>5</w:t>
                  </w:r>
                </w:p>
              </w:tc>
              <w:tc>
                <w:tcPr>
                  <w:tcW w:w="580"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SS</w:t>
                  </w:r>
                </w:p>
              </w:tc>
              <w:tc>
                <w:tcPr>
                  <w:tcW w:w="765"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NH</w:t>
                  </w:r>
                  <w:r>
                    <w:rPr>
                      <w:rFonts w:hint="eastAsia" w:ascii="Times New Roman" w:hAnsi="Times New Roman" w:eastAsia="宋体"/>
                      <w:color w:val="auto"/>
                      <w:spacing w:val="-2"/>
                      <w:sz w:val="21"/>
                      <w:vertAlign w:val="subscript"/>
                    </w:rPr>
                    <w:t>3</w:t>
                  </w:r>
                  <w:r>
                    <w:rPr>
                      <w:rFonts w:hint="eastAsia" w:ascii="Times New Roman" w:hAnsi="Times New Roman" w:eastAsia="宋体"/>
                      <w:color w:val="auto"/>
                      <w:spacing w:val="-2"/>
                      <w:sz w:val="21"/>
                    </w:rPr>
                    <w:t>-N</w:t>
                  </w:r>
                </w:p>
              </w:tc>
              <w:tc>
                <w:tcPr>
                  <w:tcW w:w="535"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TP</w:t>
                  </w:r>
                </w:p>
              </w:tc>
              <w:tc>
                <w:tcPr>
                  <w:tcW w:w="558"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73"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浓度（mg/L）</w:t>
                  </w:r>
                </w:p>
              </w:tc>
              <w:tc>
                <w:tcPr>
                  <w:tcW w:w="774"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220</w:t>
                  </w:r>
                </w:p>
              </w:tc>
              <w:tc>
                <w:tcPr>
                  <w:tcW w:w="711"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120</w:t>
                  </w:r>
                </w:p>
              </w:tc>
              <w:tc>
                <w:tcPr>
                  <w:tcW w:w="580"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150</w:t>
                  </w:r>
                </w:p>
              </w:tc>
              <w:tc>
                <w:tcPr>
                  <w:tcW w:w="765"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25</w:t>
                  </w:r>
                </w:p>
              </w:tc>
              <w:tc>
                <w:tcPr>
                  <w:tcW w:w="535"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3</w:t>
                  </w:r>
                </w:p>
              </w:tc>
              <w:tc>
                <w:tcPr>
                  <w:tcW w:w="558" w:type="pct"/>
                  <w:tcBorders>
                    <w:tl2br w:val="nil"/>
                    <w:tr2bl w:val="nil"/>
                  </w:tcBorders>
                  <w:vAlign w:val="center"/>
                </w:tcPr>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pacing w:val="-2"/>
                      <w:sz w:val="21"/>
                    </w:rPr>
                  </w:pPr>
                  <w:r>
                    <w:rPr>
                      <w:rFonts w:hint="eastAsia" w:ascii="Times New Roman" w:hAnsi="Times New Roman" w:eastAsia="宋体"/>
                      <w:color w:val="auto"/>
                      <w:spacing w:val="-2"/>
                      <w:sz w:val="21"/>
                    </w:rPr>
                    <w:t>30</w:t>
                  </w:r>
                </w:p>
              </w:tc>
            </w:tr>
          </w:tbl>
          <w:p>
            <w:pPr>
              <w:pStyle w:val="15"/>
              <w:keepNext w:val="0"/>
              <w:keepLines w:val="0"/>
              <w:pageBreakBefore w:val="0"/>
              <w:kinsoku/>
              <w:wordWrap/>
              <w:overflowPunct/>
              <w:topLinePunct w:val="0"/>
              <w:autoSpaceDE/>
              <w:autoSpaceDN/>
              <w:bidi w:val="0"/>
              <w:adjustRightInd w:val="0"/>
              <w:snapToGrid/>
              <w:spacing w:line="360" w:lineRule="auto"/>
              <w:ind w:firstLine="472"/>
              <w:textAlignment w:val="auto"/>
              <w:rPr>
                <w:rFonts w:ascii="Times New Roman" w:hAnsi="Times New Roman"/>
                <w:color w:val="auto"/>
                <w:spacing w:val="-2"/>
                <w:sz w:val="24"/>
              </w:rPr>
            </w:pPr>
            <w:r>
              <w:rPr>
                <w:rFonts w:hint="eastAsia" w:ascii="Times New Roman" w:hAnsi="Times New Roman" w:eastAsia="宋体" w:cs="Times New Roman"/>
                <w:b w:val="0"/>
                <w:color w:val="auto"/>
                <w:sz w:val="24"/>
                <w:szCs w:val="24"/>
                <w:lang w:val="en-US" w:eastAsia="zh-CN"/>
              </w:rPr>
              <w:t>LAS产生浓度参考《深圳科兴动保生物科技有限公司实验室新建项目》</w:t>
            </w:r>
            <w:r>
              <w:rPr>
                <w:rFonts w:hint="eastAsia" w:ascii="Times New Roman" w:hAnsi="Times New Roman"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项目洗衣过程也使用洗涤剂清洗后再漂洗，具有一定的可类比性</w:t>
            </w:r>
            <w:r>
              <w:rPr>
                <w:rFonts w:hint="eastAsia" w:ascii="Times New Roman" w:hAnsi="Times New Roman"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LAS产生浓度保守取较大值2.51mg/L。</w:t>
            </w:r>
            <w:r>
              <w:rPr>
                <w:rFonts w:hint="eastAsia" w:ascii="Times New Roman" w:hAnsi="Times New Roman"/>
                <w:color w:val="auto"/>
                <w:spacing w:val="-2"/>
                <w:sz w:val="24"/>
              </w:rPr>
              <w:t>项目产生的各类废水分区收集，然后进入院内污水处理站进行处理。食堂废水先通过隔油池进入化粪池，然后进入院内污水处理站，检验室废水分类收集后做危废处理，其他住院废水，医务人员办公废水等进入化粪池预处理后流入院内污水处理站进一步处理。项目废水经院内污水处理设备处理后，由市政污水管网排入温泉污水处理厂进一步处理。</w:t>
            </w:r>
          </w:p>
          <w:p>
            <w:pPr>
              <w:keepNext w:val="0"/>
              <w:keepLines w:val="0"/>
              <w:pageBreakBefore w:val="0"/>
              <w:kinsoku/>
              <w:wordWrap/>
              <w:overflowPunct/>
              <w:topLinePunct w:val="0"/>
              <w:autoSpaceDE/>
              <w:autoSpaceDN/>
              <w:bidi w:val="0"/>
              <w:adjustRightInd w:val="0"/>
              <w:snapToGrid/>
              <w:spacing w:line="360" w:lineRule="auto"/>
              <w:ind w:firstLine="472" w:firstLineChars="200"/>
              <w:textAlignment w:val="auto"/>
              <w:rPr>
                <w:color w:val="auto"/>
                <w:sz w:val="24"/>
              </w:rPr>
            </w:pPr>
            <w:r>
              <w:rPr>
                <w:rFonts w:hint="eastAsia"/>
                <w:color w:val="auto"/>
                <w:spacing w:val="-2"/>
                <w:sz w:val="24"/>
              </w:rPr>
              <w:t>本项目污水处理工艺</w:t>
            </w:r>
            <w:r>
              <w:rPr>
                <w:color w:val="auto"/>
                <w:sz w:val="24"/>
              </w:rPr>
              <w:t>采用“</w:t>
            </w:r>
            <w:r>
              <w:rPr>
                <w:rFonts w:hint="eastAsia"/>
                <w:color w:val="auto"/>
                <w:sz w:val="24"/>
              </w:rPr>
              <w:t>二级生化处理A/O +MBR膜+次氯酸钠消毒</w:t>
            </w:r>
            <w:r>
              <w:rPr>
                <w:color w:val="auto"/>
                <w:sz w:val="24"/>
              </w:rPr>
              <w:t>”工艺</w:t>
            </w:r>
            <w:r>
              <w:rPr>
                <w:rFonts w:hint="eastAsia"/>
                <w:color w:val="auto"/>
                <w:sz w:val="24"/>
              </w:rPr>
              <w:t>，本项目废水污染物去除率参考《遂溪县城月镇中心卫生院升级建设项目竣工验收监测报告》，该项目自建污水处理设施采用一体化设备处理废水，处理工艺为“生化+MBR膜+消毒”：COD平均去除率为90.5%；BOD</w:t>
            </w:r>
            <w:r>
              <w:rPr>
                <w:rFonts w:hint="eastAsia"/>
                <w:color w:val="auto"/>
                <w:sz w:val="24"/>
                <w:vertAlign w:val="subscript"/>
              </w:rPr>
              <w:t>5</w:t>
            </w:r>
            <w:r>
              <w:rPr>
                <w:rFonts w:hint="eastAsia"/>
                <w:color w:val="auto"/>
                <w:sz w:val="24"/>
              </w:rPr>
              <w:t>平均去除率为90.5%；SS平均去除率为84.5%；氨氮平均去除率为82%；总氮去除率为75.5%；总磷去除率为80.5%；粪大肠菌群去除率为100%，本环评取值99.99%。</w:t>
            </w:r>
            <w:r>
              <w:rPr>
                <w:rFonts w:hint="eastAsia" w:eastAsia="宋体" w:cs="Times New Roman"/>
                <w:b w:val="0"/>
                <w:color w:val="auto"/>
                <w:sz w:val="24"/>
                <w:szCs w:val="24"/>
                <w:lang w:val="en-US" w:eastAsia="zh-CN"/>
              </w:rPr>
              <w:t>生物法是含LAS废水的主要处理方法，可降解LAS的菌种包括邻单胞菌素的革兰氏阴性杆菌，黄单胞菌属的革兰氏阴性短杆菌等。对于LAS废水，在一般废水生物处理条件下，LAS的去除率可以达到80-95%</w:t>
            </w:r>
            <w:r>
              <w:rPr>
                <w:rFonts w:hint="eastAsia" w:cs="Times New Roman"/>
                <w:b w:val="0"/>
                <w:color w:val="auto"/>
                <w:sz w:val="24"/>
                <w:szCs w:val="24"/>
                <w:lang w:val="en-US" w:eastAsia="zh-CN"/>
              </w:rPr>
              <w:t>，本环评取80%。</w:t>
            </w:r>
          </w:p>
          <w:p>
            <w:pPr>
              <w:pStyle w:val="14"/>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cs="宋体"/>
                <w:bCs/>
                <w:color w:val="auto"/>
                <w:kern w:val="0"/>
                <w:sz w:val="24"/>
                <w:szCs w:val="30"/>
                <w:lang w:bidi="ar"/>
              </w:rPr>
            </w:pPr>
            <w:r>
              <w:rPr>
                <w:rFonts w:hint="eastAsia" w:cs="宋体"/>
                <w:bCs/>
                <w:color w:val="auto"/>
                <w:kern w:val="0"/>
                <w:sz w:val="24"/>
                <w:szCs w:val="30"/>
                <w:lang w:bidi="ar"/>
              </w:rPr>
              <w:t>综上，本项目A/O-MBR一体化设备对各污染物的去除率见表4-</w:t>
            </w:r>
            <w:r>
              <w:rPr>
                <w:rFonts w:hint="eastAsia" w:cs="宋体"/>
                <w:bCs/>
                <w:color w:val="auto"/>
                <w:kern w:val="0"/>
                <w:sz w:val="24"/>
                <w:szCs w:val="30"/>
                <w:lang w:val="en-US" w:eastAsia="zh-CN" w:bidi="ar"/>
              </w:rPr>
              <w:t>5</w:t>
            </w:r>
            <w:r>
              <w:rPr>
                <w:rFonts w:hint="eastAsia" w:cs="宋体"/>
                <w:bCs/>
                <w:color w:val="auto"/>
                <w:kern w:val="0"/>
                <w:sz w:val="24"/>
                <w:szCs w:val="30"/>
                <w:lang w:bidi="ar"/>
              </w:rPr>
              <w:t>，本项目污染物产排情况见表4-</w:t>
            </w:r>
            <w:r>
              <w:rPr>
                <w:rFonts w:hint="eastAsia" w:cs="宋体"/>
                <w:bCs/>
                <w:color w:val="auto"/>
                <w:kern w:val="0"/>
                <w:sz w:val="24"/>
                <w:szCs w:val="30"/>
                <w:lang w:val="en-US" w:eastAsia="zh-CN" w:bidi="ar"/>
              </w:rPr>
              <w:t>5</w:t>
            </w:r>
            <w:r>
              <w:rPr>
                <w:rFonts w:hint="eastAsia" w:cs="宋体"/>
                <w:bCs/>
                <w:color w:val="auto"/>
                <w:kern w:val="0"/>
                <w:sz w:val="24"/>
                <w:szCs w:val="30"/>
                <w:lang w:bidi="ar"/>
              </w:rPr>
              <w:t>。</w:t>
            </w:r>
          </w:p>
          <w:p>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rPr>
            </w:pPr>
            <w:r>
              <w:rPr>
                <w:rFonts w:hint="eastAsia" w:ascii="Times New Roman" w:hAnsi="Times New Roman" w:eastAsia="宋体"/>
                <w:b/>
                <w:bCs/>
                <w:color w:val="auto"/>
                <w:sz w:val="21"/>
              </w:rPr>
              <w:t>表4-</w:t>
            </w:r>
            <w:r>
              <w:rPr>
                <w:rFonts w:hint="eastAsia" w:ascii="Times New Roman" w:hAnsi="Times New Roman" w:eastAsia="宋体"/>
                <w:b/>
                <w:bCs/>
                <w:color w:val="auto"/>
                <w:sz w:val="21"/>
                <w:lang w:val="en-US" w:eastAsia="zh-CN"/>
              </w:rPr>
              <w:t>5</w:t>
            </w:r>
            <w:r>
              <w:rPr>
                <w:rFonts w:hint="eastAsia" w:ascii="Times New Roman" w:hAnsi="Times New Roman" w:eastAsia="宋体"/>
                <w:b/>
                <w:bCs/>
                <w:color w:val="auto"/>
                <w:sz w:val="21"/>
              </w:rPr>
              <w:t>污染物去除率一览表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9"/>
              <w:gridCol w:w="911"/>
              <w:gridCol w:w="911"/>
              <w:gridCol w:w="911"/>
              <w:gridCol w:w="911"/>
              <w:gridCol w:w="911"/>
              <w:gridCol w:w="911"/>
              <w:gridCol w:w="911"/>
              <w:gridCol w:w="9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602"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污染物</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COD</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BOD</w:t>
                  </w:r>
                  <w:r>
                    <w:rPr>
                      <w:rFonts w:hint="eastAsia" w:ascii="Times New Roman" w:hAnsi="Times New Roman" w:eastAsia="宋体"/>
                      <w:b/>
                      <w:bCs/>
                      <w:color w:val="auto"/>
                      <w:sz w:val="21"/>
                      <w:vertAlign w:val="subscript"/>
                    </w:rPr>
                    <w:t>5</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SS</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ascii="Times New Roman" w:hAnsi="Times New Roman" w:eastAsia="宋体"/>
                      <w:b/>
                      <w:bCs/>
                      <w:color w:val="auto"/>
                      <w:sz w:val="21"/>
                    </w:rPr>
                    <w:t>NH</w:t>
                  </w:r>
                  <w:r>
                    <w:rPr>
                      <w:rFonts w:ascii="Times New Roman" w:hAnsi="Times New Roman" w:eastAsia="宋体"/>
                      <w:b/>
                      <w:bCs/>
                      <w:color w:val="auto"/>
                      <w:sz w:val="21"/>
                      <w:vertAlign w:val="subscript"/>
                    </w:rPr>
                    <w:t>3</w:t>
                  </w:r>
                  <w:r>
                    <w:rPr>
                      <w:rFonts w:ascii="Times New Roman" w:hAnsi="Times New Roman" w:eastAsia="宋体"/>
                      <w:b/>
                      <w:bCs/>
                      <w:color w:val="auto"/>
                      <w:sz w:val="21"/>
                    </w:rPr>
                    <w:t>-N</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TP</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hint="eastAsia" w:ascii="Times New Roman" w:hAnsi="Times New Roman" w:eastAsia="宋体"/>
                      <w:b/>
                      <w:bCs/>
                      <w:color w:val="auto"/>
                      <w:sz w:val="21"/>
                    </w:rPr>
                    <w:t>TN</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hint="eastAsia" w:ascii="Times New Roman" w:hAnsi="Times New Roman" w:eastAsia="宋体"/>
                      <w:b/>
                      <w:bCs/>
                      <w:color w:val="auto"/>
                      <w:sz w:val="21"/>
                    </w:rPr>
                  </w:pPr>
                  <w:r>
                    <w:rPr>
                      <w:rFonts w:hint="eastAsia" w:ascii="Times New Roman" w:hAnsi="Times New Roman" w:eastAsia="宋体"/>
                      <w:b/>
                      <w:bCs/>
                      <w:color w:val="auto"/>
                      <w:sz w:val="21"/>
                      <w:lang w:val="en-US" w:eastAsia="zh-CN"/>
                    </w:rPr>
                    <w:t>LAS</w:t>
                  </w:r>
                </w:p>
              </w:tc>
              <w:tc>
                <w:tcPr>
                  <w:tcW w:w="551"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rPr>
                  </w:pPr>
                  <w:r>
                    <w:rPr>
                      <w:rFonts w:ascii="Times New Roman" w:hAnsi="Times New Roman" w:eastAsia="宋体"/>
                      <w:b/>
                      <w:bCs/>
                      <w:color w:val="auto"/>
                      <w:sz w:val="21"/>
                      <w:szCs w:val="21"/>
                    </w:rPr>
                    <w:t>粪大肠杆菌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去除率（%）</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90.5</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90.5</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kern w:val="0"/>
                      <w:sz w:val="21"/>
                      <w:lang w:bidi="ar"/>
                    </w:rPr>
                    <w:t>84.5</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82</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80.5</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75.5</w:t>
                  </w:r>
                </w:p>
              </w:tc>
              <w:tc>
                <w:tcPr>
                  <w:tcW w:w="549"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lang w:val="en-US" w:eastAsia="zh-CN"/>
                    </w:rPr>
                  </w:pPr>
                  <w:r>
                    <w:rPr>
                      <w:rFonts w:hint="eastAsia"/>
                      <w:color w:val="auto"/>
                      <w:sz w:val="21"/>
                      <w:lang w:val="en-US" w:eastAsia="zh-CN"/>
                    </w:rPr>
                    <w:t>80%</w:t>
                  </w:r>
                </w:p>
              </w:tc>
              <w:tc>
                <w:tcPr>
                  <w:tcW w:w="551" w:type="pct"/>
                  <w:tcBorders>
                    <w:tl2br w:val="nil"/>
                    <w:tr2bl w:val="nil"/>
                  </w:tcBorders>
                  <w:vAlign w:val="center"/>
                </w:tcPr>
                <w:p>
                  <w:pPr>
                    <w:pStyle w:val="14"/>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hint="eastAsia" w:ascii="Times New Roman" w:hAnsi="Times New Roman" w:eastAsia="宋体"/>
                      <w:color w:val="auto"/>
                      <w:sz w:val="21"/>
                    </w:rPr>
                    <w:t>99.99</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rPr>
              <w:t>4-</w:t>
            </w:r>
            <w:r>
              <w:rPr>
                <w:rFonts w:hint="eastAsia" w:ascii="Times New Roman" w:hAnsi="Times New Roman" w:eastAsia="宋体"/>
                <w:b/>
                <w:bCs/>
                <w:color w:val="auto"/>
                <w:sz w:val="21"/>
                <w:szCs w:val="21"/>
                <w:lang w:val="en-US" w:eastAsia="zh-CN"/>
              </w:rPr>
              <w:t>6</w:t>
            </w:r>
            <w:r>
              <w:rPr>
                <w:rFonts w:ascii="Times New Roman" w:hAnsi="Times New Roman" w:eastAsia="宋体"/>
                <w:b/>
                <w:bCs/>
                <w:color w:val="auto"/>
                <w:sz w:val="21"/>
                <w:szCs w:val="21"/>
              </w:rPr>
              <w:t>项目废水污染物产生、排放情况一览</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688"/>
              <w:gridCol w:w="955"/>
              <w:gridCol w:w="716"/>
              <w:gridCol w:w="797"/>
              <w:gridCol w:w="757"/>
              <w:gridCol w:w="791"/>
              <w:gridCol w:w="818"/>
              <w:gridCol w:w="887"/>
              <w:gridCol w:w="1077"/>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39" w:hRule="atLeast"/>
                <w:jc w:val="center"/>
              </w:trPr>
              <w:tc>
                <w:tcPr>
                  <w:tcW w:w="991" w:type="pct"/>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排放源</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COD</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BOD</w:t>
                  </w:r>
                  <w:r>
                    <w:rPr>
                      <w:rFonts w:ascii="Times New Roman" w:hAnsi="Times New Roman" w:eastAsia="宋体"/>
                      <w:b/>
                      <w:bCs/>
                      <w:color w:val="auto"/>
                      <w:sz w:val="21"/>
                      <w:szCs w:val="21"/>
                      <w:vertAlign w:val="subscript"/>
                    </w:rPr>
                    <w:t>5</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SS</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NH</w:t>
                  </w:r>
                  <w:r>
                    <w:rPr>
                      <w:rFonts w:ascii="Times New Roman" w:hAnsi="Times New Roman" w:eastAsia="宋体"/>
                      <w:b/>
                      <w:bCs/>
                      <w:color w:val="auto"/>
                      <w:sz w:val="21"/>
                      <w:szCs w:val="21"/>
                      <w:vertAlign w:val="subscript"/>
                    </w:rPr>
                    <w:t>3</w:t>
                  </w:r>
                  <w:r>
                    <w:rPr>
                      <w:rFonts w:ascii="Times New Roman" w:hAnsi="Times New Roman" w:eastAsia="宋体"/>
                      <w:b/>
                      <w:bCs/>
                      <w:color w:val="auto"/>
                      <w:sz w:val="21"/>
                      <w:szCs w:val="21"/>
                    </w:rPr>
                    <w:t>-N</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rPr>
                    <w:t>TN</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rPr>
                    <w:t>TP</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粪大肠菌群数</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eastAsia="宋体" w:cs="Times New Roman"/>
                      <w:b/>
                      <w:bCs/>
                      <w:color w:val="auto"/>
                      <w:sz w:val="21"/>
                      <w:szCs w:val="21"/>
                      <w:lang w:val="en-US" w:eastAsia="zh-CN"/>
                    </w:rPr>
                    <w:t>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79" w:hRule="atLeast"/>
                <w:jc w:val="center"/>
              </w:trPr>
              <w:tc>
                <w:tcPr>
                  <w:tcW w:w="415" w:type="pct"/>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病区</w:t>
                  </w:r>
                  <w:r>
                    <w:rPr>
                      <w:rFonts w:ascii="Times New Roman" w:hAnsi="Times New Roman" w:eastAsia="宋体"/>
                      <w:color w:val="auto"/>
                      <w:sz w:val="21"/>
                      <w:szCs w:val="21"/>
                    </w:rPr>
                    <w:t>废水（t/a）</w:t>
                  </w: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废水量（t/a）</w:t>
                  </w:r>
                </w:p>
              </w:tc>
              <w:tc>
                <w:tcPr>
                  <w:tcW w:w="4008" w:type="pct"/>
                  <w:gridSpan w:val="8"/>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1443.575</w:t>
                  </w:r>
                  <w:r>
                    <w:rPr>
                      <w:rFonts w:ascii="Times New Roman" w:hAnsi="Times New Roman" w:eastAsia="宋体"/>
                      <w:color w:val="auto"/>
                      <w:sz w:val="21"/>
                    </w:rPr>
                    <w:t>m</w:t>
                  </w:r>
                  <w:r>
                    <w:rPr>
                      <w:rFonts w:ascii="Times New Roman" w:hAnsi="Times New Roman" w:eastAsia="宋体"/>
                      <w:color w:val="auto"/>
                      <w:sz w:val="21"/>
                      <w:vertAlign w:val="superscript"/>
                    </w:rPr>
                    <w:t>3</w:t>
                  </w:r>
                  <w:r>
                    <w:rPr>
                      <w:rFonts w:ascii="Times New Roman" w:hAnsi="Times New Roman" w:eastAsia="宋体"/>
                      <w:color w:val="auto"/>
                      <w:sz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污染物产生浓度(mg/L)</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250</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130</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100</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×10</w:t>
                  </w:r>
                  <w:r>
                    <w:rPr>
                      <w:rFonts w:hint="eastAsia" w:ascii="Times New Roman" w:hAnsi="Times New Roman" w:eastAsia="宋体"/>
                      <w:color w:val="auto"/>
                      <w:sz w:val="21"/>
                      <w:szCs w:val="21"/>
                      <w:vertAlign w:val="superscript"/>
                    </w:rPr>
                    <w:t>6</w:t>
                  </w:r>
                  <w:r>
                    <w:rPr>
                      <w:rFonts w:ascii="Times New Roman" w:hAnsi="Times New Roman" w:eastAsia="宋体"/>
                      <w:color w:val="auto"/>
                      <w:sz w:val="21"/>
                      <w:szCs w:val="21"/>
                    </w:rPr>
                    <w:t>个/L</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cs="Times New Roman"/>
                      <w:color w:val="auto"/>
                      <w:sz w:val="21"/>
                      <w:szCs w:val="21"/>
                      <w:lang w:val="en-US" w:eastAsia="zh-CN"/>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31"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污染物产生量(t/a)</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0.361</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0.188</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0.144</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0.0433</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0.0433</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0.00433</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79" w:hRule="atLeast"/>
                <w:jc w:val="center"/>
              </w:trPr>
              <w:tc>
                <w:tcPr>
                  <w:tcW w:w="415" w:type="pct"/>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非病区废水</w:t>
                  </w:r>
                  <w:r>
                    <w:rPr>
                      <w:rFonts w:ascii="Times New Roman" w:hAnsi="Times New Roman" w:eastAsia="宋体"/>
                      <w:color w:val="auto"/>
                      <w:sz w:val="21"/>
                      <w:szCs w:val="21"/>
                    </w:rPr>
                    <w:t>（t/a）</w:t>
                  </w: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废水</w:t>
                  </w:r>
                  <w:r>
                    <w:rPr>
                      <w:rFonts w:ascii="Times New Roman" w:hAnsi="Times New Roman" w:eastAsia="宋体"/>
                      <w:color w:val="auto"/>
                      <w:sz w:val="21"/>
                      <w:szCs w:val="21"/>
                    </w:rPr>
                    <w:t>量（t/a）</w:t>
                  </w:r>
                </w:p>
              </w:tc>
              <w:tc>
                <w:tcPr>
                  <w:tcW w:w="4008" w:type="pct"/>
                  <w:gridSpan w:val="8"/>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rPr>
                  </w:pPr>
                  <w:r>
                    <w:rPr>
                      <w:rFonts w:hint="eastAsia" w:ascii="Times New Roman" w:hAnsi="Times New Roman" w:eastAsia="宋体"/>
                      <w:color w:val="auto"/>
                      <w:sz w:val="21"/>
                    </w:rPr>
                    <w:t>1698.71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污染物产生浓度(mg/L)</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w:t>
                  </w:r>
                  <w:r>
                    <w:rPr>
                      <w:rFonts w:hint="eastAsia" w:ascii="Times New Roman" w:hAnsi="Times New Roman" w:eastAsia="宋体"/>
                      <w:color w:val="auto"/>
                      <w:sz w:val="21"/>
                      <w:szCs w:val="21"/>
                    </w:rPr>
                    <w:t>2</w:t>
                  </w:r>
                  <w:r>
                    <w:rPr>
                      <w:rFonts w:ascii="Times New Roman" w:hAnsi="Times New Roman" w:eastAsia="宋体"/>
                      <w:color w:val="auto"/>
                      <w:sz w:val="21"/>
                      <w:szCs w:val="21"/>
                    </w:rPr>
                    <w:t>0</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120</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150</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49"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污染物产生量(t/a)</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0.374</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0.204</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0.255</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0.0425</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0.051</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0.0051</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91" w:hRule="atLeast"/>
                <w:jc w:val="center"/>
              </w:trPr>
              <w:tc>
                <w:tcPr>
                  <w:tcW w:w="415" w:type="pct"/>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color w:val="auto"/>
                      <w:sz w:val="21"/>
                      <w:szCs w:val="21"/>
                    </w:rPr>
                    <w:t>综合</w:t>
                  </w:r>
                  <w:r>
                    <w:rPr>
                      <w:rFonts w:ascii="Times New Roman" w:hAnsi="Times New Roman" w:eastAsia="宋体"/>
                      <w:color w:val="auto"/>
                      <w:sz w:val="21"/>
                      <w:szCs w:val="21"/>
                    </w:rPr>
                    <w:t>废水（t/a）</w:t>
                  </w: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废水量（t/a）</w:t>
                  </w:r>
                </w:p>
              </w:tc>
              <w:tc>
                <w:tcPr>
                  <w:tcW w:w="4008" w:type="pct"/>
                  <w:gridSpan w:val="8"/>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3142.285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91"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污染物产生浓度(mg/L)</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230</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130</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130</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28</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×10</w:t>
                  </w:r>
                  <w:r>
                    <w:rPr>
                      <w:rFonts w:hint="eastAsia" w:ascii="Times New Roman" w:hAnsi="Times New Roman" w:eastAsia="宋体"/>
                      <w:color w:val="auto"/>
                      <w:sz w:val="21"/>
                      <w:szCs w:val="21"/>
                      <w:vertAlign w:val="superscript"/>
                    </w:rPr>
                    <w:t>6</w:t>
                  </w:r>
                  <w:r>
                    <w:rPr>
                      <w:rFonts w:ascii="Times New Roman" w:hAnsi="Times New Roman" w:eastAsia="宋体"/>
                      <w:color w:val="auto"/>
                      <w:sz w:val="21"/>
                      <w:szCs w:val="21"/>
                    </w:rPr>
                    <w:t>个/L</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91"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污染物产生量（t/a）</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0.723</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0.4085</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0.4085</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0.088</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0.0945</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0.00945</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871"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污水处理措施</w:t>
                  </w:r>
                </w:p>
              </w:tc>
              <w:tc>
                <w:tcPr>
                  <w:tcW w:w="4008" w:type="pct"/>
                  <w:gridSpan w:val="8"/>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rPr>
                  </w:pPr>
                  <w:r>
                    <w:rPr>
                      <w:rFonts w:ascii="Times New Roman" w:hAnsi="Times New Roman" w:eastAsia="宋体"/>
                      <w:color w:val="auto"/>
                      <w:sz w:val="21"/>
                    </w:rPr>
                    <w:t>采用“</w:t>
                  </w:r>
                  <w:r>
                    <w:rPr>
                      <w:rFonts w:hint="eastAsia" w:ascii="Times New Roman" w:hAnsi="Times New Roman" w:eastAsia="宋体"/>
                      <w:color w:val="auto"/>
                      <w:sz w:val="21"/>
                    </w:rPr>
                    <w:t>二级生物处理A/O +MBR膜+次氯酸钠消毒</w:t>
                  </w:r>
                  <w:r>
                    <w:rPr>
                      <w:rFonts w:ascii="Times New Roman" w:hAnsi="Times New Roman" w:eastAsia="宋体"/>
                      <w:color w:val="auto"/>
                      <w:sz w:val="21"/>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29"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处理效率（%）</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90.5</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90.5</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84.5</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82</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75.5</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80.5</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99.99</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29"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处理后排放浓度</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21.85</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21.85</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35.65</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41.4</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56.35</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44.85</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200</w:t>
                  </w:r>
                  <w:r>
                    <w:rPr>
                      <w:rFonts w:ascii="Times New Roman" w:hAnsi="Times New Roman" w:eastAsia="宋体"/>
                      <w:color w:val="auto"/>
                      <w:sz w:val="21"/>
                      <w:szCs w:val="21"/>
                    </w:rPr>
                    <w:t>个/L</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631" w:hRule="atLeast"/>
                <w:jc w:val="center"/>
              </w:trPr>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7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处理后污染物产生量(t/a)</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0.0687</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0.0388</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0.0633</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0.0159</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0.0232</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0.00184</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991" w:type="pct"/>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本项目执行标准（mg/L）</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200</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100</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60</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24</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5000（MPN/L）</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510" w:hRule="atLeast"/>
                <w:jc w:val="center"/>
              </w:trPr>
              <w:tc>
                <w:tcPr>
                  <w:tcW w:w="991" w:type="pct"/>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(GB18918-2002)一级A</w:t>
                  </w:r>
                  <w:r>
                    <w:rPr>
                      <w:rFonts w:hint="eastAsia" w:ascii="Times New Roman" w:hAnsi="Times New Roman" w:eastAsia="宋体"/>
                      <w:color w:val="auto"/>
                      <w:sz w:val="21"/>
                      <w:szCs w:val="21"/>
                    </w:rPr>
                    <w:t>排放</w:t>
                  </w:r>
                  <w:r>
                    <w:rPr>
                      <w:rFonts w:ascii="Times New Roman" w:hAnsi="Times New Roman" w:eastAsia="宋体"/>
                      <w:color w:val="auto"/>
                      <w:sz w:val="21"/>
                      <w:szCs w:val="21"/>
                    </w:rPr>
                    <w:t>标准(mg/L)</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50</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10</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10</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5</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0.5</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1000（MPN/L）</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836" w:hRule="atLeast"/>
                <w:jc w:val="center"/>
              </w:trPr>
              <w:tc>
                <w:tcPr>
                  <w:tcW w:w="991" w:type="pct"/>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经污水处理厂处理后污染物排放量（t/a）</w:t>
                  </w:r>
                </w:p>
              </w:tc>
              <w:tc>
                <w:tcPr>
                  <w:tcW w:w="43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0.157</w:t>
                  </w:r>
                </w:p>
              </w:tc>
              <w:tc>
                <w:tcPr>
                  <w:tcW w:w="48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0.0314</w:t>
                  </w:r>
                </w:p>
              </w:tc>
              <w:tc>
                <w:tcPr>
                  <w:tcW w:w="45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0.0314</w:t>
                  </w:r>
                </w:p>
              </w:tc>
              <w:tc>
                <w:tcPr>
                  <w:tcW w:w="47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0.0157</w:t>
                  </w:r>
                </w:p>
              </w:tc>
              <w:tc>
                <w:tcPr>
                  <w:tcW w:w="49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0.0471</w:t>
                  </w:r>
                </w:p>
              </w:tc>
              <w:tc>
                <w:tcPr>
                  <w:tcW w:w="53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0.00157</w:t>
                  </w:r>
                </w:p>
              </w:tc>
              <w:tc>
                <w:tcPr>
                  <w:tcW w:w="64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p>
              </w:tc>
              <w:tc>
                <w:tcPr>
                  <w:tcW w:w="48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0.0015</w:t>
                  </w:r>
                </w:p>
              </w:tc>
            </w:tr>
          </w:tbl>
          <w:p>
            <w:pPr>
              <w:pStyle w:val="15"/>
              <w:keepNext w:val="0"/>
              <w:keepLines w:val="0"/>
              <w:pageBreakBefore w:val="0"/>
              <w:kinsoku/>
              <w:wordWrap/>
              <w:overflowPunct/>
              <w:topLinePunct w:val="0"/>
              <w:autoSpaceDE/>
              <w:autoSpaceDN/>
              <w:bidi w:val="0"/>
              <w:adjustRightInd w:val="0"/>
              <w:snapToGrid/>
              <w:spacing w:line="360" w:lineRule="auto"/>
              <w:ind w:firstLine="482"/>
              <w:textAlignment w:val="auto"/>
              <w:rPr>
                <w:rFonts w:ascii="Times New Roman" w:hAnsi="Times New Roman"/>
                <w:b/>
                <w:bCs/>
                <w:color w:val="auto"/>
                <w:sz w:val="24"/>
                <w:szCs w:val="24"/>
              </w:rPr>
            </w:pPr>
            <w:r>
              <w:rPr>
                <w:rFonts w:hint="eastAsia" w:ascii="Times New Roman" w:hAnsi="Times New Roman"/>
                <w:b/>
                <w:bCs/>
                <w:color w:val="auto"/>
                <w:sz w:val="24"/>
                <w:szCs w:val="24"/>
              </w:rPr>
              <w:t>（2）项目污水处理工艺可行性分析</w:t>
            </w:r>
          </w:p>
          <w:p>
            <w:pPr>
              <w:pStyle w:val="15"/>
              <w:keepNext w:val="0"/>
              <w:keepLines w:val="0"/>
              <w:pageBreakBefore w:val="0"/>
              <w:kinsoku/>
              <w:wordWrap/>
              <w:overflowPunct/>
              <w:topLinePunct w:val="0"/>
              <w:autoSpaceDE/>
              <w:autoSpaceDN/>
              <w:bidi w:val="0"/>
              <w:adjustRightInd w:val="0"/>
              <w:snapToGrid/>
              <w:spacing w:line="360" w:lineRule="auto"/>
              <w:ind w:firstLine="480"/>
              <w:textAlignment w:val="auto"/>
              <w:rPr>
                <w:rFonts w:ascii="Times New Roman" w:hAnsi="Times New Roman"/>
                <w:color w:val="auto"/>
                <w:sz w:val="24"/>
                <w:szCs w:val="24"/>
              </w:rPr>
            </w:pPr>
            <w:r>
              <w:rPr>
                <w:rFonts w:hint="eastAsia" w:ascii="Times New Roman" w:hAnsi="Times New Roman"/>
                <w:color w:val="auto"/>
                <w:sz w:val="24"/>
                <w:szCs w:val="24"/>
              </w:rPr>
              <w:t>1.处理规模</w:t>
            </w:r>
          </w:p>
          <w:p>
            <w:pPr>
              <w:pStyle w:val="15"/>
              <w:keepNext w:val="0"/>
              <w:keepLines w:val="0"/>
              <w:pageBreakBefore w:val="0"/>
              <w:kinsoku/>
              <w:wordWrap/>
              <w:overflowPunct/>
              <w:topLinePunct w:val="0"/>
              <w:autoSpaceDE/>
              <w:autoSpaceDN/>
              <w:bidi w:val="0"/>
              <w:adjustRightInd w:val="0"/>
              <w:snapToGrid/>
              <w:spacing w:line="360" w:lineRule="auto"/>
              <w:ind w:firstLine="480"/>
              <w:textAlignment w:val="auto"/>
              <w:rPr>
                <w:rFonts w:ascii="Times New Roman" w:hAnsi="Times New Roman"/>
                <w:color w:val="auto"/>
                <w:sz w:val="24"/>
              </w:rPr>
            </w:pPr>
            <w:r>
              <w:rPr>
                <w:rFonts w:hint="eastAsia" w:ascii="Times New Roman" w:hAnsi="Times New Roman"/>
                <w:color w:val="auto"/>
                <w:kern w:val="2"/>
                <w:sz w:val="24"/>
                <w:szCs w:val="24"/>
              </w:rPr>
              <w:t>根据本项目水平衡分析，本项目废水产生量为8.609</w:t>
            </w:r>
            <w:r>
              <w:rPr>
                <w:rFonts w:ascii="Times New Roman" w:hAnsi="Times New Roman"/>
                <w:color w:val="auto"/>
                <w:kern w:val="2"/>
                <w:sz w:val="24"/>
                <w:szCs w:val="24"/>
              </w:rPr>
              <w:t>m</w:t>
            </w:r>
            <w:r>
              <w:rPr>
                <w:rFonts w:ascii="Times New Roman" w:hAnsi="Times New Roman"/>
                <w:color w:val="auto"/>
                <w:kern w:val="2"/>
                <w:sz w:val="24"/>
                <w:szCs w:val="24"/>
                <w:vertAlign w:val="superscript"/>
              </w:rPr>
              <w:t>3</w:t>
            </w:r>
            <w:r>
              <w:rPr>
                <w:rFonts w:ascii="Times New Roman" w:hAnsi="Times New Roman"/>
                <w:color w:val="auto"/>
                <w:kern w:val="2"/>
                <w:sz w:val="24"/>
                <w:szCs w:val="24"/>
              </w:rPr>
              <w:t>/d</w:t>
            </w:r>
            <w:r>
              <w:rPr>
                <w:rFonts w:hint="eastAsia" w:ascii="Times New Roman" w:hAnsi="Times New Roman"/>
                <w:color w:val="auto"/>
                <w:kern w:val="2"/>
                <w:sz w:val="24"/>
                <w:szCs w:val="24"/>
              </w:rPr>
              <w:t>，为保证废水均能有效处理，本项目医疗污水处理设施设计规模为10</w:t>
            </w:r>
            <w:r>
              <w:rPr>
                <w:rFonts w:ascii="Times New Roman" w:hAnsi="Times New Roman"/>
                <w:color w:val="auto"/>
                <w:kern w:val="2"/>
                <w:sz w:val="24"/>
                <w:szCs w:val="24"/>
              </w:rPr>
              <w:t>m</w:t>
            </w:r>
            <w:r>
              <w:rPr>
                <w:rFonts w:ascii="Times New Roman" w:hAnsi="Times New Roman"/>
                <w:color w:val="auto"/>
                <w:kern w:val="2"/>
                <w:sz w:val="24"/>
                <w:szCs w:val="24"/>
                <w:vertAlign w:val="superscript"/>
              </w:rPr>
              <w:t>3</w:t>
            </w:r>
            <w:r>
              <w:rPr>
                <w:rFonts w:ascii="Times New Roman" w:hAnsi="Times New Roman"/>
                <w:color w:val="auto"/>
                <w:kern w:val="2"/>
                <w:sz w:val="24"/>
                <w:szCs w:val="24"/>
              </w:rPr>
              <w:t>/d</w:t>
            </w:r>
            <w:r>
              <w:rPr>
                <w:rFonts w:hint="eastAsia" w:ascii="Times New Roman" w:hAnsi="Times New Roman"/>
                <w:color w:val="auto"/>
                <w:kern w:val="2"/>
                <w:sz w:val="24"/>
                <w:szCs w:val="24"/>
              </w:rPr>
              <w:t>，从设计规模上可行。</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2.处理工艺</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eastAsia" w:eastAsia="宋体"/>
                <w:color w:val="auto"/>
                <w:sz w:val="24"/>
                <w:lang w:eastAsia="zh-CN"/>
              </w:rPr>
            </w:pPr>
            <w:r>
              <w:rPr>
                <w:rFonts w:hint="eastAsia"/>
                <w:color w:val="auto"/>
                <w:sz w:val="24"/>
              </w:rPr>
              <w:t>项目污水处理站采用“二级生化处理+MBR膜处理+次氯酸钠消毒”的处理工艺，根据《排污许可证申请与核发技术规范 医疗机构》（HJ 1105-2020）中表A.2医疗机构排污单位污水治理可行技术参照表，详见表4-</w:t>
            </w:r>
            <w:r>
              <w:rPr>
                <w:rFonts w:hint="eastAsia"/>
                <w:color w:val="auto"/>
                <w:sz w:val="24"/>
                <w:lang w:val="en-US" w:eastAsia="zh-CN"/>
              </w:rPr>
              <w:t>7</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rPr>
            </w:pPr>
            <w:r>
              <w:rPr>
                <w:rFonts w:ascii="Times New Roman" w:hAnsi="Times New Roman" w:eastAsia="宋体"/>
                <w:b/>
                <w:bCs/>
                <w:color w:val="auto"/>
                <w:sz w:val="21"/>
              </w:rPr>
              <w:t>表</w:t>
            </w:r>
            <w:r>
              <w:rPr>
                <w:rFonts w:hint="eastAsia" w:ascii="Times New Roman" w:hAnsi="Times New Roman" w:eastAsia="宋体"/>
                <w:b/>
                <w:bCs/>
                <w:color w:val="auto"/>
                <w:sz w:val="21"/>
              </w:rPr>
              <w:t>4-</w:t>
            </w:r>
            <w:r>
              <w:rPr>
                <w:rFonts w:hint="eastAsia" w:ascii="Times New Roman" w:hAnsi="Times New Roman" w:eastAsia="宋体"/>
                <w:b/>
                <w:bCs/>
                <w:color w:val="auto"/>
                <w:sz w:val="21"/>
                <w:lang w:val="en-US" w:eastAsia="zh-CN"/>
              </w:rPr>
              <w:t>7</w:t>
            </w:r>
            <w:r>
              <w:rPr>
                <w:rFonts w:ascii="Times New Roman" w:hAnsi="Times New Roman" w:eastAsia="宋体"/>
                <w:b/>
                <w:bCs/>
                <w:color w:val="auto"/>
                <w:sz w:val="21"/>
              </w:rPr>
              <w:t>医疗机构排污单位污水治理可行技术参照表</w:t>
            </w:r>
            <w:r>
              <w:rPr>
                <w:rFonts w:hint="eastAsia" w:ascii="Times New Roman" w:hAnsi="Times New Roman" w:eastAsia="宋体"/>
                <w:b/>
                <w:bCs/>
                <w:color w:val="auto"/>
                <w:sz w:val="21"/>
              </w:rPr>
              <w:t>（表 A.2）</w:t>
            </w:r>
          </w:p>
          <w:tbl>
            <w:tblPr>
              <w:tblStyle w:val="23"/>
              <w:tblW w:w="49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650"/>
              <w:gridCol w:w="1316"/>
              <w:gridCol w:w="3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污水类别</w:t>
                  </w:r>
                </w:p>
              </w:tc>
              <w:tc>
                <w:tcPr>
                  <w:tcW w:w="1012"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污染物种类</w:t>
                  </w:r>
                </w:p>
              </w:tc>
              <w:tc>
                <w:tcPr>
                  <w:tcW w:w="80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排放去向</w:t>
                  </w:r>
                </w:p>
              </w:tc>
              <w:tc>
                <w:tcPr>
                  <w:tcW w:w="2363"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pct"/>
                  <w:vMerge w:val="restart"/>
                  <w:vAlign w:val="center"/>
                </w:tcPr>
                <w:p>
                  <w:pPr>
                    <w:pStyle w:val="61"/>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医疗污水</w:t>
                  </w:r>
                </w:p>
              </w:tc>
              <w:tc>
                <w:tcPr>
                  <w:tcW w:w="1012"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18"/>
                      <w:sz w:val="21"/>
                      <w:szCs w:val="21"/>
                    </w:rPr>
                    <w:t>粪大肠菌群数、肠道致病菌、肠道病毒、化学需氧量、氨氮、pH值、悬浮物、五日生化需氧量、动植物油、石油类、阴离子表面活性剂、挥发酚、色度、总氰化物、总余氯</w:t>
                  </w:r>
                </w:p>
              </w:tc>
              <w:tc>
                <w:tcPr>
                  <w:tcW w:w="80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进入海域、江、河、湖库等水体</w:t>
                  </w:r>
                </w:p>
              </w:tc>
              <w:tc>
                <w:tcPr>
                  <w:tcW w:w="236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lang w:bidi="ar"/>
                    </w:rPr>
                    <w:t>二级处理</w:t>
                  </w:r>
                  <w:r>
                    <w:rPr>
                      <w:rFonts w:ascii="Times New Roman" w:hAnsi="Times New Roman" w:eastAsia="宋体"/>
                      <w:color w:val="auto"/>
                      <w:kern w:val="0"/>
                      <w:sz w:val="21"/>
                      <w:szCs w:val="21"/>
                      <w:lang w:bidi="ar"/>
                    </w:rPr>
                    <w:t>/</w:t>
                  </w:r>
                  <w:r>
                    <w:rPr>
                      <w:rFonts w:hint="eastAsia" w:ascii="Times New Roman" w:hAnsi="Times New Roman" w:eastAsia="宋体" w:cs="宋体"/>
                      <w:color w:val="auto"/>
                      <w:kern w:val="0"/>
                      <w:sz w:val="21"/>
                      <w:szCs w:val="21"/>
                      <w:lang w:bidi="ar"/>
                    </w:rPr>
                    <w:t>深度处理</w:t>
                  </w:r>
                  <w:r>
                    <w:rPr>
                      <w:rFonts w:ascii="Times New Roman" w:hAnsi="Times New Roman" w:eastAsia="宋体"/>
                      <w:color w:val="auto"/>
                      <w:kern w:val="0"/>
                      <w:sz w:val="21"/>
                      <w:szCs w:val="21"/>
                      <w:lang w:bidi="ar"/>
                    </w:rPr>
                    <w:t>+</w:t>
                  </w:r>
                  <w:r>
                    <w:rPr>
                      <w:rFonts w:hint="eastAsia" w:ascii="Times New Roman" w:hAnsi="Times New Roman" w:eastAsia="宋体" w:cs="宋体"/>
                      <w:color w:val="auto"/>
                      <w:kern w:val="0"/>
                      <w:sz w:val="21"/>
                      <w:szCs w:val="21"/>
                      <w:lang w:bidi="ar"/>
                    </w:rPr>
                    <w:t>消毒工艺。</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lang w:bidi="ar"/>
                    </w:rPr>
                    <w:t>二级处理包括：活性污泥法；生物膜法。</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lang w:bidi="ar"/>
                    </w:rPr>
                    <w:t>深度处理包括：絮凝沉淀法；砂滤法；活性炭法；臭氧氧化法；膜分离法；生物脱氮除磷法。</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消毒工艺：加氯消毒，臭氧法消毒，次氯酸钠法、二氧化氯法消毒、紫外线消毒等。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pct"/>
                  <w:vMerge w:val="continue"/>
                  <w:vAlign w:val="center"/>
                </w:tcPr>
                <w:p>
                  <w:pPr>
                    <w:pStyle w:val="61"/>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sz w:val="21"/>
                      <w:szCs w:val="21"/>
                      <w:lang w:eastAsia="zh-CN"/>
                    </w:rPr>
                  </w:pPr>
                </w:p>
              </w:tc>
              <w:tc>
                <w:tcPr>
                  <w:tcW w:w="1012"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p>
              </w:tc>
              <w:tc>
                <w:tcPr>
                  <w:tcW w:w="80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排入城镇污水处理厂</w:t>
                  </w:r>
                </w:p>
              </w:tc>
              <w:tc>
                <w:tcPr>
                  <w:tcW w:w="236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0"/>
                      <w:sz w:val="21"/>
                      <w:szCs w:val="21"/>
                      <w:lang w:bidi="ar"/>
                    </w:rPr>
                  </w:pPr>
                  <w:r>
                    <w:rPr>
                      <w:rFonts w:hint="eastAsia" w:ascii="Times New Roman" w:hAnsi="Times New Roman" w:eastAsia="宋体" w:cs="宋体"/>
                      <w:color w:val="auto"/>
                      <w:kern w:val="0"/>
                      <w:sz w:val="21"/>
                      <w:szCs w:val="21"/>
                      <w:lang w:bidi="ar"/>
                    </w:rPr>
                    <w:t>一级处理</w:t>
                  </w:r>
                  <w:r>
                    <w:rPr>
                      <w:rFonts w:ascii="Times New Roman" w:hAnsi="Times New Roman" w:eastAsia="宋体"/>
                      <w:color w:val="auto"/>
                      <w:kern w:val="0"/>
                      <w:sz w:val="21"/>
                      <w:szCs w:val="21"/>
                      <w:lang w:bidi="ar"/>
                    </w:rPr>
                    <w:t>/</w:t>
                  </w:r>
                  <w:r>
                    <w:rPr>
                      <w:rFonts w:hint="eastAsia" w:ascii="Times New Roman" w:hAnsi="Times New Roman" w:eastAsia="宋体" w:cs="宋体"/>
                      <w:color w:val="auto"/>
                      <w:kern w:val="0"/>
                      <w:sz w:val="21"/>
                      <w:szCs w:val="21"/>
                      <w:lang w:bidi="ar"/>
                    </w:rPr>
                    <w:t>一级强化处理</w:t>
                  </w:r>
                  <w:r>
                    <w:rPr>
                      <w:rFonts w:ascii="Times New Roman" w:hAnsi="Times New Roman" w:eastAsia="宋体"/>
                      <w:color w:val="auto"/>
                      <w:kern w:val="0"/>
                      <w:sz w:val="21"/>
                      <w:szCs w:val="21"/>
                      <w:lang w:bidi="ar"/>
                    </w:rPr>
                    <w:t>+</w:t>
                  </w:r>
                  <w:r>
                    <w:rPr>
                      <w:rFonts w:hint="eastAsia" w:ascii="Times New Roman" w:hAnsi="Times New Roman" w:eastAsia="宋体" w:cs="宋体"/>
                      <w:color w:val="auto"/>
                      <w:kern w:val="0"/>
                      <w:sz w:val="21"/>
                      <w:szCs w:val="21"/>
                      <w:lang w:bidi="ar"/>
                    </w:rPr>
                    <w:t>消毒工艺。</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lang w:bidi="ar"/>
                    </w:rPr>
                    <w:t>一级处理包括：筛滤法；沉淀法；气浮法；预曝气法。</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宋体"/>
                      <w:color w:val="auto"/>
                      <w:kern w:val="0"/>
                      <w:sz w:val="21"/>
                      <w:szCs w:val="21"/>
                      <w:lang w:bidi="ar"/>
                    </w:rPr>
                    <w:t>一级强化处理包括：化学混凝处理、机械过滤或不完全生物处理。</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消毒工艺：加氯消毒，臭氧法消毒，次氯酸钠法、二氧化氯法消毒、紫外线消毒等。</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本项目处理工艺属于</w:t>
            </w:r>
            <w:r>
              <w:rPr>
                <w:rFonts w:hint="eastAsia" w:cs="宋体"/>
                <w:color w:val="auto"/>
                <w:kern w:val="0"/>
                <w:sz w:val="24"/>
                <w:szCs w:val="21"/>
                <w:lang w:bidi="ar"/>
              </w:rPr>
              <w:t>二级处理</w:t>
            </w:r>
            <w:r>
              <w:rPr>
                <w:color w:val="auto"/>
                <w:kern w:val="0"/>
                <w:sz w:val="24"/>
                <w:szCs w:val="21"/>
                <w:lang w:bidi="ar"/>
              </w:rPr>
              <w:t>/</w:t>
            </w:r>
            <w:r>
              <w:rPr>
                <w:rFonts w:hint="eastAsia" w:cs="宋体"/>
                <w:color w:val="auto"/>
                <w:kern w:val="0"/>
                <w:sz w:val="24"/>
                <w:szCs w:val="21"/>
                <w:lang w:bidi="ar"/>
              </w:rPr>
              <w:t>深度处理</w:t>
            </w:r>
            <w:r>
              <w:rPr>
                <w:color w:val="auto"/>
                <w:kern w:val="0"/>
                <w:sz w:val="24"/>
                <w:szCs w:val="21"/>
                <w:lang w:bidi="ar"/>
              </w:rPr>
              <w:t>+</w:t>
            </w:r>
            <w:r>
              <w:rPr>
                <w:rFonts w:hint="eastAsia" w:cs="宋体"/>
                <w:color w:val="auto"/>
                <w:kern w:val="0"/>
                <w:sz w:val="24"/>
                <w:szCs w:val="21"/>
                <w:lang w:bidi="ar"/>
              </w:rPr>
              <w:t>消毒工艺，是可行技术，项目污水</w:t>
            </w:r>
            <w:r>
              <w:rPr>
                <w:color w:val="auto"/>
                <w:sz w:val="24"/>
              </w:rPr>
              <w:t>经该工艺处理后</w:t>
            </w:r>
            <w:r>
              <w:rPr>
                <w:rFonts w:hint="eastAsia"/>
                <w:color w:val="auto"/>
                <w:sz w:val="24"/>
              </w:rPr>
              <w:t>，</w:t>
            </w:r>
            <w:r>
              <w:rPr>
                <w:color w:val="auto"/>
                <w:sz w:val="24"/>
              </w:rPr>
              <w:t>废水能够稳定达标</w:t>
            </w:r>
            <w:r>
              <w:rPr>
                <w:rFonts w:hint="eastAsia"/>
                <w:color w:val="auto"/>
                <w:sz w:val="24"/>
              </w:rPr>
              <w:t>，满足</w:t>
            </w:r>
            <w:r>
              <w:rPr>
                <w:color w:val="auto"/>
                <w:sz w:val="24"/>
              </w:rPr>
              <w:t>《医疗机构水污染物排放标准》（GB18466-2005）表</w:t>
            </w:r>
            <w:r>
              <w:rPr>
                <w:rFonts w:hint="eastAsia"/>
                <w:color w:val="auto"/>
                <w:sz w:val="24"/>
              </w:rPr>
              <w:t>1</w:t>
            </w:r>
            <w:r>
              <w:rPr>
                <w:color w:val="auto"/>
                <w:sz w:val="24"/>
              </w:rPr>
              <w:t>中</w:t>
            </w:r>
            <w:r>
              <w:rPr>
                <w:rFonts w:hint="eastAsia"/>
                <w:color w:val="auto"/>
                <w:sz w:val="24"/>
              </w:rPr>
              <w:t>标准限值</w:t>
            </w:r>
            <w:r>
              <w:rPr>
                <w:color w:val="auto"/>
                <w:sz w:val="24"/>
              </w:rPr>
              <w:t>及</w:t>
            </w:r>
            <w:r>
              <w:rPr>
                <w:rFonts w:hint="eastAsia"/>
                <w:color w:val="auto"/>
                <w:sz w:val="24"/>
              </w:rPr>
              <w:t>温泉镇污水处理厂</w:t>
            </w:r>
            <w:r>
              <w:rPr>
                <w:color w:val="auto"/>
                <w:sz w:val="24"/>
              </w:rPr>
              <w:t>接管标准要求</w:t>
            </w:r>
            <w:r>
              <w:rPr>
                <w:rFonts w:hint="eastAsia"/>
                <w:color w:val="auto"/>
                <w:sz w:val="24"/>
              </w:rPr>
              <w:t>，本项目污水处理工艺是可行的。</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本项目消毒采用次氯酸钠消毒，次氯酸钠消毒是常见的消毒方法之一，其优点是</w:t>
            </w:r>
            <w:r>
              <w:rPr>
                <w:rFonts w:hint="eastAsia" w:cs="宋体"/>
                <w:color w:val="auto"/>
                <w:kern w:val="18"/>
                <w:sz w:val="24"/>
                <w:szCs w:val="21"/>
              </w:rPr>
              <w:t>无毒，运行、管理无危险性，同时具有较好的杀菌效果，常用于医院污水的消毒处理中。</w:t>
            </w:r>
            <w:r>
              <w:rPr>
                <w:rFonts w:hint="eastAsia"/>
                <w:color w:val="auto"/>
                <w:sz w:val="24"/>
              </w:rPr>
              <w:t>根据《医院污水处理工程技术规范》中二级处理及深度处理工艺出水的参考加氯量一般为15~25mg/L，本评价以20mg/L计，则通过加药装置每日投加12%次氯酸钠溶液约1.52kg，如实际污水量未达到设计规模，则次氯酸钠用量相应减少，本项目次氯酸钠消毒液直接购买配置好的浓度为12%的次氯酸钠溶液。</w:t>
            </w:r>
          </w:p>
          <w:p>
            <w:pPr>
              <w:pStyle w:val="21"/>
              <w:keepNext w:val="0"/>
              <w:keepLines w:val="0"/>
              <w:pageBreakBefore w:val="0"/>
              <w:kinsoku/>
              <w:wordWrap/>
              <w:overflowPunct/>
              <w:topLinePunct w:val="0"/>
              <w:autoSpaceDE/>
              <w:autoSpaceDN/>
              <w:bidi w:val="0"/>
              <w:adjustRightInd w:val="0"/>
              <w:snapToGrid/>
              <w:ind w:firstLine="481" w:firstLineChars="200"/>
              <w:jc w:val="both"/>
              <w:textAlignment w:val="auto"/>
              <w:rPr>
                <w:rFonts w:ascii="Times New Roman" w:hAnsi="Times New Roman"/>
                <w:b/>
                <w:color w:val="auto"/>
                <w:sz w:val="24"/>
              </w:rPr>
            </w:pPr>
            <w:r>
              <w:rPr>
                <w:rFonts w:hint="eastAsia" w:ascii="Times New Roman" w:hAnsi="Times New Roman"/>
                <w:b/>
                <w:color w:val="auto"/>
                <w:sz w:val="24"/>
              </w:rPr>
              <w:t>（3）废水排入温泉镇污水处理厂可行性分析</w:t>
            </w:r>
          </w:p>
          <w:p>
            <w:pPr>
              <w:pStyle w:val="21"/>
              <w:keepNext w:val="0"/>
              <w:keepLines w:val="0"/>
              <w:pageBreakBefore w:val="0"/>
              <w:kinsoku/>
              <w:wordWrap/>
              <w:overflowPunct/>
              <w:topLinePunct w:val="0"/>
              <w:autoSpaceDE/>
              <w:autoSpaceDN/>
              <w:bidi w:val="0"/>
              <w:adjustRightInd w:val="0"/>
              <w:snapToGrid/>
              <w:ind w:firstLine="480" w:firstLineChars="200"/>
              <w:jc w:val="both"/>
              <w:textAlignment w:val="auto"/>
              <w:rPr>
                <w:rFonts w:ascii="Times New Roman" w:hAnsi="Times New Roman"/>
                <w:bCs/>
                <w:color w:val="auto"/>
                <w:sz w:val="24"/>
              </w:rPr>
            </w:pPr>
            <w:r>
              <w:rPr>
                <w:rFonts w:hint="eastAsia" w:ascii="Times New Roman" w:hAnsi="Times New Roman"/>
                <w:bCs/>
                <w:color w:val="auto"/>
                <w:sz w:val="24"/>
              </w:rPr>
              <w:t>（1）水质接管可行性分析</w:t>
            </w:r>
          </w:p>
          <w:p>
            <w:pPr>
              <w:pStyle w:val="21"/>
              <w:keepNext w:val="0"/>
              <w:keepLines w:val="0"/>
              <w:pageBreakBefore w:val="0"/>
              <w:kinsoku/>
              <w:wordWrap/>
              <w:overflowPunct/>
              <w:topLinePunct w:val="0"/>
              <w:autoSpaceDE/>
              <w:autoSpaceDN/>
              <w:bidi w:val="0"/>
              <w:adjustRightInd w:val="0"/>
              <w:snapToGrid/>
              <w:ind w:firstLine="480" w:firstLineChars="200"/>
              <w:jc w:val="both"/>
              <w:textAlignment w:val="auto"/>
              <w:rPr>
                <w:rFonts w:ascii="Times New Roman" w:hAnsi="Times New Roman"/>
                <w:color w:val="auto"/>
                <w:sz w:val="24"/>
              </w:rPr>
            </w:pPr>
            <w:r>
              <w:rPr>
                <w:rFonts w:hint="eastAsia" w:ascii="Times New Roman" w:hAnsi="Times New Roman"/>
                <w:color w:val="auto"/>
                <w:sz w:val="24"/>
              </w:rPr>
              <w:t>本项目总排口废水为医院综合废水，经过院内化粪池、自建污水处理站处理后</w:t>
            </w:r>
            <w:r>
              <w:rPr>
                <w:rFonts w:hint="eastAsia" w:ascii="Times New Roman" w:hAnsi="Times New Roman"/>
                <w:color w:val="auto"/>
                <w:sz w:val="24"/>
                <w:szCs w:val="24"/>
              </w:rPr>
              <w:t>成分简单，不存在累积性污染物质</w:t>
            </w:r>
            <w:r>
              <w:rPr>
                <w:rFonts w:hint="eastAsia" w:ascii="Times New Roman" w:hAnsi="Times New Roman"/>
                <w:color w:val="auto"/>
                <w:sz w:val="24"/>
              </w:rPr>
              <w:t>，</w:t>
            </w:r>
            <w:r>
              <w:rPr>
                <w:rFonts w:ascii="Times New Roman" w:hAnsi="Times New Roman"/>
                <w:color w:val="auto"/>
                <w:sz w:val="24"/>
              </w:rPr>
              <w:t>出水水质</w:t>
            </w:r>
            <w:r>
              <w:rPr>
                <w:rFonts w:hint="eastAsia" w:ascii="Times New Roman" w:hAnsi="Times New Roman"/>
                <w:color w:val="auto"/>
                <w:sz w:val="24"/>
              </w:rPr>
              <w:t>能够</w:t>
            </w:r>
            <w:r>
              <w:rPr>
                <w:rFonts w:ascii="Times New Roman" w:hAnsi="Times New Roman"/>
                <w:color w:val="auto"/>
                <w:sz w:val="24"/>
              </w:rPr>
              <w:t>满足《医疗机构水污染物排放标准》（GB8466-2005）</w:t>
            </w:r>
            <w:r>
              <w:rPr>
                <w:rFonts w:ascii="Times New Roman" w:hAnsi="Times New Roman"/>
                <w:bCs/>
                <w:color w:val="auto"/>
                <w:sz w:val="24"/>
              </w:rPr>
              <w:t>表2预处理标准</w:t>
            </w:r>
            <w:r>
              <w:rPr>
                <w:rFonts w:ascii="Times New Roman" w:hAnsi="Times New Roman"/>
                <w:color w:val="auto"/>
                <w:sz w:val="24"/>
              </w:rPr>
              <w:t>及</w:t>
            </w:r>
            <w:r>
              <w:rPr>
                <w:rFonts w:hint="eastAsia" w:ascii="Times New Roman" w:hAnsi="Times New Roman"/>
                <w:color w:val="auto"/>
                <w:sz w:val="24"/>
              </w:rPr>
              <w:t>温泉</w:t>
            </w:r>
            <w:r>
              <w:rPr>
                <w:rFonts w:ascii="Times New Roman" w:hAnsi="Times New Roman"/>
                <w:color w:val="auto"/>
                <w:sz w:val="24"/>
              </w:rPr>
              <w:t>镇污水处理厂接管标准</w:t>
            </w:r>
            <w:r>
              <w:rPr>
                <w:rFonts w:hint="eastAsia" w:ascii="Times New Roman" w:hAnsi="Times New Roman"/>
                <w:color w:val="auto"/>
                <w:sz w:val="24"/>
              </w:rPr>
              <w:t>中较</w:t>
            </w:r>
            <w:r>
              <w:rPr>
                <w:rFonts w:ascii="Times New Roman" w:hAnsi="Times New Roman"/>
                <w:color w:val="auto"/>
                <w:sz w:val="24"/>
              </w:rPr>
              <w:t>严者</w:t>
            </w:r>
            <w:r>
              <w:rPr>
                <w:rFonts w:hint="eastAsia" w:ascii="Times New Roman" w:hAnsi="Times New Roman"/>
                <w:color w:val="auto"/>
                <w:sz w:val="24"/>
              </w:rPr>
              <w:t>。</w:t>
            </w:r>
          </w:p>
          <w:p>
            <w:pPr>
              <w:pStyle w:val="21"/>
              <w:keepNext w:val="0"/>
              <w:keepLines w:val="0"/>
              <w:pageBreakBefore w:val="0"/>
              <w:kinsoku/>
              <w:wordWrap/>
              <w:overflowPunct/>
              <w:topLinePunct w:val="0"/>
              <w:autoSpaceDE/>
              <w:autoSpaceDN/>
              <w:bidi w:val="0"/>
              <w:adjustRightInd w:val="0"/>
              <w:snapToGrid/>
              <w:ind w:firstLine="480" w:firstLineChars="200"/>
              <w:jc w:val="both"/>
              <w:textAlignment w:val="auto"/>
              <w:rPr>
                <w:rFonts w:ascii="Times New Roman" w:hAnsi="Times New Roman"/>
                <w:bCs/>
                <w:color w:val="auto"/>
                <w:sz w:val="24"/>
              </w:rPr>
            </w:pPr>
            <w:r>
              <w:rPr>
                <w:rFonts w:hint="eastAsia" w:ascii="Times New Roman" w:hAnsi="Times New Roman"/>
                <w:bCs/>
                <w:color w:val="auto"/>
                <w:sz w:val="24"/>
              </w:rPr>
              <w:t>（2）水量接管可行性分析</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rPr>
                <w:rFonts w:ascii="Times New Roman" w:hAnsi="Times New Roman"/>
                <w:color w:val="auto"/>
                <w:kern w:val="0"/>
                <w:sz w:val="24"/>
              </w:rPr>
            </w:pPr>
            <w:r>
              <w:rPr>
                <w:rFonts w:hint="eastAsia" w:ascii="Times New Roman" w:hAnsi="Times New Roman"/>
                <w:color w:val="auto"/>
                <w:sz w:val="24"/>
              </w:rPr>
              <w:t>温泉镇污水处理厂设计污水处理规模为1万吨/天，分两期建设，主要处理温泉集镇、温泉旅游度假区的污水，本项目建设地点在温泉镇污水处理厂的纳污范围，废水经院内污水处理站处理后通过市政污水管网排入温泉镇污水处理厂进一步处理。温泉镇污水处理厂目前接纳水量约5500</w:t>
            </w:r>
            <w:r>
              <w:rPr>
                <w:rFonts w:hint="eastAsia" w:ascii="Times New Roman" w:hAnsi="Times New Roman" w:cs="宋体"/>
                <w:color w:val="auto"/>
                <w:kern w:val="0"/>
                <w:sz w:val="24"/>
                <w:lang w:bidi="ar"/>
              </w:rPr>
              <w:t>m</w:t>
            </w:r>
            <w:r>
              <w:rPr>
                <w:rFonts w:hint="eastAsia" w:ascii="Times New Roman" w:hAnsi="Times New Roman" w:cs="宋体"/>
                <w:color w:val="auto"/>
                <w:kern w:val="0"/>
                <w:sz w:val="24"/>
                <w:vertAlign w:val="superscript"/>
                <w:lang w:bidi="ar"/>
              </w:rPr>
              <w:t>3</w:t>
            </w:r>
            <w:r>
              <w:rPr>
                <w:rFonts w:hint="eastAsia" w:ascii="Times New Roman" w:hAnsi="Times New Roman"/>
                <w:color w:val="auto"/>
                <w:sz w:val="24"/>
              </w:rPr>
              <w:t>/d，</w:t>
            </w:r>
            <w:r>
              <w:rPr>
                <w:rFonts w:hint="eastAsia" w:ascii="Times New Roman" w:hAnsi="Times New Roman"/>
                <w:color w:val="auto"/>
                <w:kern w:val="0"/>
                <w:sz w:val="24"/>
              </w:rPr>
              <w:t>本项目废水产生量为8.609t/d，占温泉镇污水处理厂剩余水量的0.19%，占有份额很小，</w:t>
            </w:r>
            <w:r>
              <w:rPr>
                <w:rFonts w:hint="eastAsia" w:ascii="Times New Roman" w:hAnsi="Times New Roman" w:cs="宋体"/>
                <w:color w:val="auto"/>
                <w:kern w:val="0"/>
                <w:sz w:val="24"/>
                <w:lang w:bidi="ar"/>
              </w:rPr>
              <w:t>温泉镇污水处理厂仍有余量接纳废水，</w:t>
            </w:r>
            <w:r>
              <w:rPr>
                <w:rFonts w:hint="eastAsia" w:ascii="Times New Roman" w:hAnsi="Times New Roman"/>
                <w:color w:val="auto"/>
                <w:sz w:val="24"/>
              </w:rPr>
              <w:t>项目卫生院废水经院内处理后排入温泉镇污水处理厂进一步处理是可行的</w:t>
            </w:r>
            <w:r>
              <w:rPr>
                <w:rFonts w:hint="eastAsia" w:ascii="Times New Roman" w:hAnsi="Times New Roman" w:cs="宋体"/>
                <w:color w:val="auto"/>
                <w:kern w:val="0"/>
                <w:sz w:val="24"/>
                <w:lang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color w:val="auto"/>
                <w:kern w:val="0"/>
                <w:sz w:val="24"/>
              </w:rPr>
            </w:pPr>
            <w:r>
              <w:rPr>
                <w:rFonts w:hint="eastAsia" w:ascii="Times New Roman" w:hAnsi="Times New Roman"/>
                <w:color w:val="auto"/>
                <w:sz w:val="24"/>
              </w:rPr>
              <w:t>温泉镇污水处理厂采用“改良型AAO生化池+</w:t>
            </w:r>
            <w:r>
              <w:rPr>
                <w:rFonts w:ascii="Times New Roman" w:hAnsi="Times New Roman"/>
                <w:color w:val="auto"/>
                <w:kern w:val="0"/>
                <w:sz w:val="24"/>
              </w:rPr>
              <w:t>高效沉淀池+精密</w:t>
            </w:r>
            <w:r>
              <w:rPr>
                <w:rFonts w:hint="eastAsia" w:ascii="Times New Roman" w:hAnsi="Times New Roman"/>
                <w:color w:val="auto"/>
                <w:kern w:val="0"/>
                <w:sz w:val="24"/>
              </w:rPr>
              <w:t>转简</w:t>
            </w:r>
            <w:r>
              <w:rPr>
                <w:rFonts w:ascii="Times New Roman" w:hAnsi="Times New Roman"/>
                <w:color w:val="auto"/>
                <w:kern w:val="0"/>
                <w:sz w:val="24"/>
              </w:rPr>
              <w:t>过滤</w:t>
            </w:r>
            <w:r>
              <w:rPr>
                <w:rFonts w:hint="eastAsia" w:ascii="Times New Roman" w:hAnsi="Times New Roman"/>
                <w:color w:val="auto"/>
                <w:kern w:val="0"/>
                <w:sz w:val="24"/>
              </w:rPr>
              <w:t>间”</w:t>
            </w:r>
            <w:r>
              <w:rPr>
                <w:rFonts w:ascii="Times New Roman" w:hAnsi="Times New Roman"/>
                <w:color w:val="auto"/>
                <w:kern w:val="0"/>
                <w:sz w:val="24"/>
              </w:rPr>
              <w:t>为主体的处理工艺</w:t>
            </w:r>
            <w:r>
              <w:rPr>
                <w:rFonts w:hint="eastAsia" w:ascii="Times New Roman" w:hAnsi="Times New Roman"/>
                <w:color w:val="auto"/>
                <w:sz w:val="24"/>
              </w:rPr>
              <w:t>，保证</w:t>
            </w:r>
            <w:r>
              <w:rPr>
                <w:rFonts w:ascii="Times New Roman" w:hAnsi="Times New Roman"/>
                <w:color w:val="auto"/>
                <w:kern w:val="0"/>
                <w:sz w:val="24"/>
              </w:rPr>
              <w:t>出水</w:t>
            </w:r>
            <w:r>
              <w:rPr>
                <w:rFonts w:hint="eastAsia" w:ascii="Times New Roman" w:hAnsi="Times New Roman"/>
                <w:bCs/>
                <w:color w:val="auto"/>
                <w:sz w:val="24"/>
              </w:rPr>
              <w:t>达到《城镇污水处理厂污染物排放标准》（GB18918-2002）一级A排放标准，尾水最终汇入鄱阳湖</w:t>
            </w:r>
            <w:r>
              <w:rPr>
                <w:rFonts w:ascii="Times New Roman" w:hAnsi="Times New Roman"/>
                <w:color w:val="auto"/>
                <w:kern w:val="0"/>
                <w:sz w:val="24"/>
              </w:rPr>
              <w:t>。</w:t>
            </w:r>
          </w:p>
          <w:p>
            <w:pPr>
              <w:keepNext w:val="0"/>
              <w:keepLines w:val="0"/>
              <w:pageBreakBefore w:val="0"/>
              <w:widowControl/>
              <w:kinsoku/>
              <w:wordWrap/>
              <w:overflowPunct/>
              <w:topLinePunct w:val="0"/>
              <w:autoSpaceDE/>
              <w:autoSpaceDN/>
              <w:bidi w:val="0"/>
              <w:adjustRightInd w:val="0"/>
              <w:snapToGrid/>
              <w:spacing w:line="360" w:lineRule="auto"/>
              <w:ind w:firstLine="481" w:firstLineChars="200"/>
              <w:textAlignment w:val="auto"/>
              <w:rPr>
                <w:b/>
                <w:color w:val="auto"/>
                <w:kern w:val="0"/>
                <w:sz w:val="24"/>
              </w:rPr>
            </w:pPr>
            <w:r>
              <w:rPr>
                <w:rFonts w:hint="eastAsia"/>
                <w:b/>
                <w:color w:val="auto"/>
                <w:kern w:val="0"/>
                <w:sz w:val="24"/>
              </w:rPr>
              <w:t>（4）</w:t>
            </w:r>
            <w:r>
              <w:rPr>
                <w:b/>
                <w:color w:val="auto"/>
                <w:kern w:val="0"/>
                <w:sz w:val="24"/>
              </w:rPr>
              <w:t>废</w:t>
            </w:r>
            <w:r>
              <w:rPr>
                <w:rFonts w:hint="eastAsia"/>
                <w:b/>
                <w:color w:val="auto"/>
                <w:kern w:val="0"/>
                <w:sz w:val="24"/>
              </w:rPr>
              <w:t>水</w:t>
            </w:r>
            <w:r>
              <w:rPr>
                <w:b/>
                <w:color w:val="auto"/>
                <w:kern w:val="0"/>
                <w:sz w:val="24"/>
              </w:rPr>
              <w:t>监测要求</w:t>
            </w:r>
          </w:p>
          <w:p>
            <w:pPr>
              <w:keepNext w:val="0"/>
              <w:keepLines w:val="0"/>
              <w:pageBreakBefore w:val="0"/>
              <w:kinsoku/>
              <w:wordWrap/>
              <w:overflowPunct/>
              <w:topLinePunct w:val="0"/>
              <w:autoSpaceDE/>
              <w:autoSpaceDN/>
              <w:bidi w:val="0"/>
              <w:adjustRightInd w:val="0"/>
              <w:snapToGrid/>
              <w:spacing w:line="360" w:lineRule="auto"/>
              <w:ind w:firstLine="480" w:firstLineChars="200"/>
              <w:jc w:val="left"/>
              <w:textAlignment w:val="auto"/>
              <w:rPr>
                <w:bCs/>
                <w:color w:val="auto"/>
                <w:kern w:val="0"/>
                <w:sz w:val="24"/>
              </w:rPr>
            </w:pPr>
            <w:r>
              <w:rPr>
                <w:color w:val="auto"/>
                <w:sz w:val="24"/>
              </w:rPr>
              <w:t>根据《</w:t>
            </w:r>
            <w:r>
              <w:rPr>
                <w:rFonts w:hint="eastAsia"/>
                <w:color w:val="auto"/>
                <w:sz w:val="24"/>
              </w:rPr>
              <w:t>排污许可证申请与核发技术规范 医疗机构</w:t>
            </w:r>
            <w:r>
              <w:rPr>
                <w:color w:val="auto"/>
                <w:sz w:val="24"/>
              </w:rPr>
              <w:t>》</w:t>
            </w:r>
            <w:r>
              <w:rPr>
                <w:rFonts w:hint="eastAsia"/>
                <w:color w:val="auto"/>
                <w:sz w:val="24"/>
              </w:rPr>
              <w:t>（HJ1105-2020）</w:t>
            </w:r>
            <w:r>
              <w:rPr>
                <w:color w:val="auto"/>
                <w:sz w:val="24"/>
              </w:rPr>
              <w:t>，确定</w:t>
            </w:r>
            <w:r>
              <w:rPr>
                <w:rFonts w:hint="eastAsia"/>
                <w:color w:val="auto"/>
                <w:sz w:val="24"/>
              </w:rPr>
              <w:t>本</w:t>
            </w:r>
            <w:r>
              <w:rPr>
                <w:color w:val="auto"/>
                <w:sz w:val="24"/>
              </w:rPr>
              <w:t>项目</w:t>
            </w:r>
            <w:r>
              <w:rPr>
                <w:rFonts w:hint="eastAsia"/>
                <w:color w:val="auto"/>
                <w:sz w:val="24"/>
              </w:rPr>
              <w:t>废水</w:t>
            </w:r>
            <w:r>
              <w:rPr>
                <w:color w:val="auto"/>
                <w:sz w:val="24"/>
              </w:rPr>
              <w:t>污染源监测计划</w:t>
            </w:r>
            <w:r>
              <w:rPr>
                <w:rFonts w:hint="eastAsia"/>
                <w:color w:val="auto"/>
                <w:sz w:val="24"/>
              </w:rPr>
              <w:t>如下：</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rPr>
            </w:pPr>
            <w:r>
              <w:rPr>
                <w:rFonts w:ascii="Times New Roman" w:hAnsi="Times New Roman" w:eastAsia="宋体"/>
                <w:b/>
                <w:bCs/>
                <w:color w:val="auto"/>
                <w:sz w:val="21"/>
              </w:rPr>
              <w:t>表</w:t>
            </w:r>
            <w:r>
              <w:rPr>
                <w:rFonts w:hint="eastAsia" w:ascii="Times New Roman" w:hAnsi="Times New Roman" w:eastAsia="宋体"/>
                <w:b/>
                <w:bCs/>
                <w:color w:val="auto"/>
                <w:sz w:val="21"/>
              </w:rPr>
              <w:t>4-</w:t>
            </w:r>
            <w:r>
              <w:rPr>
                <w:rFonts w:hint="eastAsia" w:ascii="Times New Roman" w:hAnsi="Times New Roman" w:eastAsia="宋体"/>
                <w:b/>
                <w:bCs/>
                <w:color w:val="auto"/>
                <w:sz w:val="21"/>
                <w:lang w:val="en-US" w:eastAsia="zh-CN"/>
              </w:rPr>
              <w:t>8</w:t>
            </w:r>
            <w:r>
              <w:rPr>
                <w:rFonts w:hint="eastAsia" w:ascii="Times New Roman" w:hAnsi="Times New Roman" w:eastAsia="宋体"/>
                <w:b/>
                <w:bCs/>
                <w:color w:val="auto"/>
                <w:sz w:val="21"/>
              </w:rPr>
              <w:t>废水</w:t>
            </w:r>
            <w:r>
              <w:rPr>
                <w:rFonts w:ascii="Times New Roman" w:hAnsi="Times New Roman" w:eastAsia="宋体"/>
                <w:b/>
                <w:bCs/>
                <w:color w:val="auto"/>
                <w:sz w:val="21"/>
              </w:rPr>
              <w:t>监测计划一览表</w:t>
            </w:r>
          </w:p>
          <w:tbl>
            <w:tblPr>
              <w:tblStyle w:val="23"/>
              <w:tblW w:w="49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4679"/>
              <w:gridCol w:w="2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监测点位</w:t>
                  </w:r>
                </w:p>
              </w:tc>
              <w:tc>
                <w:tcPr>
                  <w:tcW w:w="285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监测指标</w:t>
                  </w:r>
                </w:p>
              </w:tc>
              <w:tc>
                <w:tcPr>
                  <w:tcW w:w="138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color w:val="auto"/>
                      <w:kern w:val="18"/>
                      <w:sz w:val="21"/>
                      <w:szCs w:val="21"/>
                    </w:rPr>
                  </w:pPr>
                  <w:r>
                    <w:rPr>
                      <w:rFonts w:hint="eastAsia" w:ascii="Times New Roman" w:hAnsi="Times New Roman" w:eastAsia="宋体" w:cs="宋体"/>
                      <w:b/>
                      <w:color w:val="auto"/>
                      <w:kern w:val="18"/>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pct"/>
                  <w:vMerge w:val="restart"/>
                  <w:vAlign w:val="center"/>
                </w:tcPr>
                <w:p>
                  <w:pPr>
                    <w:pStyle w:val="61"/>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污水总排放口</w:t>
                  </w:r>
                </w:p>
              </w:tc>
              <w:tc>
                <w:tcPr>
                  <w:tcW w:w="285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流量</w:t>
                  </w:r>
                </w:p>
              </w:tc>
              <w:tc>
                <w:tcPr>
                  <w:tcW w:w="138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18"/>
                      <w:sz w:val="21"/>
                      <w:szCs w:val="21"/>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pct"/>
                  <w:vMerge w:val="continue"/>
                  <w:vAlign w:val="center"/>
                </w:tcPr>
                <w:p>
                  <w:pPr>
                    <w:pStyle w:val="61"/>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auto"/>
                      <w:sz w:val="21"/>
                      <w:szCs w:val="21"/>
                      <w:lang w:eastAsia="zh-CN"/>
                    </w:rPr>
                  </w:pPr>
                </w:p>
              </w:tc>
              <w:tc>
                <w:tcPr>
                  <w:tcW w:w="285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ascii="Times New Roman" w:hAnsi="Times New Roman" w:eastAsia="宋体"/>
                      <w:color w:val="auto"/>
                      <w:kern w:val="0"/>
                      <w:sz w:val="21"/>
                      <w:szCs w:val="21"/>
                      <w:lang w:bidi="ar"/>
                    </w:rPr>
                    <w:t>pH</w:t>
                  </w:r>
                  <w:r>
                    <w:rPr>
                      <w:rFonts w:hint="eastAsia" w:ascii="Times New Roman" w:hAnsi="Times New Roman" w:eastAsia="宋体" w:cs="宋体"/>
                      <w:color w:val="auto"/>
                      <w:kern w:val="0"/>
                      <w:sz w:val="21"/>
                      <w:szCs w:val="21"/>
                      <w:lang w:bidi="ar"/>
                    </w:rPr>
                    <w:t>值</w:t>
                  </w:r>
                </w:p>
              </w:tc>
              <w:tc>
                <w:tcPr>
                  <w:tcW w:w="13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olor w:val="auto"/>
                      <w:kern w:val="0"/>
                      <w:sz w:val="21"/>
                      <w:szCs w:val="21"/>
                      <w:lang w:bidi="ar"/>
                    </w:rPr>
                    <w:t>12小时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pct"/>
                  <w:vMerge w:val="continue"/>
                  <w:vAlign w:val="center"/>
                </w:tcPr>
                <w:p>
                  <w:pPr>
                    <w:pStyle w:val="61"/>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auto"/>
                      <w:sz w:val="21"/>
                      <w:szCs w:val="21"/>
                      <w:lang w:eastAsia="zh-CN"/>
                    </w:rPr>
                  </w:pPr>
                </w:p>
              </w:tc>
              <w:tc>
                <w:tcPr>
                  <w:tcW w:w="285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化学需氧量、悬浮物</w:t>
                  </w:r>
                </w:p>
              </w:tc>
              <w:tc>
                <w:tcPr>
                  <w:tcW w:w="13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pct"/>
                  <w:vMerge w:val="continue"/>
                  <w:vAlign w:val="center"/>
                </w:tcPr>
                <w:p>
                  <w:pPr>
                    <w:pStyle w:val="61"/>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auto"/>
                      <w:sz w:val="21"/>
                      <w:szCs w:val="21"/>
                      <w:lang w:eastAsia="zh-CN"/>
                    </w:rPr>
                  </w:pPr>
                </w:p>
              </w:tc>
              <w:tc>
                <w:tcPr>
                  <w:tcW w:w="285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粪大肠菌群数</w:t>
                  </w:r>
                </w:p>
              </w:tc>
              <w:tc>
                <w:tcPr>
                  <w:tcW w:w="13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pct"/>
                  <w:vMerge w:val="continue"/>
                  <w:vAlign w:val="center"/>
                </w:tcPr>
                <w:p>
                  <w:pPr>
                    <w:pStyle w:val="61"/>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eastAsia="宋体" w:cs="宋体"/>
                      <w:color w:val="auto"/>
                      <w:sz w:val="21"/>
                      <w:szCs w:val="21"/>
                      <w:lang w:eastAsia="zh-CN"/>
                    </w:rPr>
                  </w:pPr>
                </w:p>
              </w:tc>
              <w:tc>
                <w:tcPr>
                  <w:tcW w:w="285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0"/>
                      <w:sz w:val="21"/>
                      <w:szCs w:val="21"/>
                      <w:lang w:bidi="ar"/>
                    </w:rPr>
                    <w:t>五日生化需氧量、石油类、挥发酚、动植物油、阴离子表面活性剂、总氰化物</w:t>
                  </w:r>
                </w:p>
              </w:tc>
              <w:tc>
                <w:tcPr>
                  <w:tcW w:w="13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auto"/>
                      <w:kern w:val="18"/>
                      <w:sz w:val="21"/>
                      <w:szCs w:val="21"/>
                    </w:rPr>
                  </w:pPr>
                  <w:r>
                    <w:rPr>
                      <w:rFonts w:hint="eastAsia" w:ascii="Times New Roman" w:hAnsi="Times New Roman" w:eastAsia="宋体" w:cs="宋体"/>
                      <w:color w:val="auto"/>
                      <w:kern w:val="18"/>
                      <w:sz w:val="21"/>
                      <w:szCs w:val="21"/>
                    </w:rPr>
                    <w:t>季度</w:t>
                  </w:r>
                </w:p>
              </w:tc>
            </w:tr>
          </w:tbl>
          <w:p>
            <w:pPr>
              <w:keepNext w:val="0"/>
              <w:keepLines w:val="0"/>
              <w:pageBreakBefore w:val="0"/>
              <w:widowControl w:val="0"/>
              <w:kinsoku/>
              <w:wordWrap/>
              <w:overflowPunct/>
              <w:topLinePunct w:val="0"/>
              <w:autoSpaceDE/>
              <w:autoSpaceDN/>
              <w:bidi w:val="0"/>
              <w:adjustRightInd w:val="0"/>
              <w:snapToGrid/>
              <w:textAlignment w:val="auto"/>
              <w:rPr>
                <w:b/>
                <w:bCs/>
                <w:color w:val="auto"/>
                <w:sz w:val="24"/>
              </w:rPr>
            </w:pPr>
            <w:r>
              <w:rPr>
                <w:rFonts w:hint="eastAsia"/>
                <w:b/>
                <w:bCs/>
                <w:color w:val="auto"/>
                <w:sz w:val="24"/>
              </w:rPr>
              <w:t>3、噪声</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（1）噪声源强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rPr>
            </w:pPr>
            <w:r>
              <w:rPr>
                <w:rFonts w:hint="eastAsia"/>
                <w:color w:val="auto"/>
                <w:sz w:val="24"/>
              </w:rPr>
              <w:t>本项目的噪声</w:t>
            </w:r>
            <w:r>
              <w:rPr>
                <w:bCs/>
                <w:color w:val="auto"/>
                <w:sz w:val="24"/>
              </w:rPr>
              <w:t>主要来源于</w:t>
            </w:r>
            <w:r>
              <w:rPr>
                <w:rFonts w:hint="eastAsia"/>
                <w:bCs/>
                <w:color w:val="auto"/>
                <w:sz w:val="24"/>
              </w:rPr>
              <w:t>风机</w:t>
            </w:r>
            <w:r>
              <w:rPr>
                <w:bCs/>
                <w:color w:val="auto"/>
                <w:sz w:val="24"/>
              </w:rPr>
              <w:t>、</w:t>
            </w:r>
            <w:r>
              <w:rPr>
                <w:rFonts w:hint="eastAsia"/>
                <w:bCs/>
                <w:color w:val="auto"/>
                <w:sz w:val="24"/>
              </w:rPr>
              <w:t>水泵等设备</w:t>
            </w:r>
            <w:r>
              <w:rPr>
                <w:rFonts w:hint="eastAsia"/>
                <w:color w:val="auto"/>
                <w:sz w:val="24"/>
              </w:rPr>
              <w:t>运行产生的噪声，同时项目水泵、备用发电机等大噪声设备置于地下一层密闭空间内，</w:t>
            </w:r>
            <w:r>
              <w:rPr>
                <w:rFonts w:hint="eastAsia"/>
                <w:color w:val="auto"/>
                <w:sz w:val="24"/>
                <w:lang w:val="en-US" w:eastAsia="zh-CN"/>
              </w:rPr>
              <w:t>属于室内声源，</w:t>
            </w:r>
            <w:r>
              <w:rPr>
                <w:rFonts w:hint="eastAsia"/>
                <w:color w:val="auto"/>
                <w:sz w:val="24"/>
              </w:rPr>
              <w:t>到达地面噪声很小，项目噪声源的排放特征及处置措施见表4-</w:t>
            </w:r>
            <w:r>
              <w:rPr>
                <w:rFonts w:hint="eastAsia"/>
                <w:color w:val="auto"/>
                <w:sz w:val="24"/>
                <w:lang w:val="en-US" w:eastAsia="zh-CN"/>
              </w:rPr>
              <w:t>9</w:t>
            </w:r>
            <w:r>
              <w:rPr>
                <w:rFonts w:hint="eastAsia"/>
                <w:color w:val="auto"/>
                <w:sz w:val="24"/>
              </w:rPr>
              <w:t>。</w:t>
            </w:r>
          </w:p>
          <w:p>
            <w:pPr>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表4-</w:t>
            </w:r>
            <w:r>
              <w:rPr>
                <w:rFonts w:hint="eastAsia" w:ascii="Times New Roman" w:hAnsi="Times New Roman" w:eastAsia="宋体"/>
                <w:b/>
                <w:bCs/>
                <w:color w:val="auto"/>
                <w:sz w:val="21"/>
                <w:szCs w:val="21"/>
                <w:lang w:val="en-US" w:eastAsia="zh-CN"/>
              </w:rPr>
              <w:t>9</w:t>
            </w:r>
            <w:r>
              <w:rPr>
                <w:rFonts w:hint="eastAsia"/>
                <w:b/>
                <w:bCs/>
                <w:color w:val="auto"/>
                <w:sz w:val="21"/>
                <w:szCs w:val="21"/>
                <w:lang w:val="en-US" w:eastAsia="zh-CN"/>
              </w:rPr>
              <w:t xml:space="preserve"> </w:t>
            </w:r>
            <w:r>
              <w:rPr>
                <w:rFonts w:hint="eastAsia" w:ascii="Times New Roman" w:hAnsi="Times New Roman" w:eastAsia="宋体"/>
                <w:b/>
                <w:bCs/>
                <w:color w:val="auto"/>
                <w:sz w:val="21"/>
                <w:szCs w:val="21"/>
              </w:rPr>
              <w:t>项目噪声源排放特征及处置措施单位：dB（A）</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57" w:type="dxa"/>
                <w:bottom w:w="28" w:type="dxa"/>
                <w:right w:w="57" w:type="dxa"/>
              </w:tblCellMar>
            </w:tblPr>
            <w:tblGrid>
              <w:gridCol w:w="380"/>
              <w:gridCol w:w="599"/>
              <w:gridCol w:w="705"/>
              <w:gridCol w:w="762"/>
              <w:gridCol w:w="541"/>
              <w:gridCol w:w="450"/>
              <w:gridCol w:w="470"/>
              <w:gridCol w:w="704"/>
              <w:gridCol w:w="705"/>
              <w:gridCol w:w="743"/>
              <w:gridCol w:w="823"/>
              <w:gridCol w:w="743"/>
              <w:gridCol w:w="6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734" w:hRule="atLeast"/>
              </w:trPr>
              <w:tc>
                <w:tcPr>
                  <w:tcW w:w="229"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361"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声源名称</w:t>
                  </w:r>
                </w:p>
              </w:tc>
              <w:tc>
                <w:tcPr>
                  <w:tcW w:w="425"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声压级/dB（A）</w:t>
                  </w:r>
                </w:p>
              </w:tc>
              <w:tc>
                <w:tcPr>
                  <w:tcW w:w="459"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声源控制措施</w:t>
                  </w:r>
                </w:p>
              </w:tc>
              <w:tc>
                <w:tcPr>
                  <w:tcW w:w="881" w:type="pct"/>
                  <w:gridSpan w:val="3"/>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空间相对位置/m</w:t>
                  </w:r>
                </w:p>
              </w:tc>
              <w:tc>
                <w:tcPr>
                  <w:tcW w:w="424"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距室内边界距离/m</w:t>
                  </w:r>
                </w:p>
              </w:tc>
              <w:tc>
                <w:tcPr>
                  <w:tcW w:w="425"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室内边界声级/dB（A）</w:t>
                  </w:r>
                </w:p>
              </w:tc>
              <w:tc>
                <w:tcPr>
                  <w:tcW w:w="448"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运行时段</w:t>
                  </w:r>
                </w:p>
              </w:tc>
              <w:tc>
                <w:tcPr>
                  <w:tcW w:w="496"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建筑物插入损失/dB（A）</w:t>
                  </w:r>
                </w:p>
              </w:tc>
              <w:tc>
                <w:tcPr>
                  <w:tcW w:w="847" w:type="pct"/>
                  <w:gridSpan w:val="2"/>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建筑物外噪声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12" w:hRule="atLeast"/>
              </w:trPr>
              <w:tc>
                <w:tcPr>
                  <w:tcW w:w="22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361"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25"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5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326"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X</w:t>
                  </w:r>
                </w:p>
              </w:tc>
              <w:tc>
                <w:tcPr>
                  <w:tcW w:w="271"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Y</w:t>
                  </w:r>
                </w:p>
              </w:tc>
              <w:tc>
                <w:tcPr>
                  <w:tcW w:w="283"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Z</w:t>
                  </w:r>
                </w:p>
              </w:tc>
              <w:tc>
                <w:tcPr>
                  <w:tcW w:w="424"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25"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48"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96"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847" w:type="pct"/>
                  <w:gridSpan w:val="2"/>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985" w:hRule="atLeast"/>
              </w:trPr>
              <w:tc>
                <w:tcPr>
                  <w:tcW w:w="22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361"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25"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5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326"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271"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283"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24"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25"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48"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96"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声压级/dB（A）</w:t>
                  </w:r>
                </w:p>
              </w:tc>
              <w:tc>
                <w:tcPr>
                  <w:tcW w:w="39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建筑物外距离/m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82" w:hRule="atLeast"/>
              </w:trPr>
              <w:tc>
                <w:tcPr>
                  <w:tcW w:w="22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361" w:type="pct"/>
                  <w:tcBorders>
                    <w:tl2br w:val="nil"/>
                    <w:tr2bl w:val="nil"/>
                  </w:tcBorders>
                  <w:vAlign w:val="center"/>
                </w:tcPr>
                <w:p>
                  <w:pPr>
                    <w:keepNext w:val="0"/>
                    <w:keepLines w:val="0"/>
                    <w:pageBreakBefore w:val="0"/>
                    <w:widowControl/>
                    <w:kinsoku/>
                    <w:wordWrap/>
                    <w:overflowPunct/>
                    <w:topLinePunct w:val="0"/>
                    <w:bidi w:val="0"/>
                    <w:adjustRightInd w:val="0"/>
                    <w:snapToGrid w:val="0"/>
                    <w:ind w:firstLine="0" w:firstLineChars="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水泵</w:t>
                  </w:r>
                </w:p>
              </w:tc>
              <w:tc>
                <w:tcPr>
                  <w:tcW w:w="42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80</w:t>
                  </w:r>
                </w:p>
              </w:tc>
              <w:tc>
                <w:tcPr>
                  <w:tcW w:w="459" w:type="pct"/>
                  <w:vMerge w:val="restar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墙壁隔声、减震，选用低噪声设备</w:t>
                  </w:r>
                </w:p>
              </w:tc>
              <w:tc>
                <w:tcPr>
                  <w:tcW w:w="32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-26</w:t>
                  </w:r>
                </w:p>
              </w:tc>
              <w:tc>
                <w:tcPr>
                  <w:tcW w:w="271"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12</w:t>
                  </w:r>
                </w:p>
              </w:tc>
              <w:tc>
                <w:tcPr>
                  <w:tcW w:w="283"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24"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w:t>
                  </w:r>
                </w:p>
              </w:tc>
              <w:tc>
                <w:tcPr>
                  <w:tcW w:w="425"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80</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24h/d</w:t>
                  </w:r>
                </w:p>
              </w:tc>
              <w:tc>
                <w:tcPr>
                  <w:tcW w:w="49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55</w:t>
                  </w:r>
                </w:p>
              </w:tc>
              <w:tc>
                <w:tcPr>
                  <w:tcW w:w="39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734" w:hRule="atLeast"/>
              </w:trPr>
              <w:tc>
                <w:tcPr>
                  <w:tcW w:w="22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361" w:type="pct"/>
                  <w:tcBorders>
                    <w:tl2br w:val="nil"/>
                    <w:tr2bl w:val="nil"/>
                  </w:tcBorders>
                  <w:vAlign w:val="center"/>
                </w:tcPr>
                <w:p>
                  <w:pPr>
                    <w:keepNext w:val="0"/>
                    <w:keepLines w:val="0"/>
                    <w:pageBreakBefore w:val="0"/>
                    <w:widowControl/>
                    <w:kinsoku/>
                    <w:wordWrap/>
                    <w:overflowPunct/>
                    <w:topLinePunct w:val="0"/>
                    <w:bidi w:val="0"/>
                    <w:adjustRightInd w:val="0"/>
                    <w:snapToGrid w:val="0"/>
                    <w:ind w:firstLine="0" w:firstLineChars="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污泥泵</w:t>
                  </w:r>
                </w:p>
              </w:tc>
              <w:tc>
                <w:tcPr>
                  <w:tcW w:w="42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80</w:t>
                  </w:r>
                </w:p>
              </w:tc>
              <w:tc>
                <w:tcPr>
                  <w:tcW w:w="45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p>
              </w:tc>
              <w:tc>
                <w:tcPr>
                  <w:tcW w:w="32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-26</w:t>
                  </w:r>
                </w:p>
              </w:tc>
              <w:tc>
                <w:tcPr>
                  <w:tcW w:w="271"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12</w:t>
                  </w:r>
                </w:p>
              </w:tc>
              <w:tc>
                <w:tcPr>
                  <w:tcW w:w="283"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24"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w:t>
                  </w:r>
                </w:p>
              </w:tc>
              <w:tc>
                <w:tcPr>
                  <w:tcW w:w="425"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80</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24h/d</w:t>
                  </w:r>
                </w:p>
              </w:tc>
              <w:tc>
                <w:tcPr>
                  <w:tcW w:w="49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55</w:t>
                  </w:r>
                </w:p>
              </w:tc>
              <w:tc>
                <w:tcPr>
                  <w:tcW w:w="39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42" w:hRule="atLeast"/>
              </w:trPr>
              <w:tc>
                <w:tcPr>
                  <w:tcW w:w="22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361" w:type="pct"/>
                  <w:tcBorders>
                    <w:tl2br w:val="nil"/>
                    <w:tr2bl w:val="nil"/>
                  </w:tcBorders>
                  <w:vAlign w:val="center"/>
                </w:tcPr>
                <w:p>
                  <w:pPr>
                    <w:pStyle w:val="59"/>
                    <w:keepNext w:val="0"/>
                    <w:keepLines w:val="0"/>
                    <w:pageBreakBefore w:val="0"/>
                    <w:kinsoku/>
                    <w:wordWrap/>
                    <w:overflowPunct/>
                    <w:topLinePunct w:val="0"/>
                    <w:bidi w:val="0"/>
                    <w:adjustRightInd w:val="0"/>
                    <w:snapToGrid w:val="0"/>
                    <w:ind w:firstLine="0" w:firstLineChars="0"/>
                    <w:textAlignment w:val="auto"/>
                    <w:rPr>
                      <w:rFonts w:hint="default" w:ascii="Times New Roman" w:hAnsi="Times New Roman" w:eastAsia="宋体" w:cs="宋体"/>
                      <w:color w:val="auto"/>
                      <w:sz w:val="21"/>
                      <w:szCs w:val="21"/>
                    </w:rPr>
                  </w:pPr>
                  <w:r>
                    <w:rPr>
                      <w:rFonts w:ascii="Times New Roman" w:hAnsi="Times New Roman" w:eastAsia="宋体" w:cs="宋体"/>
                      <w:color w:val="auto"/>
                      <w:sz w:val="21"/>
                      <w:szCs w:val="21"/>
                    </w:rPr>
                    <w:t>风机</w:t>
                  </w:r>
                </w:p>
              </w:tc>
              <w:tc>
                <w:tcPr>
                  <w:tcW w:w="42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75</w:t>
                  </w:r>
                </w:p>
              </w:tc>
              <w:tc>
                <w:tcPr>
                  <w:tcW w:w="45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p>
              </w:tc>
              <w:tc>
                <w:tcPr>
                  <w:tcW w:w="32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w:t>
                  </w:r>
                </w:p>
              </w:tc>
              <w:tc>
                <w:tcPr>
                  <w:tcW w:w="271"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283"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12</w:t>
                  </w:r>
                </w:p>
              </w:tc>
              <w:tc>
                <w:tcPr>
                  <w:tcW w:w="424"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w:t>
                  </w:r>
                </w:p>
              </w:tc>
              <w:tc>
                <w:tcPr>
                  <w:tcW w:w="425"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75</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6h/d</w:t>
                  </w:r>
                </w:p>
              </w:tc>
              <w:tc>
                <w:tcPr>
                  <w:tcW w:w="49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50</w:t>
                  </w:r>
                </w:p>
              </w:tc>
              <w:tc>
                <w:tcPr>
                  <w:tcW w:w="39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987" w:hRule="atLeast"/>
              </w:trPr>
              <w:tc>
                <w:tcPr>
                  <w:tcW w:w="22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361" w:type="pct"/>
                  <w:tcBorders>
                    <w:tl2br w:val="nil"/>
                    <w:tr2bl w:val="nil"/>
                  </w:tcBorders>
                  <w:vAlign w:val="center"/>
                </w:tcPr>
                <w:p>
                  <w:pPr>
                    <w:pStyle w:val="59"/>
                    <w:keepNext w:val="0"/>
                    <w:keepLines w:val="0"/>
                    <w:pageBreakBefore w:val="0"/>
                    <w:kinsoku/>
                    <w:wordWrap/>
                    <w:overflowPunct/>
                    <w:topLinePunct w:val="0"/>
                    <w:bidi w:val="0"/>
                    <w:adjustRightInd w:val="0"/>
                    <w:snapToGrid w:val="0"/>
                    <w:ind w:firstLine="0" w:firstLineChars="0"/>
                    <w:textAlignment w:val="auto"/>
                    <w:rPr>
                      <w:rFonts w:hint="default" w:ascii="Times New Roman" w:hAnsi="Times New Roman" w:eastAsia="宋体" w:cs="宋体"/>
                      <w:color w:val="auto"/>
                      <w:sz w:val="21"/>
                      <w:szCs w:val="21"/>
                    </w:rPr>
                  </w:pPr>
                  <w:r>
                    <w:rPr>
                      <w:rFonts w:ascii="Times New Roman" w:hAnsi="Times New Roman" w:eastAsia="宋体" w:cs="宋体"/>
                      <w:color w:val="auto"/>
                      <w:sz w:val="21"/>
                      <w:szCs w:val="21"/>
                    </w:rPr>
                    <w:t>备用发电机</w:t>
                  </w:r>
                </w:p>
              </w:tc>
              <w:tc>
                <w:tcPr>
                  <w:tcW w:w="42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85</w:t>
                  </w:r>
                </w:p>
              </w:tc>
              <w:tc>
                <w:tcPr>
                  <w:tcW w:w="459" w:type="pct"/>
                  <w:vMerge w:val="continue"/>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p>
              </w:tc>
              <w:tc>
                <w:tcPr>
                  <w:tcW w:w="32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-20</w:t>
                  </w:r>
                </w:p>
              </w:tc>
              <w:tc>
                <w:tcPr>
                  <w:tcW w:w="271"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9</w:t>
                  </w:r>
                </w:p>
              </w:tc>
              <w:tc>
                <w:tcPr>
                  <w:tcW w:w="283"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24"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425"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78.98</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96"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448"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53.98</w:t>
                  </w:r>
                </w:p>
              </w:tc>
              <w:tc>
                <w:tcPr>
                  <w:tcW w:w="399" w:type="pct"/>
                  <w:tcBorders>
                    <w:tl2br w:val="nil"/>
                    <w:tr2bl w:val="nil"/>
                  </w:tcBorders>
                  <w:vAlign w:val="center"/>
                </w:tcPr>
                <w:p>
                  <w:pPr>
                    <w:pStyle w:val="35"/>
                    <w:keepNext w:val="0"/>
                    <w:keepLines w:val="0"/>
                    <w:pageBreakBefore w:val="0"/>
                    <w:kinsoku/>
                    <w:wordWrap/>
                    <w:overflowPunct/>
                    <w:topLinePunct w:val="0"/>
                    <w:bidi w:val="0"/>
                    <w:adjustRightInd w:val="0"/>
                    <w:snapToGrid w:val="0"/>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r>
          </w:tbl>
          <w:p>
            <w:pPr>
              <w:keepNext w:val="0"/>
              <w:keepLines w:val="0"/>
              <w:pageBreakBefore w:val="0"/>
              <w:widowControl w:val="0"/>
              <w:kinsoku/>
              <w:wordWrap/>
              <w:overflowPunct/>
              <w:topLinePunct w:val="0"/>
              <w:autoSpaceDE/>
              <w:autoSpaceDN/>
              <w:bidi w:val="0"/>
              <w:adjustRightInd w:val="0"/>
              <w:snapToGrid/>
              <w:ind w:firstLine="421" w:firstLineChars="200"/>
              <w:textAlignment w:val="auto"/>
              <w:rPr>
                <w:rFonts w:ascii="Times New Roman" w:hAnsi="Times New Roman" w:eastAsia="宋体"/>
                <w:b/>
                <w:bCs/>
                <w:color w:val="auto"/>
                <w:sz w:val="21"/>
                <w:szCs w:val="21"/>
              </w:rPr>
            </w:pPr>
            <w:r>
              <w:rPr>
                <w:rFonts w:hint="eastAsia" w:ascii="Times New Roman" w:hAnsi="Times New Roman" w:eastAsia="宋体" w:cs="宋体"/>
                <w:b/>
                <w:bCs/>
                <w:color w:val="auto"/>
                <w:sz w:val="21"/>
                <w:szCs w:val="21"/>
              </w:rPr>
              <w:t>注：表中坐标以厂界中心（东经：115度54分8.042秒，北纬：29度25分4.069秒）为坐标原点，正东方向为X轴正方向，正北方向为Y轴方向。</w:t>
            </w:r>
          </w:p>
          <w:p>
            <w:pPr>
              <w:keepNext w:val="0"/>
              <w:keepLines w:val="0"/>
              <w:pageBreakBefore w:val="0"/>
              <w:widowControl w:val="0"/>
              <w:kinsoku/>
              <w:overflowPunct/>
              <w:topLinePunct w:val="0"/>
              <w:autoSpaceDE/>
              <w:autoSpaceDN/>
              <w:bidi w:val="0"/>
              <w:adjustRightInd w:val="0"/>
              <w:snapToGrid/>
              <w:spacing w:line="360" w:lineRule="auto"/>
              <w:ind w:firstLine="482"/>
              <w:textAlignment w:val="auto"/>
              <w:rPr>
                <w:color w:val="auto"/>
                <w:sz w:val="24"/>
              </w:rPr>
            </w:pPr>
            <w:r>
              <w:rPr>
                <w:rFonts w:hint="eastAsia"/>
                <w:b/>
                <w:bCs/>
                <w:color w:val="auto"/>
                <w:sz w:val="24"/>
              </w:rPr>
              <w:t>（2）环境影响分析</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项目的噪声特点，结合《环境影响评价技术导则声环境》（HJ2.4-2021），本次噪声影响评价选用点源的噪声预测模式，将各工序所有噪声设备合成后视为一个点噪声源，在声源传播过程中，噪声受到厂房的吸收和屏蔽，经过距离衰减和空气吸收后，到达受声点，其预测模式如下：</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①室内声源等效室外声源功率级计算方法</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声源位于室内，室内声源可采用等效室外声源声功率级法进行计算。设靠近开口处（或窗户）室内、室外某倍频带的声压级或A声级分别为Lp</w:t>
            </w:r>
            <w:r>
              <w:rPr>
                <w:rFonts w:hint="eastAsia"/>
                <w:color w:val="auto"/>
                <w:sz w:val="24"/>
                <w:szCs w:val="24"/>
                <w:vertAlign w:val="subscript"/>
              </w:rPr>
              <w:t>1</w:t>
            </w:r>
            <w:r>
              <w:rPr>
                <w:rFonts w:hint="eastAsia"/>
                <w:color w:val="auto"/>
                <w:sz w:val="24"/>
                <w:szCs w:val="24"/>
              </w:rPr>
              <w:t>和Lp</w:t>
            </w:r>
            <w:r>
              <w:rPr>
                <w:rFonts w:hint="eastAsia"/>
                <w:color w:val="auto"/>
                <w:sz w:val="24"/>
                <w:szCs w:val="24"/>
                <w:vertAlign w:val="subscript"/>
              </w:rPr>
              <w:t>2</w:t>
            </w:r>
            <w:r>
              <w:rPr>
                <w:rFonts w:hint="eastAsia"/>
                <w:color w:val="auto"/>
                <w:sz w:val="24"/>
                <w:szCs w:val="24"/>
              </w:rPr>
              <w:t>。若声源所在室内声场为近似扩散声场，则室外的倍频带声压级可按式（1）近似求出：</w:t>
            </w:r>
          </w:p>
          <w:p>
            <w:pPr>
              <w:pStyle w:val="13"/>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center"/>
              <w:textAlignment w:val="auto"/>
              <w:rPr>
                <w:color w:val="auto"/>
                <w:sz w:val="24"/>
                <w:szCs w:val="24"/>
              </w:rPr>
            </w:pPr>
            <w:r>
              <w:rPr>
                <w:rFonts w:hint="eastAsia"/>
                <w:color w:val="auto"/>
                <w:sz w:val="24"/>
                <w:szCs w:val="24"/>
              </w:rPr>
              <w:t>L</w:t>
            </w:r>
            <w:r>
              <w:rPr>
                <w:rFonts w:hint="eastAsia"/>
                <w:color w:val="auto"/>
                <w:sz w:val="24"/>
                <w:szCs w:val="16"/>
              </w:rPr>
              <w:t>p</w:t>
            </w:r>
            <w:r>
              <w:rPr>
                <w:rFonts w:hint="eastAsia"/>
                <w:color w:val="auto"/>
                <w:sz w:val="24"/>
                <w:szCs w:val="16"/>
                <w:vertAlign w:val="subscript"/>
              </w:rPr>
              <w:t>2</w:t>
            </w:r>
            <w:r>
              <w:rPr>
                <w:rFonts w:hint="eastAsia"/>
                <w:color w:val="auto"/>
                <w:sz w:val="24"/>
                <w:szCs w:val="24"/>
              </w:rPr>
              <w:t>=L</w:t>
            </w:r>
            <w:r>
              <w:rPr>
                <w:rFonts w:hint="eastAsia"/>
                <w:color w:val="auto"/>
                <w:sz w:val="24"/>
                <w:szCs w:val="16"/>
              </w:rPr>
              <w:t>p</w:t>
            </w:r>
            <w:r>
              <w:rPr>
                <w:rFonts w:hint="eastAsia"/>
                <w:color w:val="auto"/>
                <w:sz w:val="24"/>
                <w:szCs w:val="16"/>
                <w:vertAlign w:val="subscript"/>
              </w:rPr>
              <w:t>1</w:t>
            </w:r>
            <w:r>
              <w:rPr>
                <w:rFonts w:hint="eastAsia"/>
                <w:color w:val="auto"/>
                <w:sz w:val="24"/>
                <w:szCs w:val="24"/>
              </w:rPr>
              <w:t>-（TL+6）（1）</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式中：L</w:t>
            </w:r>
            <w:r>
              <w:rPr>
                <w:rFonts w:hint="eastAsia"/>
                <w:color w:val="auto"/>
                <w:sz w:val="24"/>
                <w:szCs w:val="16"/>
              </w:rPr>
              <w:t>p</w:t>
            </w:r>
            <w:r>
              <w:rPr>
                <w:rFonts w:hint="eastAsia"/>
                <w:color w:val="auto"/>
                <w:sz w:val="24"/>
                <w:szCs w:val="16"/>
                <w:vertAlign w:val="subscript"/>
              </w:rPr>
              <w:t>1</w:t>
            </w:r>
            <w:r>
              <w:rPr>
                <w:rFonts w:hint="eastAsia"/>
                <w:color w:val="auto"/>
                <w:sz w:val="24"/>
                <w:szCs w:val="24"/>
              </w:rPr>
              <w:t>——靠近开口处（或窗户）室内某倍频带的声压级或A声级，dB；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L</w:t>
            </w:r>
            <w:r>
              <w:rPr>
                <w:rFonts w:hint="eastAsia"/>
                <w:color w:val="auto"/>
                <w:sz w:val="24"/>
                <w:szCs w:val="16"/>
              </w:rPr>
              <w:t>p</w:t>
            </w:r>
            <w:r>
              <w:rPr>
                <w:rFonts w:hint="eastAsia"/>
                <w:color w:val="auto"/>
                <w:sz w:val="24"/>
                <w:szCs w:val="16"/>
                <w:vertAlign w:val="subscript"/>
              </w:rPr>
              <w:t>2</w:t>
            </w:r>
            <w:r>
              <w:rPr>
                <w:rFonts w:hint="eastAsia"/>
                <w:color w:val="auto"/>
                <w:sz w:val="24"/>
                <w:szCs w:val="24"/>
              </w:rPr>
              <w:t>——靠近开口处（或窗户）室外某倍频带的声压级或A声级，dB；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TL——隔墙（或窗户）倍频带或A声级的隔声量，dB。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也可按式（2）计算某一室内声源靠近围护结构处产生的倍频带声压级或A声级：</w:t>
            </w:r>
          </w:p>
          <w:p>
            <w:pPr>
              <w:pStyle w:val="13"/>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center"/>
              <w:textAlignment w:val="auto"/>
              <w:rPr>
                <w:color w:val="auto"/>
                <w:sz w:val="24"/>
                <w:szCs w:val="24"/>
              </w:rPr>
            </w:pPr>
            <w:r>
              <w:rPr>
                <w:rFonts w:hint="eastAsia"/>
                <w:color w:val="auto"/>
                <w:position w:val="-28"/>
                <w:sz w:val="24"/>
                <w:szCs w:val="24"/>
              </w:rPr>
              <w:object>
                <v:shape id="_x0000_i1025" o:spt="75" type="#_x0000_t75" style="height:34pt;width:134pt;" o:ole="t" filled="f" coordsize="21600,21600">
                  <v:path/>
                  <v:fill on="f" focussize="0,0"/>
                  <v:stroke/>
                  <v:imagedata r:id="rId17" o:title=""/>
                  <o:lock v:ext="edit" aspectratio="t"/>
                  <w10:wrap type="none"/>
                  <w10:anchorlock/>
                </v:shape>
                <o:OLEObject Type="Embed" ProgID="Equation.KSEE3" ShapeID="_x0000_i1025" DrawAspect="Content" ObjectID="_1468075725" r:id="rId16">
                  <o:LockedField>false</o:LockedField>
                </o:OLEObject>
              </w:object>
            </w:r>
            <w:r>
              <w:rPr>
                <w:rFonts w:hint="eastAsia"/>
                <w:color w:val="auto"/>
                <w:sz w:val="24"/>
                <w:szCs w:val="24"/>
              </w:rPr>
              <w:t>（2）</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式中：L</w:t>
            </w:r>
            <w:r>
              <w:rPr>
                <w:rFonts w:hint="eastAsia"/>
                <w:color w:val="auto"/>
                <w:sz w:val="24"/>
                <w:szCs w:val="16"/>
              </w:rPr>
              <w:t>p</w:t>
            </w:r>
            <w:r>
              <w:rPr>
                <w:rFonts w:hint="eastAsia"/>
                <w:color w:val="auto"/>
                <w:sz w:val="24"/>
                <w:szCs w:val="16"/>
                <w:vertAlign w:val="subscript"/>
              </w:rPr>
              <w:t>1</w:t>
            </w:r>
            <w:r>
              <w:rPr>
                <w:rFonts w:hint="eastAsia"/>
                <w:color w:val="auto"/>
                <w:sz w:val="24"/>
                <w:szCs w:val="24"/>
              </w:rPr>
              <w:t>——靠近开口处（或窗户）室内某倍频带的声压级或A声级，dB；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L</w:t>
            </w:r>
            <w:r>
              <w:rPr>
                <w:rFonts w:hint="eastAsia"/>
                <w:color w:val="auto"/>
                <w:sz w:val="24"/>
                <w:szCs w:val="16"/>
                <w:vertAlign w:val="subscript"/>
              </w:rPr>
              <w:t>w</w:t>
            </w:r>
            <w:r>
              <w:rPr>
                <w:rFonts w:hint="eastAsia"/>
                <w:color w:val="auto"/>
                <w:sz w:val="24"/>
                <w:szCs w:val="24"/>
              </w:rPr>
              <w:t>——点声源声功率级（A计权或倍频带），dB;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Q——指向性因数；通常对无指向性声源，当声源放在房间中心时，Q=1；当放在一面墙的中心时，Q=2；当放在两面墙夹角处时，Q=4；当放在三面墙夹角时，Q=8；</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R——房间常数；R=Sa/（1-a），S为房间内表面面积，m³；</w:t>
            </w:r>
            <w:r>
              <w:rPr>
                <w:color w:val="auto"/>
                <w:sz w:val="24"/>
                <w:szCs w:val="24"/>
              </w:rPr>
              <w:t>α</w:t>
            </w:r>
            <w:r>
              <w:rPr>
                <w:rFonts w:hint="eastAsia"/>
                <w:color w:val="auto"/>
                <w:sz w:val="24"/>
                <w:szCs w:val="24"/>
              </w:rPr>
              <w:t>为平均吸声系数；</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r——声源到靠近围护结构某点处的距离，m。</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然后按式（3）计算出所有室内N声源在围护结构处产生的i倍频带叠加声压级：</w:t>
            </w:r>
          </w:p>
          <w:p>
            <w:pPr>
              <w:pStyle w:val="13"/>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center"/>
              <w:textAlignment w:val="auto"/>
              <w:rPr>
                <w:color w:val="auto"/>
                <w:sz w:val="24"/>
                <w:szCs w:val="24"/>
              </w:rPr>
            </w:pPr>
            <w:r>
              <w:rPr>
                <w:rFonts w:hint="eastAsia"/>
                <w:color w:val="auto"/>
                <w:position w:val="-32"/>
                <w:sz w:val="24"/>
                <w:szCs w:val="24"/>
              </w:rPr>
              <w:object>
                <v:shape id="_x0000_i1026" o:spt="75" type="#_x0000_t75" style="height:36.85pt;width:125.1pt;" o:ole="t" filled="f" coordsize="21600,21600">
                  <v:path/>
                  <v:fill on="f" focussize="0,0"/>
                  <v:stroke/>
                  <v:imagedata r:id="rId19" o:title=""/>
                  <o:lock v:ext="edit" aspectratio="t"/>
                  <w10:wrap type="none"/>
                  <w10:anchorlock/>
                </v:shape>
                <o:OLEObject Type="Embed" ProgID="Equation.KSEE3" ShapeID="_x0000_i1026" DrawAspect="Content" ObjectID="_1468075726" r:id="rId18">
                  <o:LockedField>false</o:LockedField>
                </o:OLEObject>
              </w:object>
            </w:r>
            <w:r>
              <w:rPr>
                <w:rFonts w:hint="eastAsia"/>
                <w:color w:val="auto"/>
                <w:sz w:val="24"/>
                <w:szCs w:val="24"/>
              </w:rPr>
              <w:t>（3）</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式中：L</w:t>
            </w:r>
            <w:r>
              <w:rPr>
                <w:rFonts w:hint="eastAsia"/>
                <w:color w:val="auto"/>
                <w:sz w:val="24"/>
                <w:szCs w:val="16"/>
                <w:vertAlign w:val="baseline"/>
              </w:rPr>
              <w:t>p</w:t>
            </w:r>
            <w:r>
              <w:rPr>
                <w:rFonts w:hint="eastAsia"/>
                <w:color w:val="auto"/>
                <w:sz w:val="24"/>
                <w:szCs w:val="16"/>
                <w:vertAlign w:val="subscript"/>
              </w:rPr>
              <w:t>1i</w:t>
            </w:r>
            <w:r>
              <w:rPr>
                <w:rFonts w:hint="eastAsia"/>
                <w:color w:val="auto"/>
                <w:sz w:val="24"/>
                <w:szCs w:val="24"/>
              </w:rPr>
              <w:t>（T）——靠近围护结构处室内N个声源i倍频带的叠加声压级，dB；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L</w:t>
            </w:r>
            <w:r>
              <w:rPr>
                <w:rFonts w:hint="eastAsia"/>
                <w:color w:val="auto"/>
                <w:sz w:val="24"/>
                <w:szCs w:val="16"/>
                <w:vertAlign w:val="baseline"/>
              </w:rPr>
              <w:t>p</w:t>
            </w:r>
            <w:r>
              <w:rPr>
                <w:rFonts w:hint="eastAsia"/>
                <w:color w:val="auto"/>
                <w:sz w:val="24"/>
                <w:szCs w:val="16"/>
                <w:vertAlign w:val="subscript"/>
              </w:rPr>
              <w:t>1ij</w:t>
            </w:r>
            <w:r>
              <w:rPr>
                <w:rFonts w:hint="eastAsia"/>
                <w:color w:val="auto"/>
                <w:sz w:val="24"/>
                <w:szCs w:val="24"/>
              </w:rPr>
              <w:t>（T）——室内j声源i倍频带的声压级，dB；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N——室内声源总数</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在室内近似为扩散声场时，按式（4）计算出靠近室外围护结构处的声压线：</w:t>
            </w:r>
          </w:p>
          <w:p>
            <w:pPr>
              <w:pStyle w:val="13"/>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center"/>
              <w:textAlignment w:val="auto"/>
              <w:rPr>
                <w:color w:val="auto"/>
                <w:sz w:val="24"/>
                <w:szCs w:val="24"/>
              </w:rPr>
            </w:pPr>
            <w:r>
              <w:rPr>
                <w:rFonts w:hint="eastAsia"/>
                <w:color w:val="auto"/>
                <w:sz w:val="24"/>
                <w:szCs w:val="24"/>
              </w:rPr>
              <w:t>L</w:t>
            </w:r>
            <w:r>
              <w:rPr>
                <w:rFonts w:hint="eastAsia"/>
                <w:color w:val="auto"/>
                <w:sz w:val="24"/>
                <w:szCs w:val="16"/>
              </w:rPr>
              <w:t>p</w:t>
            </w:r>
            <w:r>
              <w:rPr>
                <w:rFonts w:hint="eastAsia"/>
                <w:color w:val="auto"/>
                <w:sz w:val="24"/>
                <w:szCs w:val="16"/>
                <w:vertAlign w:val="subscript"/>
              </w:rPr>
              <w:t>2i</w:t>
            </w:r>
            <w:r>
              <w:rPr>
                <w:rFonts w:hint="eastAsia"/>
                <w:color w:val="auto"/>
                <w:sz w:val="24"/>
                <w:szCs w:val="24"/>
              </w:rPr>
              <w:t>（T）=L</w:t>
            </w:r>
            <w:r>
              <w:rPr>
                <w:rFonts w:hint="eastAsia"/>
                <w:color w:val="auto"/>
                <w:sz w:val="24"/>
                <w:szCs w:val="16"/>
              </w:rPr>
              <w:t>p</w:t>
            </w:r>
            <w:r>
              <w:rPr>
                <w:rFonts w:hint="eastAsia"/>
                <w:color w:val="auto"/>
                <w:sz w:val="24"/>
                <w:szCs w:val="16"/>
                <w:vertAlign w:val="subscript"/>
              </w:rPr>
              <w:t>1i</w:t>
            </w:r>
            <w:r>
              <w:rPr>
                <w:rFonts w:hint="eastAsia"/>
                <w:color w:val="auto"/>
                <w:sz w:val="24"/>
                <w:szCs w:val="24"/>
              </w:rPr>
              <w:t>（T）-（TL</w:t>
            </w:r>
            <w:r>
              <w:rPr>
                <w:rFonts w:hint="eastAsia"/>
                <w:color w:val="auto"/>
                <w:sz w:val="24"/>
                <w:szCs w:val="16"/>
                <w:vertAlign w:val="subscript"/>
              </w:rPr>
              <w:t>i</w:t>
            </w:r>
            <w:r>
              <w:rPr>
                <w:rFonts w:hint="eastAsia"/>
                <w:color w:val="auto"/>
                <w:sz w:val="24"/>
                <w:szCs w:val="24"/>
              </w:rPr>
              <w:t>+6）（4）</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式中：L</w:t>
            </w:r>
            <w:r>
              <w:rPr>
                <w:rFonts w:hint="eastAsia"/>
                <w:color w:val="auto"/>
                <w:sz w:val="24"/>
                <w:szCs w:val="16"/>
              </w:rPr>
              <w:t>p</w:t>
            </w:r>
            <w:r>
              <w:rPr>
                <w:rFonts w:hint="eastAsia"/>
                <w:color w:val="auto"/>
                <w:sz w:val="24"/>
                <w:szCs w:val="16"/>
                <w:vertAlign w:val="subscript"/>
              </w:rPr>
              <w:t>2i</w:t>
            </w:r>
            <w:r>
              <w:rPr>
                <w:rFonts w:hint="eastAsia"/>
                <w:color w:val="auto"/>
                <w:sz w:val="24"/>
                <w:szCs w:val="24"/>
              </w:rPr>
              <w:t>（T）——靠近围护结构处室外N个声源i倍频带的叠加声压级，dB；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L</w:t>
            </w:r>
            <w:r>
              <w:rPr>
                <w:rFonts w:hint="eastAsia"/>
                <w:color w:val="auto"/>
                <w:sz w:val="24"/>
                <w:szCs w:val="16"/>
              </w:rPr>
              <w:t>p</w:t>
            </w:r>
            <w:r>
              <w:rPr>
                <w:rFonts w:hint="eastAsia"/>
                <w:color w:val="auto"/>
                <w:sz w:val="24"/>
                <w:szCs w:val="16"/>
                <w:vertAlign w:val="subscript"/>
              </w:rPr>
              <w:t>1i</w:t>
            </w:r>
            <w:r>
              <w:rPr>
                <w:rFonts w:hint="eastAsia"/>
                <w:color w:val="auto"/>
                <w:sz w:val="24"/>
                <w:szCs w:val="24"/>
              </w:rPr>
              <w:t>（T）——靠近围护结构处室内N个声源i倍频带的叠加声压级，dB；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rPr>
            </w:pPr>
            <w:r>
              <w:rPr>
                <w:rFonts w:hint="eastAsia"/>
                <w:color w:val="auto"/>
                <w:sz w:val="24"/>
                <w:szCs w:val="24"/>
              </w:rPr>
              <w:t>TL</w:t>
            </w:r>
            <w:r>
              <w:rPr>
                <w:rFonts w:hint="eastAsia"/>
                <w:color w:val="auto"/>
                <w:sz w:val="24"/>
                <w:szCs w:val="16"/>
                <w:vertAlign w:val="subscript"/>
              </w:rPr>
              <w:t>i</w:t>
            </w:r>
            <w:r>
              <w:rPr>
                <w:rFonts w:hint="eastAsia"/>
                <w:color w:val="auto"/>
                <w:sz w:val="24"/>
                <w:szCs w:val="24"/>
              </w:rPr>
              <w:t>——围护结构i倍频带的隔声墙，dB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然后按式（5）将室外声源的声压级和透过面积换算成等效的室外声源，计算出中心位置位于通透声面积（S）处的等效声源的倍频带声功率级。</w:t>
            </w:r>
          </w:p>
          <w:p>
            <w:pPr>
              <w:pStyle w:val="13"/>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center"/>
              <w:textAlignment w:val="auto"/>
              <w:rPr>
                <w:color w:val="auto"/>
                <w:sz w:val="24"/>
                <w:szCs w:val="24"/>
              </w:rPr>
            </w:pPr>
            <w:r>
              <w:rPr>
                <w:rFonts w:hint="eastAsia"/>
                <w:color w:val="auto"/>
                <w:sz w:val="24"/>
                <w:szCs w:val="24"/>
              </w:rPr>
              <w:t>L</w:t>
            </w:r>
            <w:r>
              <w:rPr>
                <w:rFonts w:hint="eastAsia"/>
                <w:color w:val="auto"/>
                <w:sz w:val="24"/>
                <w:szCs w:val="16"/>
              </w:rPr>
              <w:t>w</w:t>
            </w:r>
            <w:r>
              <w:rPr>
                <w:rFonts w:hint="eastAsia"/>
                <w:color w:val="auto"/>
                <w:sz w:val="24"/>
                <w:szCs w:val="24"/>
              </w:rPr>
              <w:t>=L</w:t>
            </w:r>
            <w:r>
              <w:rPr>
                <w:rFonts w:hint="eastAsia"/>
                <w:color w:val="auto"/>
                <w:sz w:val="24"/>
                <w:szCs w:val="16"/>
              </w:rPr>
              <w:t>p</w:t>
            </w:r>
            <w:r>
              <w:rPr>
                <w:rFonts w:hint="eastAsia"/>
                <w:color w:val="auto"/>
                <w:sz w:val="24"/>
                <w:szCs w:val="16"/>
                <w:vertAlign w:val="subscript"/>
              </w:rPr>
              <w:t>2</w:t>
            </w:r>
            <w:r>
              <w:rPr>
                <w:rFonts w:hint="eastAsia"/>
                <w:color w:val="auto"/>
                <w:sz w:val="24"/>
                <w:szCs w:val="24"/>
              </w:rPr>
              <w:t>（T）+10lgS（5）</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式中：L</w:t>
            </w:r>
            <w:r>
              <w:rPr>
                <w:rFonts w:hint="eastAsia"/>
                <w:color w:val="auto"/>
                <w:sz w:val="24"/>
                <w:szCs w:val="16"/>
                <w:vertAlign w:val="subscript"/>
              </w:rPr>
              <w:t>w</w:t>
            </w:r>
            <w:r>
              <w:rPr>
                <w:rFonts w:hint="eastAsia"/>
                <w:color w:val="auto"/>
                <w:sz w:val="24"/>
                <w:szCs w:val="24"/>
              </w:rPr>
              <w:t>——中心位置位于透声面积（S）处的等效声源的倍频带声功率级，dB;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L</w:t>
            </w:r>
            <w:r>
              <w:rPr>
                <w:rFonts w:hint="eastAsia"/>
                <w:color w:val="auto"/>
                <w:sz w:val="24"/>
                <w:szCs w:val="16"/>
              </w:rPr>
              <w:t>p</w:t>
            </w:r>
            <w:r>
              <w:rPr>
                <w:rFonts w:hint="eastAsia"/>
                <w:color w:val="auto"/>
                <w:sz w:val="24"/>
                <w:szCs w:val="16"/>
                <w:vertAlign w:val="subscript"/>
              </w:rPr>
              <w:t>2</w:t>
            </w:r>
            <w:r>
              <w:rPr>
                <w:rFonts w:hint="eastAsia"/>
                <w:color w:val="auto"/>
                <w:sz w:val="24"/>
                <w:szCs w:val="24"/>
              </w:rPr>
              <w:t>（T）——靠近围护结构处室外声源的声压级，dB；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S——透声面积，m</w:t>
            </w:r>
            <w:r>
              <w:rPr>
                <w:rFonts w:hint="eastAsia"/>
                <w:color w:val="auto"/>
                <w:sz w:val="24"/>
                <w:szCs w:val="24"/>
                <w:vertAlign w:val="superscript"/>
              </w:rPr>
              <w:t>2</w:t>
            </w:r>
            <w:r>
              <w:rPr>
                <w:rFonts w:hint="eastAsia"/>
                <w:color w:val="auto"/>
                <w:sz w:val="24"/>
                <w:szCs w:val="24"/>
              </w:rPr>
              <w:t>。</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②室外声源计算</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 xml:space="preserve">设第i个室外声源在预测点产生的A声级为L </w:t>
            </w:r>
            <w:r>
              <w:rPr>
                <w:rFonts w:hint="eastAsia"/>
                <w:color w:val="auto"/>
                <w:sz w:val="24"/>
                <w:szCs w:val="16"/>
                <w:vertAlign w:val="subscript"/>
              </w:rPr>
              <w:t>Ai</w:t>
            </w:r>
            <w:r>
              <w:rPr>
                <w:rFonts w:hint="eastAsia"/>
                <w:color w:val="auto"/>
                <w:sz w:val="24"/>
                <w:szCs w:val="24"/>
              </w:rPr>
              <w:t xml:space="preserve">，在T时间内该声源工作时间为t </w:t>
            </w:r>
            <w:r>
              <w:rPr>
                <w:rFonts w:hint="eastAsia"/>
                <w:color w:val="auto"/>
                <w:sz w:val="24"/>
                <w:szCs w:val="16"/>
                <w:vertAlign w:val="subscript"/>
              </w:rPr>
              <w:t>i</w:t>
            </w:r>
            <w:r>
              <w:rPr>
                <w:rFonts w:hint="eastAsia"/>
                <w:color w:val="auto"/>
                <w:sz w:val="24"/>
                <w:szCs w:val="24"/>
              </w:rPr>
              <w:t xml:space="preserve">；第j个等效室外声源在预测点产生的A声级为L </w:t>
            </w:r>
            <w:r>
              <w:rPr>
                <w:rFonts w:hint="eastAsia"/>
                <w:color w:val="auto"/>
                <w:sz w:val="24"/>
                <w:szCs w:val="16"/>
                <w:vertAlign w:val="subscript"/>
              </w:rPr>
              <w:t>Aj</w:t>
            </w:r>
            <w:r>
              <w:rPr>
                <w:rFonts w:hint="eastAsia"/>
                <w:color w:val="auto"/>
                <w:sz w:val="24"/>
                <w:szCs w:val="24"/>
              </w:rPr>
              <w:t xml:space="preserve">，在T时间内该声源工作时间为t </w:t>
            </w:r>
            <w:r>
              <w:rPr>
                <w:rFonts w:hint="eastAsia"/>
                <w:color w:val="auto"/>
                <w:sz w:val="24"/>
                <w:szCs w:val="16"/>
                <w:vertAlign w:val="subscript"/>
              </w:rPr>
              <w:t>j</w:t>
            </w:r>
            <w:r>
              <w:rPr>
                <w:rFonts w:hint="eastAsia"/>
                <w:color w:val="auto"/>
                <w:sz w:val="24"/>
                <w:szCs w:val="24"/>
              </w:rPr>
              <w:t>，则拟建工程声源对预测点产生的贡献值（Leqg）为：</w:t>
            </w:r>
          </w:p>
          <w:p>
            <w:pPr>
              <w:pStyle w:val="13"/>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center"/>
              <w:textAlignment w:val="auto"/>
              <w:rPr>
                <w:color w:val="auto"/>
                <w:sz w:val="24"/>
                <w:szCs w:val="24"/>
              </w:rPr>
            </w:pPr>
            <w:r>
              <w:rPr>
                <w:rFonts w:hint="eastAsia"/>
                <w:color w:val="auto"/>
                <w:position w:val="-34"/>
                <w:sz w:val="24"/>
                <w:szCs w:val="24"/>
              </w:rPr>
              <w:object>
                <v:shape id="_x0000_i1027" o:spt="75" type="#_x0000_t75" style="height:40pt;width:204.95pt;" o:ole="t" filled="f" coordsize="21600,21600">
                  <v:path/>
                  <v:fill on="f" focussize="0,0"/>
                  <v:stroke/>
                  <v:imagedata r:id="rId21" o:title=""/>
                  <o:lock v:ext="edit" aspectratio="t"/>
                  <w10:wrap type="none"/>
                  <w10:anchorlock/>
                </v:shape>
                <o:OLEObject Type="Embed" ProgID="Equation.KSEE3" ShapeID="_x0000_i1027" DrawAspect="Content" ObjectID="_1468075727" r:id="rId20">
                  <o:LockedField>false</o:LockedField>
                </o:OLEObject>
              </w:object>
            </w:r>
            <w:r>
              <w:rPr>
                <w:rFonts w:hint="eastAsia"/>
                <w:color w:val="auto"/>
                <w:sz w:val="24"/>
                <w:szCs w:val="24"/>
              </w:rPr>
              <w:t>（6）</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式中：Leqg——建设项目声源在预测点产生的噪声贡献值，dB；</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T——用于计算等效声级的时间，s；</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N——室外声源个数；</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T</w:t>
            </w:r>
            <w:r>
              <w:rPr>
                <w:rFonts w:hint="eastAsia"/>
                <w:color w:val="auto"/>
                <w:sz w:val="24"/>
                <w:szCs w:val="24"/>
                <w:vertAlign w:val="subscript"/>
              </w:rPr>
              <w:t>i</w:t>
            </w:r>
            <w:r>
              <w:rPr>
                <w:rFonts w:hint="eastAsia"/>
                <w:color w:val="auto"/>
                <w:sz w:val="24"/>
                <w:szCs w:val="24"/>
              </w:rPr>
              <w:t>——在T时间内i声源工作时间，s；</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M——等效室外声源个数；</w:t>
            </w:r>
          </w:p>
          <w:p>
            <w:pPr>
              <w:pStyle w:val="13"/>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color w:val="auto"/>
                <w:sz w:val="24"/>
                <w:szCs w:val="24"/>
              </w:rPr>
              <w:t>T</w:t>
            </w:r>
            <w:r>
              <w:rPr>
                <w:rFonts w:hint="eastAsia"/>
                <w:color w:val="auto"/>
                <w:sz w:val="24"/>
                <w:szCs w:val="24"/>
                <w:vertAlign w:val="subscript"/>
              </w:rPr>
              <w:t>j</w:t>
            </w:r>
            <w:r>
              <w:rPr>
                <w:rFonts w:hint="eastAsia"/>
                <w:color w:val="auto"/>
                <w:sz w:val="24"/>
                <w:szCs w:val="24"/>
              </w:rPr>
              <w:t>——在T时间j声源工作时间，s。</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③厂界噪声衰减扩散预测</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根据《环境影响评价技术导则声环境》HJ2.4-2021推荐的噪声户外传播衰减计算的替代方法，即用A声级计算，其计算公式如下：</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jc w:val="center"/>
              <w:textAlignment w:val="auto"/>
              <w:rPr>
                <w:color w:val="auto"/>
                <w:sz w:val="24"/>
              </w:rPr>
            </w:pPr>
            <w:r>
              <w:rPr>
                <w:color w:val="auto"/>
                <w:position w:val="-12"/>
                <w:sz w:val="24"/>
              </w:rPr>
              <w:drawing>
                <wp:inline distT="0" distB="0" distL="114300" distR="114300">
                  <wp:extent cx="2616835" cy="227965"/>
                  <wp:effectExtent l="0" t="0" r="12065"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2616835" cy="227965"/>
                          </a:xfrm>
                          <a:prstGeom prst="rect">
                            <a:avLst/>
                          </a:prstGeom>
                          <a:noFill/>
                          <a:ln>
                            <a:noFill/>
                          </a:ln>
                        </pic:spPr>
                      </pic:pic>
                    </a:graphicData>
                  </a:graphic>
                </wp:inline>
              </w:drawing>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式中：</w:t>
            </w:r>
            <w:r>
              <w:rPr>
                <w:color w:val="auto"/>
                <w:position w:val="-10"/>
                <w:sz w:val="24"/>
              </w:rPr>
              <w:drawing>
                <wp:inline distT="0" distB="0" distL="114300" distR="114300">
                  <wp:extent cx="391160" cy="219075"/>
                  <wp:effectExtent l="0" t="0" r="825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3"/>
                          <a:stretch>
                            <a:fillRect/>
                          </a:stretch>
                        </pic:blipFill>
                        <pic:spPr>
                          <a:xfrm>
                            <a:off x="0" y="0"/>
                            <a:ext cx="391160" cy="219075"/>
                          </a:xfrm>
                          <a:prstGeom prst="rect">
                            <a:avLst/>
                          </a:prstGeom>
                          <a:noFill/>
                          <a:ln>
                            <a:noFill/>
                          </a:ln>
                        </pic:spPr>
                      </pic:pic>
                    </a:graphicData>
                  </a:graphic>
                </wp:inline>
              </w:drawing>
            </w:r>
            <w:r>
              <w:rPr>
                <w:rFonts w:hint="eastAsia"/>
                <w:color w:val="auto"/>
                <w:sz w:val="24"/>
              </w:rPr>
              <w:t>——</w:t>
            </w:r>
            <w:r>
              <w:rPr>
                <w:color w:val="auto"/>
                <w:sz w:val="24"/>
              </w:rPr>
              <w:t>距声源r处的A声级，dB；</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position w:val="-12"/>
                <w:sz w:val="24"/>
              </w:rPr>
              <w:drawing>
                <wp:inline distT="0" distB="0" distL="114300" distR="114300">
                  <wp:extent cx="446405" cy="229870"/>
                  <wp:effectExtent l="0" t="0" r="10795"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446405" cy="229870"/>
                          </a:xfrm>
                          <a:prstGeom prst="rect">
                            <a:avLst/>
                          </a:prstGeom>
                          <a:noFill/>
                          <a:ln>
                            <a:noFill/>
                          </a:ln>
                        </pic:spPr>
                      </pic:pic>
                    </a:graphicData>
                  </a:graphic>
                </wp:inline>
              </w:drawing>
            </w:r>
            <w:r>
              <w:rPr>
                <w:rFonts w:hint="eastAsia"/>
                <w:color w:val="auto"/>
                <w:sz w:val="24"/>
              </w:rPr>
              <w:t>——</w:t>
            </w:r>
            <w:r>
              <w:rPr>
                <w:color w:val="auto"/>
                <w:sz w:val="24"/>
              </w:rPr>
              <w:t>参考位置r0处的A声级，dB；当r0=1m时，即为源强；</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position w:val="-12"/>
                <w:sz w:val="24"/>
              </w:rPr>
              <w:drawing>
                <wp:inline distT="0" distB="0" distL="114300" distR="114300">
                  <wp:extent cx="266700" cy="2286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266700" cy="228600"/>
                          </a:xfrm>
                          <a:prstGeom prst="rect">
                            <a:avLst/>
                          </a:prstGeom>
                          <a:noFill/>
                          <a:ln>
                            <a:noFill/>
                          </a:ln>
                        </pic:spPr>
                      </pic:pic>
                    </a:graphicData>
                  </a:graphic>
                </wp:inline>
              </w:drawing>
            </w:r>
            <w:r>
              <w:rPr>
                <w:rFonts w:hint="eastAsia"/>
                <w:color w:val="auto"/>
                <w:sz w:val="24"/>
              </w:rPr>
              <w:t>——</w:t>
            </w:r>
            <w:r>
              <w:rPr>
                <w:color w:val="auto"/>
                <w:sz w:val="24"/>
              </w:rPr>
              <w:t>声波几何发散引起的A声级衰减量，dB；</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jc w:val="center"/>
              <w:textAlignment w:val="auto"/>
              <w:rPr>
                <w:color w:val="auto"/>
                <w:sz w:val="24"/>
              </w:rPr>
            </w:pPr>
            <w:r>
              <w:rPr>
                <w:color w:val="auto"/>
                <w:position w:val="-12"/>
                <w:sz w:val="24"/>
              </w:rPr>
              <w:drawing>
                <wp:inline distT="0" distB="0" distL="114300" distR="114300">
                  <wp:extent cx="1115695" cy="227965"/>
                  <wp:effectExtent l="0" t="0" r="8255" b="63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6"/>
                          <a:stretch>
                            <a:fillRect/>
                          </a:stretch>
                        </pic:blipFill>
                        <pic:spPr>
                          <a:xfrm>
                            <a:off x="0" y="0"/>
                            <a:ext cx="1115695" cy="227965"/>
                          </a:xfrm>
                          <a:prstGeom prst="rect">
                            <a:avLst/>
                          </a:prstGeom>
                          <a:noFill/>
                          <a:ln>
                            <a:noFill/>
                          </a:ln>
                        </pic:spPr>
                      </pic:pic>
                    </a:graphicData>
                  </a:graphic>
                </wp:inline>
              </w:drawing>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式中：</w:t>
            </w:r>
            <w:r>
              <w:rPr>
                <w:color w:val="auto"/>
                <w:position w:val="-12"/>
                <w:sz w:val="24"/>
              </w:rPr>
              <w:drawing>
                <wp:inline distT="0" distB="0" distL="114300" distR="114300">
                  <wp:extent cx="276860" cy="229235"/>
                  <wp:effectExtent l="0" t="0" r="8255" b="184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7"/>
                          <a:stretch>
                            <a:fillRect/>
                          </a:stretch>
                        </pic:blipFill>
                        <pic:spPr>
                          <a:xfrm>
                            <a:off x="0" y="0"/>
                            <a:ext cx="276860" cy="229235"/>
                          </a:xfrm>
                          <a:prstGeom prst="rect">
                            <a:avLst/>
                          </a:prstGeom>
                          <a:noFill/>
                          <a:ln>
                            <a:noFill/>
                          </a:ln>
                        </pic:spPr>
                      </pic:pic>
                    </a:graphicData>
                  </a:graphic>
                </wp:inline>
              </w:drawing>
            </w:r>
            <w:r>
              <w:rPr>
                <w:rFonts w:hint="eastAsia"/>
                <w:color w:val="auto"/>
                <w:sz w:val="24"/>
              </w:rPr>
              <w:t>——</w:t>
            </w:r>
            <w:r>
              <w:rPr>
                <w:color w:val="auto"/>
                <w:sz w:val="24"/>
              </w:rPr>
              <w:t>遮挡物引起的A声级衰减量，dB，车间墙体遮挡衰减取25dB；</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position w:val="-12"/>
                <w:sz w:val="24"/>
              </w:rPr>
              <w:drawing>
                <wp:inline distT="0" distB="0" distL="114300" distR="114300">
                  <wp:extent cx="276860" cy="229235"/>
                  <wp:effectExtent l="0" t="0" r="8255" b="1841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28"/>
                          <a:stretch>
                            <a:fillRect/>
                          </a:stretch>
                        </pic:blipFill>
                        <pic:spPr>
                          <a:xfrm>
                            <a:off x="0" y="0"/>
                            <a:ext cx="276860" cy="229235"/>
                          </a:xfrm>
                          <a:prstGeom prst="rect">
                            <a:avLst/>
                          </a:prstGeom>
                          <a:noFill/>
                          <a:ln>
                            <a:noFill/>
                          </a:ln>
                        </pic:spPr>
                      </pic:pic>
                    </a:graphicData>
                  </a:graphic>
                </wp:inline>
              </w:drawing>
            </w:r>
            <w:r>
              <w:rPr>
                <w:rFonts w:hint="eastAsia"/>
                <w:color w:val="auto"/>
                <w:sz w:val="24"/>
              </w:rPr>
              <w:t>——</w:t>
            </w:r>
            <w:r>
              <w:rPr>
                <w:color w:val="auto"/>
                <w:sz w:val="24"/>
              </w:rPr>
              <w:t>空气吸收引起的A声级衰减量，dB；</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position w:val="-12"/>
                <w:sz w:val="24"/>
              </w:rPr>
              <w:drawing>
                <wp:inline distT="0" distB="0" distL="114300" distR="114300">
                  <wp:extent cx="266065" cy="228600"/>
                  <wp:effectExtent l="0" t="0" r="635"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29"/>
                          <a:stretch>
                            <a:fillRect/>
                          </a:stretch>
                        </pic:blipFill>
                        <pic:spPr>
                          <a:xfrm>
                            <a:off x="0" y="0"/>
                            <a:ext cx="266065" cy="228600"/>
                          </a:xfrm>
                          <a:prstGeom prst="rect">
                            <a:avLst/>
                          </a:prstGeom>
                          <a:noFill/>
                          <a:ln>
                            <a:noFill/>
                          </a:ln>
                        </pic:spPr>
                      </pic:pic>
                    </a:graphicData>
                  </a:graphic>
                </wp:inline>
              </w:drawing>
            </w:r>
            <w:r>
              <w:rPr>
                <w:rFonts w:hint="eastAsia"/>
                <w:color w:val="auto"/>
                <w:sz w:val="24"/>
              </w:rPr>
              <w:t>——</w:t>
            </w:r>
            <w:r>
              <w:rPr>
                <w:color w:val="auto"/>
                <w:sz w:val="24"/>
              </w:rPr>
              <w:t>附加A声级衰减量，dB。</w:t>
            </w:r>
          </w:p>
          <w:p>
            <w:pPr>
              <w:pStyle w:val="9"/>
              <w:keepNext w:val="0"/>
              <w:keepLines w:val="0"/>
              <w:pageBreakBefore w:val="0"/>
              <w:widowControl w:val="0"/>
              <w:kinsoku/>
              <w:overflowPunct/>
              <w:topLinePunct w:val="0"/>
              <w:autoSpaceDE/>
              <w:autoSpaceDN/>
              <w:bidi w:val="0"/>
              <w:adjustRightInd w:val="0"/>
              <w:snapToGrid/>
              <w:spacing w:after="0" w:line="360" w:lineRule="auto"/>
              <w:ind w:left="0" w:leftChars="0" w:firstLine="480" w:firstLineChars="200"/>
              <w:textAlignment w:val="auto"/>
              <w:rPr>
                <w:color w:val="auto"/>
                <w:sz w:val="24"/>
              </w:rPr>
            </w:pPr>
            <w:r>
              <w:rPr>
                <w:color w:val="auto"/>
                <w:sz w:val="24"/>
                <w:szCs w:val="24"/>
              </w:rPr>
              <w:t>为避免计算中增大衰减量而造成预测值偏小，计算时忽略</w:t>
            </w:r>
            <w:r>
              <w:rPr>
                <w:color w:val="auto"/>
                <w:position w:val="-12"/>
                <w:sz w:val="24"/>
                <w:szCs w:val="24"/>
              </w:rPr>
              <w:drawing>
                <wp:inline distT="0" distB="0" distL="114300" distR="114300">
                  <wp:extent cx="276225" cy="228600"/>
                  <wp:effectExtent l="0" t="0" r="889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30"/>
                          <a:stretch>
                            <a:fillRect/>
                          </a:stretch>
                        </pic:blipFill>
                        <pic:spPr>
                          <a:xfrm>
                            <a:off x="0" y="0"/>
                            <a:ext cx="276225" cy="228600"/>
                          </a:xfrm>
                          <a:prstGeom prst="rect">
                            <a:avLst/>
                          </a:prstGeom>
                          <a:noFill/>
                          <a:ln>
                            <a:noFill/>
                          </a:ln>
                        </pic:spPr>
                      </pic:pic>
                    </a:graphicData>
                  </a:graphic>
                </wp:inline>
              </w:drawing>
            </w:r>
            <w:r>
              <w:rPr>
                <w:color w:val="auto"/>
                <w:sz w:val="24"/>
                <w:szCs w:val="24"/>
              </w:rPr>
              <w:t>和</w:t>
            </w:r>
            <w:r>
              <w:rPr>
                <w:color w:val="auto"/>
                <w:position w:val="-12"/>
                <w:sz w:val="24"/>
                <w:szCs w:val="24"/>
              </w:rPr>
              <w:drawing>
                <wp:inline distT="0" distB="0" distL="114300" distR="114300">
                  <wp:extent cx="266065" cy="228600"/>
                  <wp:effectExtent l="0" t="0" r="635"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31"/>
                          <a:stretch>
                            <a:fillRect/>
                          </a:stretch>
                        </pic:blipFill>
                        <pic:spPr>
                          <a:xfrm>
                            <a:off x="0" y="0"/>
                            <a:ext cx="266065" cy="228600"/>
                          </a:xfrm>
                          <a:prstGeom prst="rect">
                            <a:avLst/>
                          </a:prstGeom>
                          <a:noFill/>
                          <a:ln>
                            <a:noFill/>
                          </a:ln>
                        </pic:spPr>
                      </pic:pic>
                    </a:graphicData>
                  </a:graphic>
                </wp:inline>
              </w:drawing>
            </w:r>
            <w:r>
              <w:rPr>
                <w:color w:val="auto"/>
                <w:sz w:val="24"/>
                <w:szCs w:val="24"/>
              </w:rPr>
              <w:t>。</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④预测结果</w:t>
            </w:r>
          </w:p>
          <w:p>
            <w:pPr>
              <w:keepNext w:val="0"/>
              <w:keepLines w:val="0"/>
              <w:pageBreakBefore w:val="0"/>
              <w:widowControl w:val="0"/>
              <w:kinsoku/>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本项目设备噪声源强为75～85dB(A)，经设备房和墙体隔声、消声、减振后，噪声影响预测结果见下表。</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highlight w:val="yellow"/>
              </w:rPr>
            </w:pPr>
            <w:r>
              <w:rPr>
                <w:rFonts w:ascii="Times New Roman" w:hAnsi="Times New Roman" w:eastAsia="宋体"/>
                <w:b/>
                <w:bCs/>
                <w:color w:val="auto"/>
                <w:sz w:val="21"/>
              </w:rPr>
              <w:t>表4-</w:t>
            </w:r>
            <w:r>
              <w:rPr>
                <w:rFonts w:hint="eastAsia" w:ascii="Times New Roman" w:hAnsi="Times New Roman" w:eastAsia="宋体"/>
                <w:b/>
                <w:bCs/>
                <w:color w:val="auto"/>
                <w:sz w:val="21"/>
              </w:rPr>
              <w:t>1</w:t>
            </w:r>
            <w:r>
              <w:rPr>
                <w:rFonts w:hint="eastAsia" w:ascii="Times New Roman" w:hAnsi="Times New Roman" w:eastAsia="宋体"/>
                <w:b/>
                <w:bCs/>
                <w:color w:val="auto"/>
                <w:sz w:val="21"/>
                <w:lang w:val="en-US" w:eastAsia="zh-CN"/>
              </w:rPr>
              <w:t>0</w:t>
            </w:r>
            <w:r>
              <w:rPr>
                <w:rFonts w:hint="eastAsia" w:ascii="Times New Roman" w:hAnsi="Times New Roman" w:eastAsia="宋体"/>
                <w:b/>
                <w:bCs/>
                <w:color w:val="auto"/>
                <w:sz w:val="21"/>
              </w:rPr>
              <w:t>项目</w:t>
            </w:r>
            <w:r>
              <w:rPr>
                <w:rFonts w:ascii="Times New Roman" w:hAnsi="Times New Roman" w:eastAsia="宋体"/>
                <w:b/>
                <w:bCs/>
                <w:color w:val="auto"/>
                <w:sz w:val="21"/>
              </w:rPr>
              <w:t>厂界噪声预测结果</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880"/>
              <w:gridCol w:w="1177"/>
              <w:gridCol w:w="1235"/>
              <w:gridCol w:w="1332"/>
              <w:gridCol w:w="1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8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声源名称</w:t>
                  </w:r>
                </w:p>
              </w:tc>
              <w:tc>
                <w:tcPr>
                  <w:tcW w:w="11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叠加降噪后源强dB(A)</w:t>
                  </w:r>
                </w:p>
              </w:tc>
              <w:tc>
                <w:tcPr>
                  <w:tcW w:w="7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东厂界</w:t>
                  </w:r>
                </w:p>
              </w:tc>
              <w:tc>
                <w:tcPr>
                  <w:tcW w:w="7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南厂界</w:t>
                  </w:r>
                </w:p>
              </w:tc>
              <w:tc>
                <w:tcPr>
                  <w:tcW w:w="8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西厂界</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p>
              </w:tc>
              <w:tc>
                <w:tcPr>
                  <w:tcW w:w="11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p>
              </w:tc>
              <w:tc>
                <w:tcPr>
                  <w:tcW w:w="7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最小距离（m）</w:t>
                  </w:r>
                </w:p>
              </w:tc>
              <w:tc>
                <w:tcPr>
                  <w:tcW w:w="7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最小距离（m）</w:t>
                  </w:r>
                </w:p>
              </w:tc>
              <w:tc>
                <w:tcPr>
                  <w:tcW w:w="8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最小距离（m）</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最小距离（m）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8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仪器设备</w:t>
                  </w: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59.92</w:t>
                  </w:r>
                </w:p>
              </w:tc>
              <w:tc>
                <w:tcPr>
                  <w:tcW w:w="7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w:t>
                  </w:r>
                </w:p>
              </w:tc>
              <w:tc>
                <w:tcPr>
                  <w:tcW w:w="7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22.5</w:t>
                  </w:r>
                </w:p>
              </w:tc>
              <w:tc>
                <w:tcPr>
                  <w:tcW w:w="8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8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贡献值dB(A)</w:t>
                  </w: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昼间</w:t>
                  </w:r>
                </w:p>
              </w:tc>
              <w:tc>
                <w:tcPr>
                  <w:tcW w:w="7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43.02</w:t>
                  </w:r>
                </w:p>
              </w:tc>
              <w:tc>
                <w:tcPr>
                  <w:tcW w:w="7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32.88</w:t>
                  </w:r>
                </w:p>
              </w:tc>
              <w:tc>
                <w:tcPr>
                  <w:tcW w:w="8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36.40</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47.88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8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12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43.02</w:t>
                  </w:r>
                </w:p>
              </w:tc>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32.88</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36.40</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47.88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8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标准</w:t>
                  </w:r>
                  <w:r>
                    <w:rPr>
                      <w:rFonts w:hint="eastAsia" w:ascii="Times New Roman" w:hAnsi="Times New Roman" w:eastAsia="宋体"/>
                      <w:color w:val="auto"/>
                      <w:sz w:val="21"/>
                      <w:szCs w:val="21"/>
                    </w:rPr>
                    <w:t>值</w:t>
                  </w:r>
                  <w:r>
                    <w:rPr>
                      <w:rFonts w:ascii="Times New Roman" w:hAnsi="Times New Roman" w:eastAsia="宋体"/>
                      <w:color w:val="auto"/>
                      <w:sz w:val="21"/>
                      <w:szCs w:val="21"/>
                    </w:rPr>
                    <w:t>dB(A)</w:t>
                  </w: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昼间</w:t>
                  </w:r>
                </w:p>
              </w:tc>
              <w:tc>
                <w:tcPr>
                  <w:tcW w:w="3047"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8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夜间</w:t>
                  </w:r>
                </w:p>
              </w:tc>
              <w:tc>
                <w:tcPr>
                  <w:tcW w:w="3047"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195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是否达标</w:t>
                  </w:r>
                </w:p>
              </w:tc>
              <w:tc>
                <w:tcPr>
                  <w:tcW w:w="3047"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是</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由预测结果表可知，</w:t>
            </w:r>
            <w:r>
              <w:rPr>
                <w:rFonts w:hint="eastAsia"/>
                <w:color w:val="auto"/>
                <w:sz w:val="24"/>
              </w:rPr>
              <w:t>项目噪声经采取降噪措施及墙体隔声和距离的自然衰减后，项目厂界东面、南面、西面、北面昼夜噪声贡献值均能够达到《工业企业厂界环境噪声排放标准》（GB12348-2008）2类标准（昼间≤60dB(A)，夜间≤50dB(A)）。同时项目周边50m范围内没有居民，</w:t>
            </w:r>
            <w:r>
              <w:rPr>
                <w:color w:val="auto"/>
                <w:sz w:val="24"/>
              </w:rPr>
              <w:t>项目运营后厂界噪声可小于《工业企业厂界环境噪声排放标准》（GB12348-2008）</w:t>
            </w:r>
            <w:r>
              <w:rPr>
                <w:rFonts w:hint="eastAsia"/>
                <w:color w:val="auto"/>
                <w:sz w:val="24"/>
              </w:rPr>
              <w:t>2</w:t>
            </w:r>
            <w:r>
              <w:rPr>
                <w:color w:val="auto"/>
                <w:sz w:val="24"/>
              </w:rPr>
              <w:t>类标准</w:t>
            </w:r>
            <w:r>
              <w:rPr>
                <w:rFonts w:hint="eastAsia"/>
                <w:color w:val="auto"/>
                <w:sz w:val="24"/>
              </w:rPr>
              <w:t>，不会对居民声环境造成影响。</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color w:val="auto"/>
                <w:sz w:val="24"/>
              </w:rPr>
            </w:pPr>
            <w:r>
              <w:rPr>
                <w:b/>
                <w:color w:val="auto"/>
                <w:sz w:val="24"/>
              </w:rPr>
              <w:t>（3）治理措施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为进一步减小噪声对周边环境的影响，在经济可行的情况下，拟采取以下措施：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①医院病房采取合理的隔音设计及材料，保证建筑的隔音达到现行国家标准《民用建筑隔声设计规范》(GB50118)的要求。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②合理总图布置，特别是项目地块周边绿化强度，重视绿化，采取乔、灌、草有机结合，起到消声降噪作用；在场地周边设置绿化带，形成噪声防护屏障，绿化带选择合适的树种、植株的密度和植被的宽度，使之达到有效降噪，同时又可以吸收二氧化碳及有害气体、吸附微尘的作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③合理布局各科室，楼层外侧布置走廊，既可适当阻隔噪声影响，又方便病人活动；提高门窗采密闭性，采用中空玻璃，以使交通噪声的不利影响降低到最低；</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④院内设置“禁止喧哗、吵闹”等标识牌，并引导医护人员加强监督或疏导，可有效减少社会噪声的产生；</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⑤维持设备处于良好的运转状态，减少因零部件磨损产生的噪声；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⑥高噪声设备基础采取减振处理，吸入口加消音器；水泵等首先在设备选型上选用低噪声的先进设备，水泵以多孔介质做减振垫，水泵于管道连接时采用柔性方式；污水处理站应设置于封闭间内，周围合理种植植被。</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（4）自行监测计划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排污单位自行监测技术指南总则》（HJ819-2017），并结合项目运营期间污染物排放特点，制定本项目的噪声污染源监测计划，建设单位需保证按监测计划实施。监测分析方法按照现行国家、部颁标准和有关规定执行。</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表4-1</w:t>
            </w:r>
            <w:r>
              <w:rPr>
                <w:rFonts w:hint="eastAsia" w:ascii="Times New Roman" w:hAnsi="Times New Roman" w:eastAsia="宋体"/>
                <w:b/>
                <w:bCs/>
                <w:color w:val="auto"/>
                <w:sz w:val="21"/>
                <w:szCs w:val="21"/>
                <w:lang w:val="en-US" w:eastAsia="zh-CN"/>
              </w:rPr>
              <w:t>1</w:t>
            </w:r>
            <w:r>
              <w:rPr>
                <w:rFonts w:hint="eastAsia" w:ascii="Times New Roman" w:hAnsi="Times New Roman" w:eastAsia="宋体"/>
                <w:b/>
                <w:bCs/>
                <w:color w:val="auto"/>
                <w:sz w:val="21"/>
                <w:szCs w:val="21"/>
              </w:rPr>
              <w:t>噪声污染源监测计划表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17"/>
              <w:gridCol w:w="1593"/>
              <w:gridCol w:w="1777"/>
              <w:gridCol w:w="360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42" w:hRule="atLeast"/>
                <w:jc w:val="center"/>
              </w:trPr>
              <w:tc>
                <w:tcPr>
                  <w:tcW w:w="794"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监测点位</w:t>
                  </w:r>
                </w:p>
              </w:tc>
              <w:tc>
                <w:tcPr>
                  <w:tcW w:w="960"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监测项目</w:t>
                  </w:r>
                </w:p>
              </w:tc>
              <w:tc>
                <w:tcPr>
                  <w:tcW w:w="1071"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监测频次</w:t>
                  </w:r>
                </w:p>
              </w:tc>
              <w:tc>
                <w:tcPr>
                  <w:tcW w:w="2173"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28" w:hRule="atLeast"/>
                <w:jc w:val="center"/>
              </w:trPr>
              <w:tc>
                <w:tcPr>
                  <w:tcW w:w="794"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厂界外1m</w:t>
                  </w:r>
                </w:p>
              </w:tc>
              <w:tc>
                <w:tcPr>
                  <w:tcW w:w="960"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噪声</w:t>
                  </w:r>
                </w:p>
              </w:tc>
              <w:tc>
                <w:tcPr>
                  <w:tcW w:w="1071"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1次/每季</w:t>
                  </w:r>
                </w:p>
              </w:tc>
              <w:tc>
                <w:tcPr>
                  <w:tcW w:w="2173" w:type="pct"/>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《工业企业厂界环境噪声排放标准》（GB12348-2008）2类标准</w:t>
                  </w:r>
                </w:p>
              </w:tc>
            </w:tr>
          </w:tbl>
          <w:p>
            <w:pPr>
              <w:keepNext w:val="0"/>
              <w:keepLines w:val="0"/>
              <w:pageBreakBefore w:val="0"/>
              <w:kinsoku/>
              <w:wordWrap/>
              <w:overflowPunct/>
              <w:topLinePunct w:val="0"/>
              <w:autoSpaceDE/>
              <w:autoSpaceDN/>
              <w:bidi w:val="0"/>
              <w:adjustRightInd w:val="0"/>
              <w:snapToGrid/>
              <w:spacing w:line="360" w:lineRule="auto"/>
              <w:rPr>
                <w:b/>
                <w:bCs/>
                <w:color w:val="auto"/>
                <w:sz w:val="24"/>
              </w:rPr>
            </w:pPr>
            <w:r>
              <w:rPr>
                <w:rFonts w:hint="eastAsia"/>
                <w:b/>
                <w:bCs/>
                <w:color w:val="auto"/>
                <w:sz w:val="24"/>
              </w:rPr>
              <w:t>4、固体废物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color w:val="auto"/>
                <w:sz w:val="24"/>
              </w:rPr>
            </w:pPr>
            <w:bookmarkStart w:id="19" w:name="bookmark133"/>
            <w:r>
              <w:rPr>
                <w:color w:val="auto"/>
                <w:sz w:val="24"/>
              </w:rPr>
              <w:t>本项目在正常运营过程中产生的固体废物包括生活垃圾</w:t>
            </w:r>
            <w:r>
              <w:rPr>
                <w:rFonts w:hint="eastAsia"/>
                <w:color w:val="auto"/>
                <w:sz w:val="24"/>
              </w:rPr>
              <w:t>、</w:t>
            </w:r>
            <w:r>
              <w:rPr>
                <w:color w:val="auto"/>
                <w:sz w:val="24"/>
              </w:rPr>
              <w:t>医疗固体废物</w:t>
            </w:r>
            <w:r>
              <w:rPr>
                <w:rFonts w:hint="eastAsia"/>
                <w:color w:val="auto"/>
                <w:sz w:val="24"/>
              </w:rPr>
              <w:t>及</w:t>
            </w:r>
            <w:r>
              <w:rPr>
                <w:color w:val="auto"/>
                <w:sz w:val="24"/>
              </w:rPr>
              <w:t>污水处理</w:t>
            </w:r>
            <w:r>
              <w:rPr>
                <w:rFonts w:hint="eastAsia"/>
                <w:color w:val="auto"/>
                <w:sz w:val="24"/>
              </w:rPr>
              <w:t>设施</w:t>
            </w:r>
            <w:r>
              <w:rPr>
                <w:color w:val="auto"/>
                <w:sz w:val="24"/>
              </w:rPr>
              <w:t>产生的污泥</w:t>
            </w:r>
            <w:r>
              <w:rPr>
                <w:rFonts w:hint="eastAsia"/>
                <w:color w:val="auto"/>
                <w:sz w:val="24"/>
              </w:rPr>
              <w:t>、废MBR膜</w:t>
            </w:r>
            <w:r>
              <w:rPr>
                <w:color w:val="auto"/>
                <w:sz w:val="24"/>
              </w:rPr>
              <w:t>等。其产生及排放情况为：</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baseline"/>
              <w:rPr>
                <w:b/>
                <w:color w:val="auto"/>
                <w:sz w:val="24"/>
              </w:rPr>
            </w:pPr>
            <w:r>
              <w:rPr>
                <w:b/>
                <w:color w:val="auto"/>
                <w:sz w:val="24"/>
              </w:rPr>
              <w:t>（</w:t>
            </w:r>
            <w:bookmarkEnd w:id="19"/>
            <w:r>
              <w:rPr>
                <w:b/>
                <w:color w:val="auto"/>
                <w:sz w:val="24"/>
              </w:rPr>
              <w:t>1</w:t>
            </w:r>
            <w:r>
              <w:rPr>
                <w:rFonts w:hint="eastAsia"/>
                <w:b/>
                <w:color w:val="auto"/>
                <w:sz w:val="24"/>
              </w:rPr>
              <w:t>）</w:t>
            </w:r>
            <w:r>
              <w:rPr>
                <w:b/>
                <w:color w:val="auto"/>
                <w:sz w:val="24"/>
              </w:rPr>
              <w:t>生活垃圾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color w:val="auto"/>
                <w:sz w:val="24"/>
              </w:rPr>
            </w:pPr>
            <w:r>
              <w:rPr>
                <w:rFonts w:hint="eastAsia"/>
                <w:color w:val="auto"/>
                <w:sz w:val="24"/>
              </w:rPr>
              <w:t>生活垃圾主要由门诊、病房、医务工作人员产生，具体产生情况如下：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color w:val="auto"/>
                <w:sz w:val="24"/>
              </w:rPr>
            </w:pPr>
            <w:r>
              <w:rPr>
                <w:rFonts w:cs="Calibri"/>
                <w:color w:val="auto"/>
                <w:sz w:val="24"/>
              </w:rPr>
              <w:t>①</w:t>
            </w:r>
            <w:r>
              <w:rPr>
                <w:rFonts w:hint="eastAsia"/>
                <w:color w:val="auto"/>
                <w:sz w:val="24"/>
              </w:rPr>
              <w:t>门诊：门诊垃圾按每日每人次产生 0.5kg 计，项目每天门诊量约20人，生活垃圾产生量为10kg/d，3.65t/a。</w:t>
            </w:r>
          </w:p>
          <w:p>
            <w:pPr>
              <w:pStyle w:val="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color w:val="auto"/>
                <w:sz w:val="24"/>
              </w:rPr>
            </w:pPr>
            <w:r>
              <w:rPr>
                <w:rFonts w:cs="Calibri"/>
                <w:color w:val="auto"/>
                <w:sz w:val="24"/>
              </w:rPr>
              <w:t>②</w:t>
            </w:r>
            <w:r>
              <w:rPr>
                <w:rFonts w:hint="eastAsia" w:cs="Calibri"/>
                <w:color w:val="auto"/>
                <w:sz w:val="24"/>
              </w:rPr>
              <w:t>病房：项目核定病床数为20张，每床病人和陪护人员</w:t>
            </w:r>
            <w:r>
              <w:rPr>
                <w:rFonts w:hint="eastAsia"/>
                <w:color w:val="auto"/>
                <w:sz w:val="24"/>
              </w:rPr>
              <w:t>每日</w:t>
            </w:r>
            <w:r>
              <w:rPr>
                <w:rFonts w:hint="eastAsia" w:cs="Calibri"/>
                <w:color w:val="auto"/>
                <w:sz w:val="24"/>
              </w:rPr>
              <w:t>产生的</w:t>
            </w:r>
            <w:r>
              <w:rPr>
                <w:rFonts w:hint="eastAsia"/>
                <w:color w:val="auto"/>
                <w:sz w:val="24"/>
              </w:rPr>
              <w:t>生活垃圾按</w:t>
            </w:r>
            <w:r>
              <w:rPr>
                <w:color w:val="auto"/>
                <w:sz w:val="24"/>
              </w:rPr>
              <w:t>1kg/d</w:t>
            </w:r>
            <w:r>
              <w:rPr>
                <w:rFonts w:hint="eastAsia"/>
                <w:color w:val="auto"/>
                <w:sz w:val="24"/>
              </w:rPr>
              <w:t>计，项目满负荷运行时，病房每天产生生活垃圾20kg/d，7.3t/a。</w:t>
            </w:r>
          </w:p>
          <w:p>
            <w:pPr>
              <w:pStyle w:val="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color w:val="auto"/>
                <w:sz w:val="24"/>
              </w:rPr>
            </w:pPr>
            <w:r>
              <w:rPr>
                <w:rFonts w:cs="Calibri"/>
                <w:color w:val="auto"/>
                <w:sz w:val="24"/>
              </w:rPr>
              <w:t>③</w:t>
            </w:r>
            <w:r>
              <w:rPr>
                <w:rFonts w:hint="eastAsia"/>
                <w:color w:val="auto"/>
                <w:sz w:val="24"/>
              </w:rPr>
              <w:t>医务工作人员：项目员工总数为28人，每人每日产生生活垃圾按0</w:t>
            </w:r>
            <w:r>
              <w:rPr>
                <w:color w:val="auto"/>
                <w:sz w:val="24"/>
              </w:rPr>
              <w:t>.5</w:t>
            </w:r>
            <w:r>
              <w:rPr>
                <w:rFonts w:hint="eastAsia"/>
                <w:color w:val="auto"/>
                <w:sz w:val="24"/>
              </w:rPr>
              <w:t>kg计，则14kg/d，5.11t/a。</w:t>
            </w:r>
          </w:p>
          <w:p>
            <w:pPr>
              <w:pStyle w:val="2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color w:val="auto"/>
                <w:sz w:val="24"/>
              </w:rPr>
            </w:pPr>
            <w:r>
              <w:rPr>
                <w:rFonts w:hint="eastAsia"/>
                <w:color w:val="auto"/>
                <w:sz w:val="24"/>
              </w:rPr>
              <w:t>综上，项目年工作365天，生活垃圾产生量为44kg/d，16.06t/a。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color w:val="auto"/>
                <w:sz w:val="24"/>
              </w:rPr>
            </w:pPr>
            <w:r>
              <w:rPr>
                <w:rFonts w:hint="eastAsia"/>
                <w:color w:val="auto"/>
                <w:sz w:val="24"/>
              </w:rPr>
              <w:t>处理方式：在每个病房、科室、员工办公室设置垃圾桶收集生活垃圾，每层设置一个大垃圾桶集中收集各处产生的生活垃圾，委托当地环卫部门清运处理。</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rPr>
                <w:b/>
                <w:bCs/>
                <w:color w:val="auto"/>
                <w:sz w:val="24"/>
              </w:rPr>
            </w:pPr>
            <w:r>
              <w:rPr>
                <w:rFonts w:hint="eastAsia"/>
                <w:b/>
                <w:bCs/>
                <w:color w:val="auto"/>
                <w:sz w:val="24"/>
              </w:rPr>
              <w:t>（</w:t>
            </w:r>
            <w:r>
              <w:rPr>
                <w:b/>
                <w:bCs/>
                <w:color w:val="auto"/>
                <w:sz w:val="24"/>
              </w:rPr>
              <w:t>2</w:t>
            </w:r>
            <w:r>
              <w:rPr>
                <w:rFonts w:hint="eastAsia"/>
                <w:b/>
                <w:bCs/>
                <w:color w:val="auto"/>
                <w:sz w:val="24"/>
              </w:rPr>
              <w:t>）未污染输液瓶袋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color w:val="auto"/>
                <w:sz w:val="24"/>
              </w:rPr>
            </w:pPr>
            <w:r>
              <w:rPr>
                <w:rFonts w:hint="eastAsia"/>
                <w:color w:val="auto"/>
                <w:sz w:val="24"/>
              </w:rPr>
              <w:t>项目运营期会产生少量输液瓶（袋），产生量约0.1t/a，根据《关于在医疗机构推进生活垃圾分类管理的通知》（国卫办医发2017-30号）“对于未被患者血液、体液和排泄物等污染的输液瓶（袋），应当在其与输液管连接处去除输液管后单独集中回收、存放”等相关规定，本项目输液瓶（袋）收集后暂存于可回收物品间，定期交由再生资源利用单位回收处理。</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rPr>
                <w:b/>
                <w:bCs/>
                <w:color w:val="auto"/>
                <w:sz w:val="24"/>
              </w:rPr>
            </w:pPr>
            <w:r>
              <w:rPr>
                <w:rFonts w:hint="eastAsia"/>
                <w:b/>
                <w:bCs/>
                <w:color w:val="auto"/>
                <w:sz w:val="24"/>
              </w:rPr>
              <w:t>（3）药品、试剂外包装盒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color w:val="auto"/>
                <w:sz w:val="24"/>
              </w:rPr>
            </w:pPr>
            <w:r>
              <w:rPr>
                <w:rFonts w:hint="eastAsia"/>
                <w:color w:val="auto"/>
                <w:sz w:val="24"/>
              </w:rPr>
              <w:t>项目运营期</w:t>
            </w:r>
            <w:r>
              <w:rPr>
                <w:color w:val="auto"/>
                <w:sz w:val="24"/>
              </w:rPr>
              <w:t>药品、试剂等</w:t>
            </w:r>
            <w:r>
              <w:rPr>
                <w:rFonts w:hint="eastAsia"/>
                <w:color w:val="auto"/>
                <w:sz w:val="24"/>
              </w:rPr>
              <w:t>外</w:t>
            </w:r>
            <w:r>
              <w:rPr>
                <w:color w:val="auto"/>
                <w:sz w:val="24"/>
              </w:rPr>
              <w:t>包装材料主要是包装纸箱、泡沫塑料等，</w:t>
            </w:r>
            <w:r>
              <w:rPr>
                <w:rFonts w:hint="eastAsia"/>
                <w:color w:val="auto"/>
                <w:sz w:val="24"/>
              </w:rPr>
              <w:t>产生量约0</w:t>
            </w:r>
            <w:r>
              <w:rPr>
                <w:color w:val="auto"/>
                <w:sz w:val="24"/>
              </w:rPr>
              <w:t>.</w:t>
            </w:r>
            <w:r>
              <w:rPr>
                <w:rFonts w:hint="eastAsia"/>
                <w:color w:val="auto"/>
                <w:sz w:val="24"/>
              </w:rPr>
              <w:t>02t</w:t>
            </w:r>
            <w:r>
              <w:rPr>
                <w:color w:val="auto"/>
                <w:sz w:val="24"/>
              </w:rPr>
              <w:t>/</w:t>
            </w:r>
            <w:r>
              <w:rPr>
                <w:rFonts w:hint="eastAsia"/>
                <w:color w:val="auto"/>
                <w:sz w:val="24"/>
              </w:rPr>
              <w:t>a，根据《关于在医疗机构推进生活垃圾分类管理的通知》（国卫办医发2017-30号）“对于塑料类包装袋、包装盒、包装箱，纸质外包装物，应当单独集中回收、存放”等相关规定，本项目药品包装盒收集后暂存于可回收物品间，定期交由有关单位回收。</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rPr>
                <w:color w:val="auto"/>
                <w:sz w:val="24"/>
              </w:rPr>
            </w:pPr>
            <w:r>
              <w:rPr>
                <w:rFonts w:hint="eastAsia"/>
                <w:b/>
                <w:bCs/>
                <w:color w:val="auto"/>
                <w:sz w:val="24"/>
              </w:rPr>
              <w:t>（</w:t>
            </w:r>
            <w:r>
              <w:rPr>
                <w:b/>
                <w:bCs/>
                <w:color w:val="auto"/>
                <w:sz w:val="24"/>
              </w:rPr>
              <w:t>4</w:t>
            </w:r>
            <w:r>
              <w:rPr>
                <w:rFonts w:hint="eastAsia"/>
                <w:b/>
                <w:bCs/>
                <w:color w:val="auto"/>
                <w:sz w:val="24"/>
              </w:rPr>
              <w:t>）</w:t>
            </w:r>
            <w:r>
              <w:rPr>
                <w:b/>
                <w:bCs/>
                <w:color w:val="auto"/>
                <w:sz w:val="24"/>
              </w:rPr>
              <w:t>医疗</w:t>
            </w:r>
            <w:r>
              <w:rPr>
                <w:rFonts w:hint="eastAsia"/>
                <w:b/>
                <w:bCs/>
                <w:color w:val="auto"/>
                <w:sz w:val="24"/>
              </w:rPr>
              <w:t>废</w:t>
            </w:r>
            <w:r>
              <w:rPr>
                <w:b/>
                <w:bCs/>
                <w:color w:val="auto"/>
                <w:sz w:val="24"/>
              </w:rPr>
              <w:t>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color w:val="auto"/>
                <w:sz w:val="24"/>
              </w:rPr>
            </w:pPr>
            <w:r>
              <w:rPr>
                <w:rFonts w:hint="eastAsia"/>
                <w:color w:val="auto"/>
                <w:sz w:val="24"/>
              </w:rPr>
              <w:t>按照《国家危险废物名录》（2021年版），</w:t>
            </w:r>
            <w:r>
              <w:rPr>
                <w:color w:val="auto"/>
                <w:sz w:val="24"/>
              </w:rPr>
              <w:t>医院产生的</w:t>
            </w:r>
            <w:r>
              <w:rPr>
                <w:rFonts w:hint="eastAsia"/>
                <w:color w:val="auto"/>
                <w:sz w:val="24"/>
              </w:rPr>
              <w:t>医疗废物属于“名录”所列的HW01类危险废物。</w:t>
            </w:r>
            <w:r>
              <w:rPr>
                <w:color w:val="auto"/>
                <w:sz w:val="24"/>
              </w:rPr>
              <w:t>根据卫计委和环保部联合制定的《医疗废物分类目录》</w:t>
            </w:r>
            <w:r>
              <w:rPr>
                <w:rFonts w:hint="eastAsia"/>
                <w:color w:val="auto"/>
                <w:sz w:val="24"/>
              </w:rPr>
              <w:t>（2021年版）</w:t>
            </w:r>
            <w:r>
              <w:rPr>
                <w:color w:val="auto"/>
                <w:sz w:val="24"/>
              </w:rPr>
              <w:t>中将医疗</w:t>
            </w:r>
            <w:r>
              <w:rPr>
                <w:rFonts w:hint="eastAsia"/>
                <w:color w:val="auto"/>
                <w:sz w:val="24"/>
              </w:rPr>
              <w:t>废物</w:t>
            </w:r>
            <w:r>
              <w:rPr>
                <w:color w:val="auto"/>
                <w:sz w:val="24"/>
              </w:rPr>
              <w:t>分为五类。</w:t>
            </w:r>
            <w:r>
              <w:rPr>
                <w:rFonts w:hint="eastAsia"/>
                <w:color w:val="auto"/>
                <w:sz w:val="24"/>
              </w:rPr>
              <w:t>具体如下：</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baseline"/>
              <w:rPr>
                <w:color w:val="auto"/>
                <w:sz w:val="24"/>
              </w:rPr>
            </w:pPr>
            <w:bookmarkStart w:id="20" w:name="bookmark136"/>
            <w:r>
              <w:rPr>
                <w:b/>
                <w:bCs/>
                <w:color w:val="auto"/>
                <w:sz w:val="24"/>
              </w:rPr>
              <w:t>a</w:t>
            </w:r>
            <w:bookmarkEnd w:id="20"/>
            <w:r>
              <w:rPr>
                <w:b/>
                <w:bCs/>
                <w:color w:val="auto"/>
                <w:sz w:val="24"/>
              </w:rPr>
              <w:t>、感染性废物：</w:t>
            </w:r>
            <w:r>
              <w:rPr>
                <w:rFonts w:hint="eastAsia"/>
                <w:color w:val="auto"/>
                <w:sz w:val="24"/>
              </w:rPr>
              <w:t>携带病原微生物具有引发感染性疾病传播危险的医疗废物，</w:t>
            </w:r>
            <w:r>
              <w:rPr>
                <w:color w:val="auto"/>
                <w:sz w:val="24"/>
              </w:rPr>
              <w:t>主要包括门诊、急诊和病房产生的被病人血液、体液、排泄物污染的物品，如棉球、棉签、纱布等各种敷料，一次性使用的卫生用品、医疗用品及医疗器械，废弃的被服及其他被病人污染的物品，各种废弃的医学病理标本、废弃血液、血清等。</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baseline"/>
              <w:rPr>
                <w:color w:val="auto"/>
                <w:sz w:val="24"/>
              </w:rPr>
            </w:pPr>
            <w:bookmarkStart w:id="21" w:name="bookmark137"/>
            <w:r>
              <w:rPr>
                <w:b/>
                <w:bCs/>
                <w:color w:val="auto"/>
                <w:sz w:val="24"/>
              </w:rPr>
              <w:t>b</w:t>
            </w:r>
            <w:bookmarkEnd w:id="21"/>
            <w:r>
              <w:rPr>
                <w:b/>
                <w:bCs/>
                <w:color w:val="auto"/>
                <w:sz w:val="24"/>
              </w:rPr>
              <w:t>、病理性废物：</w:t>
            </w:r>
            <w:r>
              <w:rPr>
                <w:color w:val="auto"/>
                <w:sz w:val="24"/>
              </w:rPr>
              <w:t>诊疗过程中产生的人体废弃物</w:t>
            </w:r>
            <w:r>
              <w:rPr>
                <w:rFonts w:hint="eastAsia"/>
                <w:color w:val="auto"/>
                <w:sz w:val="24"/>
              </w:rPr>
              <w:t>和医学实验动物尸体</w:t>
            </w:r>
            <w:r>
              <w:rPr>
                <w:color w:val="auto"/>
                <w:sz w:val="24"/>
              </w:rPr>
              <w:t>等，</w:t>
            </w:r>
            <w:r>
              <w:rPr>
                <w:rFonts w:hint="eastAsia"/>
                <w:color w:val="auto"/>
                <w:sz w:val="24"/>
              </w:rPr>
              <w:t>主要是</w:t>
            </w:r>
            <w:r>
              <w:rPr>
                <w:color w:val="auto"/>
                <w:sz w:val="24"/>
              </w:rPr>
              <w:t>人体组织、器官。</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baseline"/>
              <w:rPr>
                <w:color w:val="auto"/>
                <w:sz w:val="24"/>
              </w:rPr>
            </w:pPr>
            <w:bookmarkStart w:id="22" w:name="bookmark138"/>
            <w:r>
              <w:rPr>
                <w:b/>
                <w:bCs/>
                <w:color w:val="auto"/>
                <w:sz w:val="24"/>
              </w:rPr>
              <w:t>c</w:t>
            </w:r>
            <w:bookmarkEnd w:id="22"/>
            <w:r>
              <w:rPr>
                <w:b/>
                <w:bCs/>
                <w:color w:val="auto"/>
                <w:sz w:val="24"/>
              </w:rPr>
              <w:t>、</w:t>
            </w:r>
            <w:r>
              <w:rPr>
                <w:b/>
                <w:bCs/>
                <w:color w:val="auto"/>
                <w:sz w:val="24"/>
              </w:rPr>
              <w:tab/>
            </w:r>
            <w:r>
              <w:rPr>
                <w:b/>
                <w:bCs/>
                <w:color w:val="auto"/>
                <w:sz w:val="24"/>
              </w:rPr>
              <w:t>药物性废物：</w:t>
            </w:r>
            <w:r>
              <w:rPr>
                <w:color w:val="auto"/>
                <w:sz w:val="24"/>
              </w:rPr>
              <w:t>主要是过期、淘汰、变质或者被污染的药品及药品包装物等药物性废物。</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baseline"/>
              <w:rPr>
                <w:color w:val="auto"/>
                <w:sz w:val="24"/>
              </w:rPr>
            </w:pPr>
            <w:bookmarkStart w:id="23" w:name="bookmark139"/>
            <w:r>
              <w:rPr>
                <w:b/>
                <w:bCs/>
                <w:color w:val="auto"/>
                <w:sz w:val="24"/>
              </w:rPr>
              <w:t>d</w:t>
            </w:r>
            <w:bookmarkEnd w:id="23"/>
            <w:r>
              <w:rPr>
                <w:b/>
                <w:bCs/>
                <w:color w:val="auto"/>
                <w:sz w:val="24"/>
              </w:rPr>
              <w:t>、化学性废物：</w:t>
            </w:r>
            <w:r>
              <w:rPr>
                <w:rFonts w:hint="eastAsia"/>
                <w:color w:val="auto"/>
                <w:sz w:val="24"/>
              </w:rPr>
              <w:t>具有毒性、腐蚀性、易燃性、反应性的废弃的化学物品，主要</w:t>
            </w:r>
            <w:r>
              <w:rPr>
                <w:color w:val="auto"/>
                <w:sz w:val="24"/>
              </w:rPr>
              <w:t>来自临床实验室，如诊断或实验工作、清洁与消毒过程中产生的废弃的84、戊二醛等化学消毒剂及废弃的温度计等。</w:t>
            </w:r>
          </w:p>
          <w:p>
            <w:pPr>
              <w:pStyle w:val="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1" w:firstLineChars="200"/>
              <w:textAlignment w:val="baseline"/>
              <w:rPr>
                <w:color w:val="auto"/>
                <w:sz w:val="24"/>
              </w:rPr>
            </w:pPr>
            <w:bookmarkStart w:id="24" w:name="bookmark140"/>
            <w:r>
              <w:rPr>
                <w:b/>
                <w:bCs/>
                <w:color w:val="auto"/>
                <w:sz w:val="24"/>
                <w:szCs w:val="24"/>
              </w:rPr>
              <w:t>e</w:t>
            </w:r>
            <w:bookmarkEnd w:id="24"/>
            <w:r>
              <w:rPr>
                <w:b/>
                <w:bCs/>
                <w:color w:val="auto"/>
                <w:sz w:val="24"/>
                <w:szCs w:val="24"/>
              </w:rPr>
              <w:t>、</w:t>
            </w:r>
            <w:r>
              <w:rPr>
                <w:b/>
                <w:bCs/>
                <w:color w:val="auto"/>
                <w:sz w:val="24"/>
                <w:szCs w:val="24"/>
              </w:rPr>
              <w:tab/>
            </w:r>
            <w:r>
              <w:rPr>
                <w:b/>
                <w:bCs/>
                <w:color w:val="auto"/>
                <w:sz w:val="24"/>
                <w:szCs w:val="24"/>
              </w:rPr>
              <w:t>损伤性废物：</w:t>
            </w:r>
            <w:r>
              <w:rPr>
                <w:rFonts w:hint="eastAsia"/>
                <w:color w:val="auto"/>
                <w:sz w:val="24"/>
                <w:szCs w:val="24"/>
              </w:rPr>
              <w:t>能够刺伤或者割伤人体的废弃的医用锐器，</w:t>
            </w:r>
            <w:r>
              <w:rPr>
                <w:color w:val="auto"/>
                <w:sz w:val="24"/>
                <w:szCs w:val="24"/>
              </w:rPr>
              <w:t>主要包括医用针头、缝合针、手术刀、玻璃试管等。</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baseline"/>
              <w:rPr>
                <w:b/>
                <w:color w:val="auto"/>
                <w:sz w:val="24"/>
                <w:szCs w:val="21"/>
              </w:rPr>
            </w:pPr>
            <w:r>
              <w:rPr>
                <w:rFonts w:hint="eastAsia"/>
                <w:b/>
                <w:color w:val="auto"/>
                <w:sz w:val="24"/>
                <w:szCs w:val="21"/>
              </w:rPr>
              <w:t>注：项目区 X 射线数字成像系统等辐射检查过程，通过在电脑上查看病人片子，部分片子通过彩色打印机出片，不会产生辐射类胶片。</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本项目主要的医疗废物有：</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①病房</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全院共设置20张病床，日常主要是进行住院、输液、观察等治疗，产生的医疗固废主要为带有病人血液、体液的感染性医废和输液产生的输液管损伤性医废。根据《污染防治技术》（第16卷第3期）中“医院固体废弃物排放系数和产生量的测算”，病床≥20床，医废产生系数为170-190kg/床·年，本环评取180kg/床·年，医废产生量为3.6t/a。项目急救大楼每层设置医废间，内设分类垃圾桶，每天由专人清运至项目医废暂存间存放。最终委托有危废处理资质单位清运处置。</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②门诊、检验</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医院门诊会产生废一次性注射器等废物，检验过程会产生各类检验废液、试剂盒等，具有一定毒性，属于危险废物。根据建设单位提供的以往实际门诊、预防接种医疗固废产生情况，门诊、检验医疗固废产生量大约为2kg/d，0.73t/a，检验科产生的废液约0.3m</w:t>
            </w:r>
            <w:r>
              <w:rPr>
                <w:rFonts w:hint="eastAsia" w:ascii="Times New Roman" w:hAnsi="Times New Roman"/>
                <w:color w:val="auto"/>
                <w:sz w:val="24"/>
                <w:vertAlign w:val="superscript"/>
              </w:rPr>
              <w:t>3</w:t>
            </w:r>
            <w:r>
              <w:rPr>
                <w:rFonts w:hint="eastAsia" w:ascii="Times New Roman" w:hAnsi="Times New Roman"/>
                <w:color w:val="auto"/>
                <w:sz w:val="24"/>
              </w:rPr>
              <w:t>/d，109.5m</w:t>
            </w:r>
            <w:r>
              <w:rPr>
                <w:rFonts w:hint="eastAsia" w:ascii="Times New Roman" w:hAnsi="Times New Roman"/>
                <w:color w:val="auto"/>
                <w:sz w:val="24"/>
                <w:vertAlign w:val="superscript"/>
              </w:rPr>
              <w:t>3</w:t>
            </w:r>
            <w:r>
              <w:rPr>
                <w:rFonts w:hint="eastAsia" w:ascii="Times New Roman" w:hAnsi="Times New Roman"/>
                <w:color w:val="auto"/>
                <w:sz w:val="24"/>
              </w:rPr>
              <w:t>/a。门诊及检验可科室医疗废物采用专用容器分类收集，并贴上危险废物的标签，于项目医废暂存间内分类存放，委托有资质单位清运处置。</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③手术室</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项目设有手术室，但使用次数极少，本评价以每月平均一场手术计算医疗废物产生量。手术室产生的医疗废物主要为带有病人血液、体液的感染性废物，医用针头、手术刀等损伤性废物，以及人体组织、器官等病理性废物，根据业主资料，手术室医废产生情况按3kg/次计，则手术室医疗废物产生量为0.036t/a。根据产生的医废种类分别设置感染性废物收集设施（分为液态收集设施和固态收集设施）、损伤性废物收集设施、病理性废物收集设施；产生的医废分类收集，按要求用专用包装袋包装密封，运至项目医废暂存间，委托有资质单位清运处置。</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bCs/>
                <w:color w:val="auto"/>
                <w:sz w:val="24"/>
              </w:rPr>
            </w:pPr>
            <w:r>
              <w:rPr>
                <w:rFonts w:hint="eastAsia" w:ascii="Times New Roman" w:hAnsi="Times New Roman"/>
                <w:b/>
                <w:bCs/>
                <w:color w:val="auto"/>
                <w:sz w:val="24"/>
              </w:rPr>
              <w:t>④废紫外线灯管</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项目卫生院设有6台紫外线消毒车灯，紫外线灯管需定期更换，属于危险废物，每半年更换一次，年产生量为0.006t/a。通过专用容器分类收集，贴上危险废物的标签，在项目所设置的医废暂存间内分类存放，委托有资质单位收集处置。</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根据《医疗废物管理条例》的相关规定，医疗卫生机构应当及时收集本单位产生的医疗废物，并按照类别分置于防渗漏、防锐器穿透的专用包装物或者密闭的容器内。医疗卫生机构应当建立医疗废物的暂时贮存设施、设备，不得露天存放医疗废物。本项目医废暂存间位于医院西北角，建筑面积约为20m</w:t>
            </w:r>
            <w:r>
              <w:rPr>
                <w:rFonts w:hint="eastAsia" w:ascii="Times New Roman" w:hAnsi="Times New Roman"/>
                <w:color w:val="auto"/>
                <w:sz w:val="24"/>
                <w:vertAlign w:val="superscript"/>
              </w:rPr>
              <w:t>2</w:t>
            </w:r>
            <w:r>
              <w:rPr>
                <w:rFonts w:hint="eastAsia" w:ascii="Times New Roman" w:hAnsi="Times New Roman"/>
                <w:color w:val="auto"/>
                <w:sz w:val="24"/>
              </w:rPr>
              <w:t>，项目医疗废物通过急救大楼西侧的污梯运输，由大楼西侧出口运至医废暂存间，按照《危险废物贮存污染控制标准》（</w:t>
            </w:r>
            <w:r>
              <w:rPr>
                <w:rFonts w:ascii="Times New Roman" w:hAnsi="Times New Roman"/>
                <w:color w:val="auto"/>
                <w:sz w:val="24"/>
              </w:rPr>
              <w:t>GB 18597—2023</w:t>
            </w:r>
            <w:r>
              <w:rPr>
                <w:rFonts w:hint="eastAsia" w:ascii="Times New Roman" w:hAnsi="Times New Roman"/>
                <w:color w:val="auto"/>
                <w:sz w:val="24"/>
              </w:rPr>
              <w:t>）中防渗要求对医废暂存间地面敷设瓷砖，设置标识牌。医疗废物按照《医疗废物处置污染控制标准》（GB39707-2020）关于医疗废物 48 小时清运时限，委托</w:t>
            </w:r>
            <w:r>
              <w:rPr>
                <w:rFonts w:ascii="Times New Roman" w:hAnsi="Times New Roman"/>
                <w:color w:val="auto"/>
                <w:sz w:val="24"/>
              </w:rPr>
              <w:t>有医疗废物处置资质的单位</w:t>
            </w:r>
            <w:r>
              <w:rPr>
                <w:rFonts w:hint="eastAsia" w:ascii="Times New Roman" w:hAnsi="Times New Roman"/>
                <w:color w:val="auto"/>
                <w:sz w:val="24"/>
              </w:rPr>
              <w:t>清运处置，每次清运按照实际情况认真填写转移联单。</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bCs/>
                <w:color w:val="auto"/>
                <w:sz w:val="24"/>
              </w:rPr>
            </w:pPr>
            <w:bookmarkStart w:id="25" w:name="bookmark141"/>
            <w:r>
              <w:rPr>
                <w:rFonts w:ascii="Times New Roman" w:hAnsi="Times New Roman"/>
                <w:b/>
                <w:bCs/>
                <w:color w:val="auto"/>
                <w:sz w:val="24"/>
              </w:rPr>
              <w:t>（</w:t>
            </w:r>
            <w:bookmarkEnd w:id="25"/>
            <w:r>
              <w:rPr>
                <w:rFonts w:hint="eastAsia" w:ascii="Times New Roman" w:hAnsi="Times New Roman"/>
                <w:b/>
                <w:bCs/>
                <w:color w:val="auto"/>
                <w:sz w:val="24"/>
              </w:rPr>
              <w:t>5</w:t>
            </w:r>
            <w:r>
              <w:rPr>
                <w:rFonts w:ascii="Times New Roman" w:hAnsi="Times New Roman"/>
                <w:b/>
                <w:bCs/>
                <w:color w:val="auto"/>
                <w:sz w:val="24"/>
              </w:rPr>
              <w:t>）水处理污泥</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污水处理过程产生的泥量与原水的悬浮固体及处理工艺有关</w:t>
            </w:r>
            <w:r>
              <w:rPr>
                <w:rFonts w:hint="eastAsia" w:ascii="Times New Roman" w:hAnsi="Times New Roman"/>
                <w:color w:val="auto"/>
                <w:sz w:val="24"/>
              </w:rPr>
              <w:t>，本项目污水采用“二级生化处理+MBR膜处理+次氯酸钠消毒”工艺，</w:t>
            </w:r>
            <w:r>
              <w:rPr>
                <w:rFonts w:ascii="Times New Roman" w:hAnsi="Times New Roman"/>
                <w:color w:val="auto"/>
                <w:sz w:val="24"/>
              </w:rPr>
              <w:t>污水处理</w:t>
            </w:r>
            <w:r>
              <w:rPr>
                <w:rFonts w:hint="eastAsia" w:ascii="Times New Roman" w:hAnsi="Times New Roman"/>
                <w:color w:val="auto"/>
                <w:sz w:val="24"/>
              </w:rPr>
              <w:t>过程中</w:t>
            </w:r>
            <w:r>
              <w:rPr>
                <w:rFonts w:ascii="Times New Roman" w:hAnsi="Times New Roman"/>
                <w:color w:val="auto"/>
                <w:sz w:val="24"/>
              </w:rPr>
              <w:t>会产生污泥，根据《医院污水处理技术指南</w:t>
            </w:r>
            <w:r>
              <w:rPr>
                <w:rFonts w:hint="eastAsia" w:ascii="Times New Roman" w:hAnsi="Times New Roman"/>
                <w:color w:val="auto"/>
                <w:sz w:val="24"/>
              </w:rPr>
              <w:t>》</w:t>
            </w:r>
            <w:r>
              <w:rPr>
                <w:rFonts w:ascii="Times New Roman" w:hAnsi="Times New Roman"/>
                <w:color w:val="auto"/>
                <w:sz w:val="24"/>
              </w:rPr>
              <w:t>，</w:t>
            </w:r>
            <w:r>
              <w:rPr>
                <w:rFonts w:hint="eastAsia" w:ascii="Times New Roman" w:hAnsi="Times New Roman"/>
                <w:color w:val="auto"/>
                <w:sz w:val="24"/>
              </w:rPr>
              <w:t>项目污水处理过程中调节池污泥总固体</w:t>
            </w:r>
            <w:r>
              <w:rPr>
                <w:rFonts w:ascii="Times New Roman" w:hAnsi="Times New Roman"/>
                <w:color w:val="auto"/>
                <w:sz w:val="24"/>
              </w:rPr>
              <w:t>产生量为54g/</w:t>
            </w:r>
            <w:r>
              <w:rPr>
                <w:rFonts w:hint="eastAsia" w:ascii="Times New Roman" w:hAnsi="Times New Roman"/>
                <w:color w:val="auto"/>
                <w:sz w:val="24"/>
              </w:rPr>
              <w:t>（人</w:t>
            </w:r>
            <w:r>
              <w:rPr>
                <w:rFonts w:hint="eastAsia" w:ascii="Times New Roman" w:hAnsi="Times New Roman" w:cs="宋体"/>
                <w:color w:val="auto"/>
                <w:sz w:val="24"/>
              </w:rPr>
              <w:t>•</w:t>
            </w:r>
            <w:r>
              <w:rPr>
                <w:rFonts w:ascii="Times New Roman" w:hAnsi="Times New Roman"/>
                <w:color w:val="auto"/>
                <w:sz w:val="24"/>
              </w:rPr>
              <w:t>d</w:t>
            </w:r>
            <w:r>
              <w:rPr>
                <w:rFonts w:hint="eastAsia" w:ascii="Times New Roman" w:hAnsi="Times New Roman"/>
                <w:color w:val="auto"/>
                <w:sz w:val="24"/>
              </w:rPr>
              <w:t>），污泥体积为0.68~1.08(L/人</w:t>
            </w:r>
            <w:r>
              <w:rPr>
                <w:rFonts w:hint="eastAsia" w:ascii="Times New Roman" w:hAnsi="Times New Roman" w:cs="宋体"/>
                <w:color w:val="auto"/>
                <w:sz w:val="24"/>
              </w:rPr>
              <w:t>•</w:t>
            </w:r>
            <w:r>
              <w:rPr>
                <w:rFonts w:hint="eastAsia" w:ascii="Times New Roman" w:hAnsi="Times New Roman"/>
                <w:color w:val="auto"/>
                <w:sz w:val="24"/>
              </w:rPr>
              <w:t>d)，评价取1(L/人</w:t>
            </w:r>
            <w:r>
              <w:rPr>
                <w:rFonts w:hint="eastAsia" w:ascii="Times New Roman" w:hAnsi="Times New Roman" w:cs="宋体"/>
                <w:color w:val="auto"/>
                <w:sz w:val="24"/>
              </w:rPr>
              <w:t>•</w:t>
            </w:r>
            <w:r>
              <w:rPr>
                <w:rFonts w:hint="eastAsia" w:ascii="Times New Roman" w:hAnsi="Times New Roman"/>
                <w:color w:val="auto"/>
                <w:sz w:val="24"/>
              </w:rPr>
              <w:t>d)；生化池污泥总固体</w:t>
            </w:r>
            <w:r>
              <w:rPr>
                <w:rFonts w:ascii="Times New Roman" w:hAnsi="Times New Roman"/>
                <w:color w:val="auto"/>
                <w:sz w:val="24"/>
              </w:rPr>
              <w:t>产生量为</w:t>
            </w:r>
            <w:r>
              <w:rPr>
                <w:rFonts w:hint="eastAsia" w:ascii="Times New Roman" w:hAnsi="Times New Roman"/>
                <w:color w:val="auto"/>
                <w:sz w:val="24"/>
              </w:rPr>
              <w:t>31</w:t>
            </w:r>
            <w:r>
              <w:rPr>
                <w:rFonts w:ascii="Times New Roman" w:hAnsi="Times New Roman"/>
                <w:color w:val="auto"/>
                <w:sz w:val="24"/>
              </w:rPr>
              <w:t>g/</w:t>
            </w:r>
            <w:r>
              <w:rPr>
                <w:rFonts w:hint="eastAsia" w:ascii="Times New Roman" w:hAnsi="Times New Roman"/>
                <w:color w:val="auto"/>
                <w:sz w:val="24"/>
              </w:rPr>
              <w:t>（人</w:t>
            </w:r>
            <w:r>
              <w:rPr>
                <w:rFonts w:hint="eastAsia" w:ascii="Times New Roman" w:hAnsi="Times New Roman" w:cs="宋体"/>
                <w:color w:val="auto"/>
                <w:sz w:val="24"/>
              </w:rPr>
              <w:t>•</w:t>
            </w:r>
            <w:r>
              <w:rPr>
                <w:rFonts w:ascii="Times New Roman" w:hAnsi="Times New Roman"/>
                <w:color w:val="auto"/>
                <w:sz w:val="24"/>
              </w:rPr>
              <w:t>d</w:t>
            </w:r>
            <w:r>
              <w:rPr>
                <w:rFonts w:hint="eastAsia" w:ascii="Times New Roman" w:hAnsi="Times New Roman"/>
                <w:color w:val="auto"/>
                <w:sz w:val="24"/>
              </w:rPr>
              <w:t>），污泥体积为1.04~2.07(L/人</w:t>
            </w:r>
            <w:r>
              <w:rPr>
                <w:rFonts w:hint="eastAsia" w:ascii="Times New Roman" w:hAnsi="Times New Roman" w:cs="宋体"/>
                <w:color w:val="auto"/>
                <w:sz w:val="24"/>
              </w:rPr>
              <w:t>•</w:t>
            </w:r>
            <w:r>
              <w:rPr>
                <w:rFonts w:hint="eastAsia" w:ascii="Times New Roman" w:hAnsi="Times New Roman"/>
                <w:color w:val="auto"/>
                <w:sz w:val="24"/>
              </w:rPr>
              <w:t>d)，评价取1.5(L/人</w:t>
            </w:r>
            <w:r>
              <w:rPr>
                <w:rFonts w:hint="eastAsia" w:ascii="Times New Roman" w:hAnsi="Times New Roman" w:cs="宋体"/>
                <w:color w:val="auto"/>
                <w:sz w:val="24"/>
              </w:rPr>
              <w:t>•</w:t>
            </w:r>
            <w:r>
              <w:rPr>
                <w:rFonts w:hint="eastAsia" w:ascii="Times New Roman" w:hAnsi="Times New Roman"/>
                <w:color w:val="auto"/>
                <w:sz w:val="24"/>
              </w:rPr>
              <w:t>d)；化粪池中污泥主要来自医务人员和患者等的粪便，每人每天粪便量约为150g，化粪池污泥量取决于每人每天的粪便量和清掏周期。</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项目医院工作人员28人，住院病人、陪护人员、门诊量均以20</w:t>
            </w:r>
            <w:r>
              <w:rPr>
                <w:rFonts w:ascii="Times New Roman" w:hAnsi="Times New Roman"/>
                <w:color w:val="auto"/>
                <w:sz w:val="24"/>
              </w:rPr>
              <w:t>人/d</w:t>
            </w:r>
            <w:r>
              <w:rPr>
                <w:rFonts w:hint="eastAsia" w:ascii="Times New Roman" w:hAnsi="Times New Roman"/>
                <w:color w:val="auto"/>
                <w:sz w:val="24"/>
              </w:rPr>
              <w:t>计，共88人/d。则产生调节池污泥4.752kg/d，88L/d；生化池污泥2.728kg/d，132L/d。根据</w:t>
            </w:r>
            <w:r>
              <w:rPr>
                <w:rFonts w:ascii="Times New Roman" w:hAnsi="Times New Roman"/>
                <w:color w:val="auto"/>
                <w:sz w:val="24"/>
              </w:rPr>
              <w:t>《医院污水处理技术指南</w:t>
            </w:r>
            <w:r>
              <w:rPr>
                <w:rFonts w:hint="eastAsia" w:ascii="Times New Roman" w:hAnsi="Times New Roman"/>
                <w:color w:val="auto"/>
                <w:sz w:val="24"/>
              </w:rPr>
              <w:t>》，每天湿污泥产生量小于2m</w:t>
            </w:r>
            <w:r>
              <w:rPr>
                <w:rFonts w:hint="eastAsia" w:ascii="Times New Roman" w:hAnsi="Times New Roman"/>
                <w:color w:val="auto"/>
                <w:sz w:val="24"/>
                <w:vertAlign w:val="superscript"/>
              </w:rPr>
              <w:t>3</w:t>
            </w:r>
            <w:r>
              <w:rPr>
                <w:rFonts w:hint="eastAsia" w:ascii="Times New Roman" w:hAnsi="Times New Roman"/>
                <w:color w:val="auto"/>
                <w:sz w:val="24"/>
              </w:rPr>
              <w:t>的污水处理系统，产生的污泥可消毒后排入化粪池，则调节池污泥消毒后排入项目化粪池；生化池产生的污泥一半回流至生化池，补充生化池的污泥浓度，一半消毒后排入化粪池。</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项目卫生院满负荷运行时，每天人数约为88人，产生化粪池污泥13.2kg/d。本项目污水处理站调节池污泥和部分生化池污泥消毒后排入化粪池，则化粪池每天污泥量产生量约为19.32kg/d，7.052t/a，每半年由资质单位清掏，运至有危废处理资质单位处置。项目污水处理站采用了一体式MBR处理设备，其中的MBR膜处理池代替了传统的二沉池，能够实现高效的固液分离，保证出水水质稳定，能够完全去除SS，对细菌和病毒也有很好的截留效果，同时MBR剩余污泥产量低，甚至无剩余污泥排放，项目MBR膜池产生的剩余污泥回流到生化处理中的O池中，不外排。</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bCs/>
                <w:color w:val="auto"/>
                <w:sz w:val="24"/>
              </w:rPr>
            </w:pPr>
            <w:r>
              <w:rPr>
                <w:rFonts w:hint="eastAsia" w:ascii="Times New Roman" w:hAnsi="Times New Roman"/>
                <w:b/>
                <w:bCs/>
                <w:color w:val="auto"/>
                <w:sz w:val="24"/>
              </w:rPr>
              <w:t>（6）废MBR膜</w:t>
            </w:r>
          </w:p>
          <w:p>
            <w:pPr>
              <w:pStyle w:val="15"/>
              <w:keepNext w:val="0"/>
              <w:keepLines w:val="0"/>
              <w:pageBreakBefore w:val="0"/>
              <w:kinsoku/>
              <w:wordWrap/>
              <w:overflowPunct/>
              <w:topLinePunct w:val="0"/>
              <w:autoSpaceDE/>
              <w:autoSpaceDN/>
              <w:bidi w:val="0"/>
              <w:adjustRightInd w:val="0"/>
              <w:snapToGrid/>
              <w:spacing w:line="360" w:lineRule="auto"/>
              <w:ind w:firstLine="480"/>
              <w:textAlignment w:val="auto"/>
              <w:rPr>
                <w:rFonts w:ascii="Times New Roman" w:hAnsi="Times New Roman"/>
                <w:color w:val="auto"/>
                <w:sz w:val="24"/>
              </w:rPr>
            </w:pPr>
            <w:r>
              <w:rPr>
                <w:rFonts w:hint="eastAsia" w:ascii="Times New Roman" w:hAnsi="Times New Roman"/>
                <w:color w:val="auto"/>
                <w:sz w:val="24"/>
              </w:rPr>
              <w:t>本项目污水采用“二级生化处理+MBR膜处理+次氯酸钠消毒”工艺，处理过程中会产生废弃的MBR膜，为保证污水处理设备高效运行，项目一体化设备MBR膜每年更换一次，则废MBR膜产生量约为0.01t/a，属于危险废物，消毒后暂存医废间，定期交由资质单位处理。</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olor w:val="auto"/>
                <w:sz w:val="24"/>
                <w:lang w:val="en-US" w:eastAsia="zh-CN"/>
              </w:rPr>
            </w:pPr>
            <w:r>
              <w:rPr>
                <w:rFonts w:ascii="Times New Roman" w:hAnsi="Times New Roman"/>
                <w:color w:val="auto"/>
                <w:sz w:val="24"/>
              </w:rPr>
              <w:t>项目营运期固废产生、排放情况详见表</w:t>
            </w:r>
            <w:r>
              <w:rPr>
                <w:rFonts w:hint="eastAsia" w:ascii="Times New Roman" w:hAnsi="Times New Roman"/>
                <w:color w:val="auto"/>
                <w:sz w:val="24"/>
              </w:rPr>
              <w:t>4-1</w:t>
            </w:r>
            <w:r>
              <w:rPr>
                <w:rFonts w:hint="eastAsia"/>
                <w:color w:val="auto"/>
                <w:sz w:val="24"/>
                <w:lang w:val="en-US" w:eastAsia="zh-CN"/>
              </w:rPr>
              <w:t>2。</w:t>
            </w:r>
          </w:p>
          <w:p>
            <w:pPr>
              <w:pStyle w:val="56"/>
              <w:keepNext/>
              <w:keepLines/>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ascii="Times New Roman" w:hAnsi="Times New Roman" w:eastAsia="宋体"/>
                <w:color w:val="auto"/>
                <w:sz w:val="21"/>
                <w:szCs w:val="21"/>
                <w:lang w:val="en-US" w:eastAsia="zh-CN"/>
              </w:rPr>
            </w:pPr>
            <w:bookmarkStart w:id="26" w:name="bookmark144"/>
            <w:bookmarkStart w:id="27" w:name="bookmark143"/>
            <w:bookmarkStart w:id="28" w:name="bookmark145"/>
            <w:bookmarkStart w:id="29" w:name="_Toc2738"/>
            <w:r>
              <w:rPr>
                <w:rFonts w:ascii="Times New Roman" w:hAnsi="Times New Roman" w:eastAsia="宋体"/>
                <w:color w:val="auto"/>
                <w:sz w:val="21"/>
                <w:szCs w:val="21"/>
              </w:rPr>
              <w:t>表</w:t>
            </w:r>
            <w:r>
              <w:rPr>
                <w:rFonts w:hint="eastAsia" w:ascii="Times New Roman" w:hAnsi="Times New Roman" w:eastAsia="宋体" w:cs="Times New Roman"/>
                <w:color w:val="auto"/>
                <w:sz w:val="21"/>
                <w:szCs w:val="21"/>
                <w:lang w:val="en-US" w:eastAsia="zh-CN"/>
              </w:rPr>
              <w:t>4-12</w:t>
            </w:r>
            <w:r>
              <w:rPr>
                <w:rFonts w:ascii="Times New Roman" w:hAnsi="Times New Roman" w:eastAsia="宋体"/>
                <w:color w:val="auto"/>
                <w:sz w:val="21"/>
                <w:szCs w:val="21"/>
              </w:rPr>
              <w:t>固体废物污染情况</w:t>
            </w:r>
            <w:bookmarkEnd w:id="26"/>
            <w:bookmarkEnd w:id="27"/>
            <w:bookmarkEnd w:id="28"/>
            <w:bookmarkEnd w:id="29"/>
            <w:r>
              <w:rPr>
                <w:rFonts w:ascii="Times New Roman" w:hAnsi="Times New Roman" w:eastAsia="宋体"/>
                <w:color w:val="auto"/>
                <w:sz w:val="21"/>
                <w:szCs w:val="21"/>
              </w:rPr>
              <w:t>一览</w:t>
            </w:r>
            <w:r>
              <w:rPr>
                <w:rFonts w:hint="eastAsia" w:ascii="Times New Roman" w:hAnsi="Times New Roman" w:eastAsia="宋体"/>
                <w:color w:val="auto"/>
                <w:sz w:val="21"/>
                <w:szCs w:val="21"/>
                <w:lang w:val="en-US" w:eastAsia="zh-CN"/>
              </w:rPr>
              <w:t>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627"/>
              <w:gridCol w:w="1191"/>
              <w:gridCol w:w="1375"/>
              <w:gridCol w:w="576"/>
              <w:gridCol w:w="1078"/>
              <w:gridCol w:w="1105"/>
              <w:gridCol w:w="1093"/>
              <w:gridCol w:w="12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08"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固废名称</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产生工序</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形态</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废物类别</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废物代码</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产生量</w:t>
                  </w:r>
                </w:p>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lang w:eastAsia="en-US"/>
                    </w:rPr>
                    <w:t>(t/a)</w:t>
                  </w:r>
                </w:p>
              </w:tc>
              <w:tc>
                <w:tcPr>
                  <w:tcW w:w="74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
                      <w:bCs/>
                      <w:color w:val="auto"/>
                      <w:sz w:val="21"/>
                      <w:szCs w:val="21"/>
                    </w:rPr>
                  </w:pPr>
                  <w:r>
                    <w:rPr>
                      <w:rFonts w:ascii="Times New Roman" w:hAnsi="Times New Roman" w:eastAsia="宋体"/>
                      <w:b/>
                      <w:bCs/>
                      <w:color w:val="auto"/>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53"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1</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生活垃圾</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办公、生活</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固</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16.06</w:t>
                  </w:r>
                </w:p>
              </w:tc>
              <w:tc>
                <w:tcPr>
                  <w:tcW w:w="74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012"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药品、试剂 等</w:t>
                  </w:r>
                  <w:r>
                    <w:rPr>
                      <w:rFonts w:hint="eastAsia" w:ascii="Times New Roman" w:hAnsi="Times New Roman" w:eastAsia="宋体"/>
                      <w:color w:val="auto"/>
                      <w:sz w:val="21"/>
                      <w:szCs w:val="21"/>
                    </w:rPr>
                    <w:t>外</w:t>
                  </w:r>
                  <w:r>
                    <w:rPr>
                      <w:rFonts w:ascii="Times New Roman" w:hAnsi="Times New Roman" w:eastAsia="宋体"/>
                      <w:color w:val="auto"/>
                      <w:sz w:val="21"/>
                      <w:szCs w:val="21"/>
                    </w:rPr>
                    <w:t>包装材料</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医疗过程</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固</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bCs/>
                      <w:color w:val="auto"/>
                      <w:sz w:val="21"/>
                      <w:szCs w:val="18"/>
                    </w:rPr>
                    <w:t>SW17</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bCs/>
                      <w:color w:val="auto"/>
                      <w:sz w:val="21"/>
                      <w:szCs w:val="18"/>
                    </w:rPr>
                    <w:t>900-005-S17</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0.02</w:t>
                  </w:r>
                </w:p>
              </w:tc>
              <w:tc>
                <w:tcPr>
                  <w:tcW w:w="74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012"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bCs/>
                      <w:color w:val="auto"/>
                      <w:sz w:val="21"/>
                    </w:rPr>
                    <w:t>未污染输液瓶袋</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医疗过程</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固</w:t>
                  </w:r>
                </w:p>
              </w:tc>
              <w:tc>
                <w:tcPr>
                  <w:tcW w:w="650" w:type="pct"/>
                  <w:tcBorders>
                    <w:tl2br w:val="nil"/>
                    <w:tr2bl w:val="nil"/>
                  </w:tcBorders>
                  <w:shd w:val="clear" w:color="auto" w:fill="auto"/>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bCs/>
                      <w:color w:val="auto"/>
                      <w:sz w:val="21"/>
                      <w:szCs w:val="18"/>
                    </w:rPr>
                    <w:t>SW17</w:t>
                  </w:r>
                </w:p>
              </w:tc>
              <w:tc>
                <w:tcPr>
                  <w:tcW w:w="666" w:type="pct"/>
                  <w:tcBorders>
                    <w:tl2br w:val="nil"/>
                    <w:tr2bl w:val="nil"/>
                  </w:tcBorders>
                  <w:shd w:val="clear" w:color="auto" w:fill="auto"/>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bCs/>
                      <w:color w:val="auto"/>
                      <w:sz w:val="21"/>
                      <w:szCs w:val="18"/>
                    </w:rPr>
                    <w:t>900-099-S17</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0.1</w:t>
                  </w:r>
                </w:p>
              </w:tc>
              <w:tc>
                <w:tcPr>
                  <w:tcW w:w="74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资质单位回收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22"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718" w:type="pct"/>
                  <w:vMerge w:val="restar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医疗废物</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医疗过程</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固</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lang w:eastAsia="en-US"/>
                    </w:rPr>
                    <w:t>HW01</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4.37</w:t>
                  </w:r>
                </w:p>
              </w:tc>
              <w:tc>
                <w:tcPr>
                  <w:tcW w:w="748" w:type="pct"/>
                  <w:vMerge w:val="restar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委托有危废处置资质单位</w:t>
                  </w:r>
                  <w:r>
                    <w:rPr>
                      <w:rFonts w:hint="eastAsia" w:ascii="Times New Roman" w:hAnsi="Times New Roman" w:eastAsia="宋体"/>
                      <w:color w:val="auto"/>
                      <w:sz w:val="21"/>
                      <w:szCs w:val="21"/>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22"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718" w:type="pct"/>
                  <w:vMerge w:val="continue"/>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检验</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液</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HW01</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rPr>
                    <w:t>109.5m</w:t>
                  </w:r>
                  <w:r>
                    <w:rPr>
                      <w:rFonts w:hint="eastAsia" w:ascii="Times New Roman" w:hAnsi="Times New Roman" w:eastAsia="宋体"/>
                      <w:color w:val="auto"/>
                      <w:sz w:val="21"/>
                      <w:vertAlign w:val="superscript"/>
                    </w:rPr>
                    <w:t>3</w:t>
                  </w:r>
                  <w:r>
                    <w:rPr>
                      <w:rFonts w:hint="eastAsia" w:ascii="Times New Roman" w:hAnsi="Times New Roman" w:eastAsia="宋体"/>
                      <w:color w:val="auto"/>
                      <w:sz w:val="21"/>
                    </w:rPr>
                    <w:t>/a</w:t>
                  </w:r>
                </w:p>
              </w:tc>
              <w:tc>
                <w:tcPr>
                  <w:tcW w:w="748" w:type="pct"/>
                  <w:vMerge w:val="continue"/>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35"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6</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废紫外线灯管</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紫外线消毒</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固</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bCs/>
                      <w:color w:val="auto"/>
                      <w:sz w:val="21"/>
                      <w:szCs w:val="18"/>
                    </w:rPr>
                    <w:t>HW29</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bCs/>
                      <w:color w:val="auto"/>
                      <w:sz w:val="21"/>
                      <w:szCs w:val="18"/>
                    </w:rPr>
                    <w:t>900-0</w:t>
                  </w:r>
                  <w:r>
                    <w:rPr>
                      <w:rFonts w:hint="eastAsia" w:ascii="Times New Roman" w:hAnsi="Times New Roman" w:eastAsia="宋体"/>
                      <w:bCs/>
                      <w:color w:val="auto"/>
                      <w:sz w:val="21"/>
                      <w:szCs w:val="18"/>
                    </w:rPr>
                    <w:t>23</w:t>
                  </w:r>
                  <w:r>
                    <w:rPr>
                      <w:rFonts w:ascii="Times New Roman" w:hAnsi="Times New Roman" w:eastAsia="宋体"/>
                      <w:bCs/>
                      <w:color w:val="auto"/>
                      <w:sz w:val="21"/>
                      <w:szCs w:val="18"/>
                    </w:rPr>
                    <w:t>-</w:t>
                  </w:r>
                  <w:r>
                    <w:rPr>
                      <w:rFonts w:hint="eastAsia" w:ascii="Times New Roman" w:hAnsi="Times New Roman" w:eastAsia="宋体"/>
                      <w:bCs/>
                      <w:color w:val="auto"/>
                      <w:sz w:val="21"/>
                      <w:szCs w:val="18"/>
                    </w:rPr>
                    <w:t>2</w:t>
                  </w:r>
                  <w:r>
                    <w:rPr>
                      <w:rFonts w:ascii="Times New Roman" w:hAnsi="Times New Roman" w:eastAsia="宋体"/>
                      <w:bCs/>
                      <w:color w:val="auto"/>
                      <w:sz w:val="21"/>
                      <w:szCs w:val="18"/>
                    </w:rPr>
                    <w:t>9</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0.006</w:t>
                  </w:r>
                </w:p>
              </w:tc>
              <w:tc>
                <w:tcPr>
                  <w:tcW w:w="748" w:type="pct"/>
                  <w:vMerge w:val="continue"/>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95"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7</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污泥</w:t>
                  </w:r>
                </w:p>
              </w:tc>
              <w:tc>
                <w:tcPr>
                  <w:tcW w:w="82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医疗废水处理</w:t>
                  </w:r>
                </w:p>
              </w:tc>
              <w:tc>
                <w:tcPr>
                  <w:tcW w:w="347"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固</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bCs/>
                      <w:color w:val="auto"/>
                      <w:sz w:val="21"/>
                      <w:szCs w:val="18"/>
                    </w:rPr>
                    <w:t>HW</w:t>
                  </w:r>
                  <w:r>
                    <w:rPr>
                      <w:rFonts w:hint="eastAsia" w:ascii="Times New Roman" w:hAnsi="Times New Roman" w:eastAsia="宋体"/>
                      <w:bCs/>
                      <w:color w:val="auto"/>
                      <w:sz w:val="21"/>
                      <w:szCs w:val="18"/>
                    </w:rPr>
                    <w:t>49</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bCs/>
                      <w:color w:val="auto"/>
                      <w:sz w:val="21"/>
                      <w:szCs w:val="18"/>
                    </w:rPr>
                    <w:t>772-006-49</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7.052</w:t>
                  </w:r>
                </w:p>
              </w:tc>
              <w:tc>
                <w:tcPr>
                  <w:tcW w:w="748" w:type="pct"/>
                  <w:vMerge w:val="continue"/>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95" w:hRule="exact"/>
                <w:jc w:val="center"/>
              </w:trPr>
              <w:tc>
                <w:tcPr>
                  <w:tcW w:w="37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8</w:t>
                  </w:r>
                </w:p>
              </w:tc>
              <w:tc>
                <w:tcPr>
                  <w:tcW w:w="718"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废MBR膜</w:t>
                  </w:r>
                </w:p>
              </w:tc>
              <w:tc>
                <w:tcPr>
                  <w:tcW w:w="829" w:type="pct"/>
                  <w:tcBorders>
                    <w:tl2br w:val="nil"/>
                    <w:tr2bl w:val="nil"/>
                  </w:tcBorders>
                  <w:shd w:val="clear" w:color="auto" w:fill="auto"/>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医疗废水处理</w:t>
                  </w:r>
                </w:p>
              </w:tc>
              <w:tc>
                <w:tcPr>
                  <w:tcW w:w="347" w:type="pct"/>
                  <w:tcBorders>
                    <w:tl2br w:val="nil"/>
                    <w:tr2bl w:val="nil"/>
                  </w:tcBorders>
                  <w:shd w:val="clear" w:color="auto" w:fill="auto"/>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固</w:t>
                  </w:r>
                </w:p>
              </w:tc>
              <w:tc>
                <w:tcPr>
                  <w:tcW w:w="650"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Cs/>
                      <w:color w:val="auto"/>
                      <w:sz w:val="21"/>
                      <w:szCs w:val="18"/>
                    </w:rPr>
                  </w:pPr>
                  <w:r>
                    <w:rPr>
                      <w:rFonts w:ascii="Times New Roman" w:hAnsi="Times New Roman" w:eastAsia="宋体"/>
                      <w:bCs/>
                      <w:color w:val="auto"/>
                      <w:sz w:val="21"/>
                      <w:szCs w:val="18"/>
                    </w:rPr>
                    <w:t>HW</w:t>
                  </w:r>
                  <w:r>
                    <w:rPr>
                      <w:rFonts w:hint="eastAsia" w:ascii="Times New Roman" w:hAnsi="Times New Roman" w:eastAsia="宋体"/>
                      <w:bCs/>
                      <w:color w:val="auto"/>
                      <w:sz w:val="21"/>
                      <w:szCs w:val="18"/>
                    </w:rPr>
                    <w:t>49</w:t>
                  </w:r>
                </w:p>
              </w:tc>
              <w:tc>
                <w:tcPr>
                  <w:tcW w:w="666"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bCs/>
                      <w:color w:val="auto"/>
                      <w:sz w:val="21"/>
                      <w:szCs w:val="18"/>
                    </w:rPr>
                  </w:pPr>
                  <w:r>
                    <w:rPr>
                      <w:rFonts w:hint="eastAsia" w:ascii="Times New Roman" w:hAnsi="Times New Roman" w:eastAsia="宋体"/>
                      <w:bCs/>
                      <w:color w:val="auto"/>
                      <w:sz w:val="21"/>
                      <w:szCs w:val="18"/>
                    </w:rPr>
                    <w:t>900-041-49</w:t>
                  </w:r>
                </w:p>
              </w:tc>
              <w:tc>
                <w:tcPr>
                  <w:tcW w:w="659" w:type="pct"/>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r>
                    <w:rPr>
                      <w:rFonts w:hint="eastAsia" w:ascii="Times New Roman" w:hAnsi="Times New Roman" w:eastAsia="宋体"/>
                      <w:color w:val="auto"/>
                      <w:sz w:val="21"/>
                      <w:szCs w:val="21"/>
                    </w:rPr>
                    <w:t>0.01</w:t>
                  </w:r>
                </w:p>
              </w:tc>
              <w:tc>
                <w:tcPr>
                  <w:tcW w:w="748" w:type="pct"/>
                  <w:vMerge w:val="continue"/>
                  <w:tcBorders>
                    <w:tl2br w:val="nil"/>
                    <w:tr2bl w:val="nil"/>
                  </w:tcBorders>
                  <w:vAlign w:val="center"/>
                </w:tcPr>
                <w:p>
                  <w:pPr>
                    <w:pStyle w:val="44"/>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auto"/>
                      <w:sz w:val="21"/>
                      <w:szCs w:val="21"/>
                    </w:rPr>
                  </w:pPr>
                </w:p>
              </w:tc>
            </w:tr>
          </w:tbl>
          <w:p>
            <w:pPr>
              <w:pStyle w:val="44"/>
              <w:keepNext w:val="0"/>
              <w:keepLines w:val="0"/>
              <w:pageBreakBefore w:val="0"/>
              <w:widowControl w:val="0"/>
              <w:kinsoku/>
              <w:wordWrap/>
              <w:overflowPunct/>
              <w:topLinePunct w:val="0"/>
              <w:autoSpaceDE/>
              <w:autoSpaceDN/>
              <w:bidi w:val="0"/>
              <w:adjustRightInd w:val="0"/>
              <w:snapToGrid/>
              <w:spacing w:line="360" w:lineRule="auto"/>
              <w:jc w:val="both"/>
              <w:textAlignment w:val="auto"/>
              <w:rPr>
                <w:b/>
                <w:bCs/>
                <w:color w:val="auto"/>
                <w:kern w:val="0"/>
                <w:sz w:val="24"/>
              </w:rPr>
            </w:pPr>
            <w:r>
              <w:rPr>
                <w:rFonts w:hint="eastAsia"/>
                <w:b/>
                <w:bCs/>
                <w:color w:val="auto"/>
                <w:sz w:val="24"/>
              </w:rPr>
              <w:t>5</w:t>
            </w:r>
            <w:r>
              <w:rPr>
                <w:b/>
                <w:bCs/>
                <w:color w:val="auto"/>
                <w:sz w:val="24"/>
              </w:rPr>
              <w:t>、固体废物管理要求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建设项目单位在医疗废物在收集、贮存、运输中需注意以下问题：</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bCs/>
                <w:color w:val="auto"/>
                <w:sz w:val="24"/>
              </w:rPr>
            </w:pPr>
            <w:r>
              <w:rPr>
                <w:rFonts w:hint="eastAsia" w:ascii="Times New Roman" w:hAnsi="Times New Roman"/>
                <w:b/>
                <w:bCs/>
                <w:color w:val="auto"/>
                <w:sz w:val="24"/>
              </w:rPr>
              <w:t>（1）</w:t>
            </w:r>
            <w:r>
              <w:rPr>
                <w:rFonts w:ascii="Times New Roman" w:hAnsi="Times New Roman"/>
                <w:b/>
                <w:bCs/>
                <w:color w:val="auto"/>
                <w:sz w:val="24"/>
              </w:rPr>
              <w:t>对项目产生的医疗废物进行科学的分类收集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黄色—700×550mm塑料袋：感染性废物；红色—700×550mm塑料袋：传染性废物；绿色—400×300mm塑料袋：损伤性废物；红色—400×300mm塑料袋：传染性损伤性废物。而盛装医疗废物的外包装纸箱应符合下列要求：印有红色“传染性废物”—600×400×500mm纸箱；印有绿色“损伤性废物”—400×200×300mm纸箱</w:t>
            </w:r>
            <w:r>
              <w:rPr>
                <w:rFonts w:hint="eastAsia" w:ascii="Times New Roman" w:hAnsi="Times New Roman"/>
                <w:color w:val="auto"/>
                <w:sz w:val="24"/>
              </w:rPr>
              <w:t>，</w:t>
            </w:r>
            <w:r>
              <w:rPr>
                <w:rFonts w:ascii="Times New Roman" w:hAnsi="Times New Roman"/>
                <w:color w:val="auto"/>
                <w:sz w:val="24"/>
              </w:rPr>
              <w:t>印有红色“传染性损伤性</w:t>
            </w:r>
            <w:r>
              <w:rPr>
                <w:rFonts w:hint="eastAsia" w:ascii="Times New Roman" w:hAnsi="Times New Roman"/>
                <w:color w:val="auto"/>
                <w:sz w:val="24"/>
              </w:rPr>
              <w:t>废</w:t>
            </w:r>
            <w:r>
              <w:rPr>
                <w:rFonts w:ascii="Times New Roman" w:hAnsi="Times New Roman"/>
                <w:color w:val="auto"/>
                <w:sz w:val="24"/>
              </w:rPr>
              <w:t>物”—600×400×500mm纸箱。</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操作感染性或任何有潜在危害的废物时，必须穿戴手套和防护服。对有多种成份</w:t>
            </w:r>
            <w:r>
              <w:rPr>
                <w:rFonts w:hint="eastAsia" w:ascii="Times New Roman" w:hAnsi="Times New Roman"/>
                <w:color w:val="auto"/>
                <w:sz w:val="24"/>
              </w:rPr>
              <w:t>混合</w:t>
            </w:r>
            <w:r>
              <w:rPr>
                <w:rFonts w:ascii="Times New Roman" w:hAnsi="Times New Roman"/>
                <w:color w:val="auto"/>
                <w:sz w:val="24"/>
              </w:rPr>
              <w:t>的医学废料，应按危害等级较高者处理。感染性废物应分类丢入垃圾袋，由专业人员严格区分感染性和非感染性废物。根据有关规定，所有收集感染性废物的容器都应有“生物危害”标志。有液体的感染性废料时，应确保容器无泄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所有锐利物都必须单独存放，并统一按</w:t>
            </w:r>
            <w:r>
              <w:rPr>
                <w:rFonts w:hint="eastAsia" w:ascii="Times New Roman" w:hAnsi="Times New Roman"/>
                <w:color w:val="auto"/>
                <w:sz w:val="24"/>
              </w:rPr>
              <w:t>医疗</w:t>
            </w:r>
            <w:r>
              <w:rPr>
                <w:rFonts w:ascii="Times New Roman" w:hAnsi="Times New Roman"/>
                <w:color w:val="auto"/>
                <w:sz w:val="24"/>
              </w:rPr>
              <w:t>废物处理。收集锐利物日包装容器必须使用硬质、防漏、防刺破材料。针或刀应保存在有明显标记、防泄漏、防刺破的容器内。处理含有锐利物品的感染性废料时应使用防刺破手套。</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bCs/>
                <w:color w:val="auto"/>
                <w:sz w:val="24"/>
              </w:rPr>
            </w:pPr>
            <w:r>
              <w:rPr>
                <w:rFonts w:hint="eastAsia" w:ascii="Times New Roman" w:hAnsi="Times New Roman"/>
                <w:b/>
                <w:bCs/>
                <w:color w:val="auto"/>
                <w:sz w:val="24"/>
              </w:rPr>
              <w:t>（2）</w:t>
            </w:r>
            <w:r>
              <w:rPr>
                <w:rFonts w:ascii="Times New Roman" w:hAnsi="Times New Roman"/>
                <w:b/>
                <w:bCs/>
                <w:color w:val="auto"/>
                <w:sz w:val="24"/>
              </w:rPr>
              <w:t>医疗废物的贮存和运输</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该项目应当建立医疗废物暂时贮存设施、设备，不得露天存放医疗废物；医疗废物暂时贮存的时间不得超过2天，应当及时、有效地处理，因为在医疗废物储存过程中，会有恶臭产生</w:t>
            </w:r>
            <w:r>
              <w:rPr>
                <w:rFonts w:hint="eastAsia" w:ascii="Times New Roman" w:hAnsi="Times New Roman"/>
                <w:color w:val="auto"/>
                <w:sz w:val="24"/>
              </w:rPr>
              <w:t>，</w:t>
            </w:r>
            <w:r>
              <w:rPr>
                <w:rFonts w:ascii="Times New Roman" w:hAnsi="Times New Roman"/>
                <w:color w:val="auto"/>
                <w:sz w:val="24"/>
              </w:rPr>
              <w:t>有害于人体健康。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医疗卫生机构建立的医疗废物暂时贮存设施、设备应当达到以下要求：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①</w:t>
            </w:r>
            <w:r>
              <w:rPr>
                <w:rFonts w:ascii="Times New Roman" w:hAnsi="Times New Roman"/>
                <w:color w:val="auto"/>
                <w:sz w:val="24"/>
              </w:rPr>
              <w:t>暂时贮存场所须分办公室、医疗废物贮存间、车辆存放间。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②</w:t>
            </w:r>
            <w:r>
              <w:rPr>
                <w:rFonts w:ascii="Times New Roman" w:hAnsi="Times New Roman"/>
                <w:color w:val="auto"/>
                <w:sz w:val="24"/>
              </w:rPr>
              <w:t>远离医疗区、食品加工区、人员活动区和生活垃圾存放场所，方便医疗废物运送人员及运送工具、车辆的出入；该项目贮存场所设在项目</w:t>
            </w:r>
            <w:r>
              <w:rPr>
                <w:rFonts w:hint="eastAsia" w:ascii="Times New Roman" w:hAnsi="Times New Roman"/>
                <w:color w:val="auto"/>
                <w:sz w:val="24"/>
              </w:rPr>
              <w:t>院区西北角</w:t>
            </w:r>
            <w:r>
              <w:rPr>
                <w:rFonts w:ascii="Times New Roman" w:hAnsi="Times New Roman"/>
                <w:color w:val="auto"/>
                <w:sz w:val="24"/>
              </w:rPr>
              <w:t>，符合上述要求。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③</w:t>
            </w:r>
            <w:r>
              <w:rPr>
                <w:rFonts w:ascii="Times New Roman" w:hAnsi="Times New Roman"/>
                <w:color w:val="auto"/>
                <w:sz w:val="24"/>
              </w:rPr>
              <w:t>有严密的封闭措施，设专（兼）职人员管理，防止非工作人员接触医疗废物；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④</w:t>
            </w:r>
            <w:r>
              <w:rPr>
                <w:rFonts w:ascii="Times New Roman" w:hAnsi="Times New Roman"/>
                <w:color w:val="auto"/>
                <w:sz w:val="24"/>
              </w:rPr>
              <w:t>有防鼠、防蚊蝇、防蟑螂的安全措施；防止渗漏和雨水冲刷；易于清洁和消毒；避免阳光直射；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⑤</w:t>
            </w:r>
            <w:r>
              <w:rPr>
                <w:rFonts w:ascii="Times New Roman" w:hAnsi="Times New Roman"/>
                <w:color w:val="auto"/>
                <w:sz w:val="24"/>
              </w:rPr>
              <w:t>设有明显的医疗废物警示标识和“禁止吸烟、饮食”的警示标识。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⑥</w:t>
            </w:r>
            <w:r>
              <w:rPr>
                <w:rFonts w:ascii="Times New Roman" w:hAnsi="Times New Roman"/>
                <w:color w:val="auto"/>
                <w:sz w:val="24"/>
              </w:rPr>
              <w:t>暂时贮存病理性废物，应当具备低温贮存或者防腐条件。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对于感染性废料和锐利废物，其贮存地应有“生物危险”标志和进入管理限制，且应位于产生废物地点附近。同时感染性废物和锐利废物的贮存应满足以下要求：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①</w:t>
            </w:r>
            <w:r>
              <w:rPr>
                <w:rFonts w:ascii="Times New Roman" w:hAnsi="Times New Roman"/>
                <w:color w:val="auto"/>
                <w:sz w:val="24"/>
              </w:rPr>
              <w:t>保证包装内容物不暴露于空气和受潮；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②</w:t>
            </w:r>
            <w:r>
              <w:rPr>
                <w:rFonts w:ascii="Times New Roman" w:hAnsi="Times New Roman"/>
                <w:color w:val="auto"/>
                <w:sz w:val="24"/>
              </w:rPr>
              <w:t>保存温度及时间应使保存物无腐败发生，必要时，可用低温保存，以防微生物生长和产生异味；</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③</w:t>
            </w:r>
            <w:r>
              <w:rPr>
                <w:rFonts w:ascii="Times New Roman" w:hAnsi="Times New Roman"/>
                <w:color w:val="auto"/>
                <w:sz w:val="24"/>
              </w:rPr>
              <w:t>贮存地及包装应确保内容物不成为鼠类或其他生物的食物来源；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④</w:t>
            </w:r>
            <w:r>
              <w:rPr>
                <w:rFonts w:ascii="Times New Roman" w:hAnsi="Times New Roman"/>
                <w:color w:val="auto"/>
                <w:sz w:val="24"/>
              </w:rPr>
              <w:t>贮存地不得对公众开放。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医疗废物转交出去后，应当对暂时贮存地点、设施及时进行清洁和消毒处理。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对于医疗固体废物，禁止将其在非收集、非暂时贮存地点倾倒、堆放；禁止将医疗废物混入</w:t>
            </w:r>
            <w:r>
              <w:rPr>
                <w:rFonts w:hint="eastAsia" w:ascii="Times New Roman" w:hAnsi="Times New Roman"/>
                <w:color w:val="auto"/>
                <w:sz w:val="24"/>
              </w:rPr>
              <w:t>其他</w:t>
            </w:r>
            <w:r>
              <w:rPr>
                <w:rFonts w:ascii="Times New Roman" w:hAnsi="Times New Roman"/>
                <w:color w:val="auto"/>
                <w:sz w:val="24"/>
              </w:rPr>
              <w:t>废物和生活垃圾；禁止在内部运送过程中丢弃医疗废物。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根据《医疗机构水污染物排放标准》（GB18466-2005）以及《医院污水处理工程技术规范》（HJ2029-2013）的相关要求，对本项目污泥处理处置的要求如下：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①</w:t>
            </w:r>
            <w:r>
              <w:rPr>
                <w:rFonts w:ascii="Times New Roman" w:hAnsi="Times New Roman"/>
                <w:color w:val="auto"/>
                <w:sz w:val="24"/>
              </w:rPr>
              <w:t>化粪池清掏周期为180~360d。污泥、化粪池每年清掏2次。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②</w:t>
            </w:r>
            <w:r>
              <w:rPr>
                <w:rFonts w:ascii="Times New Roman" w:hAnsi="Times New Roman"/>
                <w:color w:val="auto"/>
                <w:spacing w:val="-3"/>
                <w:sz w:val="24"/>
              </w:rPr>
              <w:t>污泥清掏前应进行监测，监测因子为粪大肠菌群数和蛔虫卵死亡率，达到</w:t>
            </w:r>
            <w:r>
              <w:rPr>
                <w:rFonts w:ascii="Times New Roman" w:hAnsi="Times New Roman"/>
                <w:color w:val="auto"/>
                <w:sz w:val="24"/>
              </w:rPr>
              <w:t>《医疗机构水污染物排放标准》（GB18466-2005）表4要求。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③</w:t>
            </w:r>
            <w:r>
              <w:rPr>
                <w:rFonts w:ascii="Times New Roman" w:hAnsi="Times New Roman"/>
                <w:color w:val="auto"/>
                <w:sz w:val="24"/>
              </w:rPr>
              <w:t>医院污水处理过程产生的污泥、栅渣的堆放应符合</w:t>
            </w:r>
            <w:r>
              <w:rPr>
                <w:rFonts w:hint="eastAsia" w:ascii="Times New Roman" w:hAnsi="Times New Roman"/>
                <w:color w:val="auto"/>
                <w:sz w:val="24"/>
              </w:rPr>
              <w:t>《医疗废物处理处置污染控制标准》</w:t>
            </w:r>
            <w:r>
              <w:rPr>
                <w:rFonts w:hint="eastAsia"/>
                <w:color w:val="auto"/>
                <w:sz w:val="24"/>
                <w:lang w:eastAsia="zh-CN"/>
              </w:rPr>
              <w:t>（</w:t>
            </w:r>
            <w:r>
              <w:rPr>
                <w:rFonts w:hint="eastAsia" w:ascii="Times New Roman" w:hAnsi="Times New Roman"/>
                <w:color w:val="auto"/>
                <w:sz w:val="24"/>
              </w:rPr>
              <w:t>GB39707-2020</w:t>
            </w:r>
            <w:r>
              <w:rPr>
                <w:rFonts w:hint="eastAsia"/>
                <w:color w:val="auto"/>
                <w:sz w:val="24"/>
                <w:lang w:eastAsia="zh-CN"/>
              </w:rPr>
              <w:t>）</w:t>
            </w:r>
            <w:r>
              <w:rPr>
                <w:rFonts w:ascii="Times New Roman" w:hAnsi="Times New Roman"/>
                <w:color w:val="auto"/>
                <w:sz w:val="24"/>
              </w:rPr>
              <w:t>的有关规定。渗出液、沥下液应收集并返回污水处理系统。</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④</w:t>
            </w:r>
            <w:r>
              <w:rPr>
                <w:rFonts w:ascii="Times New Roman" w:hAnsi="Times New Roman"/>
                <w:color w:val="auto"/>
                <w:sz w:val="24"/>
              </w:rPr>
              <w:t>应保持医院污水处理工程场界内环境整洁，无污泥杂物遗洒、污水横流等脏乱现象，采取灭蝇、灭蚊、灭鼠措施，做到清洁整齐，文明卫生。</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rFonts w:ascii="Times New Roman" w:hAnsi="Times New Roman"/>
                <w:b/>
                <w:color w:val="auto"/>
                <w:kern w:val="0"/>
                <w:sz w:val="24"/>
              </w:rPr>
            </w:pPr>
            <w:r>
              <w:rPr>
                <w:rFonts w:hint="eastAsia" w:ascii="Times New Roman" w:hAnsi="Times New Roman"/>
                <w:b/>
                <w:color w:val="auto"/>
                <w:kern w:val="0"/>
                <w:sz w:val="24"/>
              </w:rPr>
              <w:t>（3）医疗废物贮存要求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bCs/>
                <w:color w:val="auto"/>
                <w:sz w:val="24"/>
              </w:rPr>
            </w:pPr>
            <w:r>
              <w:rPr>
                <w:rFonts w:ascii="Times New Roman" w:hAnsi="Times New Roman"/>
                <w:color w:val="auto"/>
                <w:sz w:val="24"/>
              </w:rPr>
              <w:t>根据</w:t>
            </w:r>
            <w:r>
              <w:rPr>
                <w:rFonts w:hint="eastAsia" w:ascii="Times New Roman" w:hAnsi="Times New Roman"/>
                <w:color w:val="auto"/>
                <w:sz w:val="24"/>
              </w:rPr>
              <w:t>《医疗废物处理处置污染控制标准》</w:t>
            </w:r>
            <w:r>
              <w:rPr>
                <w:rFonts w:hint="eastAsia"/>
                <w:color w:val="auto"/>
                <w:sz w:val="24"/>
                <w:lang w:eastAsia="zh-CN"/>
              </w:rPr>
              <w:t>（</w:t>
            </w:r>
            <w:r>
              <w:rPr>
                <w:rFonts w:hint="eastAsia" w:ascii="Times New Roman" w:hAnsi="Times New Roman"/>
                <w:color w:val="auto"/>
                <w:sz w:val="24"/>
              </w:rPr>
              <w:t>GB39707-2020</w:t>
            </w:r>
            <w:r>
              <w:rPr>
                <w:rFonts w:hint="eastAsia"/>
                <w:color w:val="auto"/>
                <w:sz w:val="24"/>
                <w:lang w:eastAsia="zh-CN"/>
              </w:rPr>
              <w:t>）</w:t>
            </w:r>
            <w:r>
              <w:rPr>
                <w:rFonts w:hint="eastAsia" w:ascii="Times New Roman" w:hAnsi="Times New Roman"/>
                <w:color w:val="auto"/>
                <w:sz w:val="24"/>
              </w:rPr>
              <w:t>标准</w:t>
            </w:r>
            <w:r>
              <w:rPr>
                <w:rFonts w:ascii="Times New Roman" w:hAnsi="Times New Roman"/>
                <w:bCs/>
                <w:color w:val="auto"/>
                <w:sz w:val="24"/>
              </w:rPr>
              <w:t>的相关要求，本项目医疗废物和污泥等的堆放要求如下：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1）存放要求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①医疗废物贮存采用塑料桶装。</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②</w:t>
            </w:r>
            <w:r>
              <w:rPr>
                <w:rFonts w:hint="eastAsia" w:ascii="Times New Roman" w:hAnsi="Times New Roman"/>
                <w:color w:val="auto"/>
                <w:sz w:val="24"/>
              </w:rPr>
              <w:t>建设一间医废暂存间，占地面积为20m</w:t>
            </w:r>
            <w:r>
              <w:rPr>
                <w:rFonts w:hint="eastAsia" w:ascii="Times New Roman" w:hAnsi="Times New Roman"/>
                <w:color w:val="auto"/>
                <w:sz w:val="24"/>
                <w:vertAlign w:val="superscript"/>
              </w:rPr>
              <w:t>2</w:t>
            </w:r>
            <w:r>
              <w:rPr>
                <w:rFonts w:hint="eastAsia" w:ascii="Times New Roman" w:hAnsi="Times New Roman"/>
                <w:color w:val="auto"/>
                <w:sz w:val="24"/>
              </w:rPr>
              <w:t>，</w:t>
            </w:r>
            <w:r>
              <w:rPr>
                <w:rFonts w:ascii="Times New Roman" w:hAnsi="Times New Roman"/>
                <w:color w:val="auto"/>
                <w:sz w:val="24"/>
              </w:rPr>
              <w:t>医疗废物暂存间设施的设计、运行、安全防护等需符合</w:t>
            </w:r>
            <w:r>
              <w:rPr>
                <w:rFonts w:hint="eastAsia" w:ascii="Times New Roman" w:hAnsi="Times New Roman"/>
                <w:color w:val="auto"/>
                <w:sz w:val="24"/>
              </w:rPr>
              <w:t>《医疗废物处理处置污染控制标准》</w:t>
            </w:r>
            <w:r>
              <w:rPr>
                <w:rFonts w:hint="eastAsia"/>
                <w:color w:val="auto"/>
                <w:sz w:val="24"/>
                <w:lang w:eastAsia="zh-CN"/>
              </w:rPr>
              <w:t>（</w:t>
            </w:r>
            <w:r>
              <w:rPr>
                <w:rFonts w:hint="eastAsia" w:ascii="Times New Roman" w:hAnsi="Times New Roman"/>
                <w:color w:val="auto"/>
                <w:sz w:val="24"/>
              </w:rPr>
              <w:t>GB39707-2020</w:t>
            </w:r>
            <w:r>
              <w:rPr>
                <w:rFonts w:hint="eastAsia"/>
                <w:color w:val="auto"/>
                <w:sz w:val="24"/>
                <w:lang w:eastAsia="zh-CN"/>
              </w:rPr>
              <w:t>）</w:t>
            </w:r>
            <w:r>
              <w:rPr>
                <w:rFonts w:hint="eastAsia" w:ascii="Times New Roman" w:hAnsi="Times New Roman"/>
                <w:color w:val="auto"/>
                <w:sz w:val="24"/>
              </w:rPr>
              <w:t>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③</w:t>
            </w:r>
            <w:r>
              <w:rPr>
                <w:rFonts w:hint="eastAsia" w:ascii="Times New Roman" w:hAnsi="Times New Roman"/>
                <w:color w:val="auto"/>
                <w:sz w:val="24"/>
              </w:rPr>
              <w:t>医疗废物处理处置单位应设置感染性、损伤性、病理性废物的贮存设施；若收集化学性、药物性废物还应设置专用贮存设施。贮存设施内应设置不同类别医疗废物的贮存区。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 xml:space="preserve">④贮存设施地面防渗应满足国家和地方有关重点污染源防渗要求。墙面应做防渗处理，感染性、 损伤性、病理性废物贮存设施的地面、墙面材料应易于清洗和消毒。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 xml:space="preserve">⑤贮存设施应设置废水收集设施，收集的废水应导入废水处理设施。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 xml:space="preserve">⑥感染性、损伤性、病理性废物贮存设施应设置微负压及通风装置、制冷系统和设备，排风口应设置废气净化装置。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⑦医疗废物不能及时处理处置时，应置于贮存设施内贮存。感染性、损伤性、病理性废物应盛装于医疗废物周转箱/桶内一并置于贮存设施内暂时贮存。</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eastAsia="宋体"/>
                <w:color w:val="auto"/>
                <w:sz w:val="21"/>
              </w:rPr>
            </w:pPr>
            <w:r>
              <w:rPr>
                <w:rFonts w:ascii="Times New Roman" w:hAnsi="Times New Roman"/>
                <w:bCs/>
                <w:color w:val="auto"/>
                <w:sz w:val="24"/>
              </w:rPr>
              <w:t>危废贮存间应按照</w:t>
            </w:r>
            <w:r>
              <w:rPr>
                <w:rFonts w:hint="eastAsia" w:ascii="Times New Roman" w:hAnsi="Times New Roman"/>
                <w:bCs/>
                <w:color w:val="auto"/>
                <w:sz w:val="24"/>
              </w:rPr>
              <w:t>《医疗废物处理处置污染控制标准》</w:t>
            </w:r>
            <w:r>
              <w:rPr>
                <w:rFonts w:hint="eastAsia"/>
                <w:bCs/>
                <w:color w:val="auto"/>
                <w:sz w:val="24"/>
                <w:lang w:eastAsia="zh-CN"/>
              </w:rPr>
              <w:t>（</w:t>
            </w:r>
            <w:r>
              <w:rPr>
                <w:rFonts w:hint="eastAsia" w:ascii="Times New Roman" w:hAnsi="Times New Roman"/>
                <w:bCs/>
                <w:color w:val="auto"/>
                <w:sz w:val="24"/>
              </w:rPr>
              <w:t>GB39707-2020</w:t>
            </w:r>
            <w:r>
              <w:rPr>
                <w:rFonts w:hint="eastAsia"/>
                <w:bCs/>
                <w:color w:val="auto"/>
                <w:sz w:val="24"/>
                <w:lang w:eastAsia="zh-CN"/>
              </w:rPr>
              <w:t>）</w:t>
            </w:r>
            <w:r>
              <w:rPr>
                <w:rFonts w:hint="eastAsia" w:ascii="Times New Roman" w:hAnsi="Times New Roman"/>
                <w:bCs/>
                <w:color w:val="auto"/>
                <w:sz w:val="24"/>
              </w:rPr>
              <w:t>标准</w:t>
            </w:r>
            <w:r>
              <w:rPr>
                <w:rFonts w:ascii="Times New Roman" w:hAnsi="Times New Roman"/>
                <w:color w:val="auto"/>
                <w:sz w:val="24"/>
              </w:rPr>
              <w:t>要求</w:t>
            </w:r>
            <w:r>
              <w:rPr>
                <w:rFonts w:ascii="Times New Roman" w:hAnsi="Times New Roman"/>
                <w:bCs/>
                <w:color w:val="auto"/>
                <w:sz w:val="24"/>
              </w:rPr>
              <w:t>做好防渗措施，对于医疗废物及污泥等危险废物的渗出液、沥下液及地面清洗应收集并返回调节池。</w:t>
            </w:r>
            <w:r>
              <w:rPr>
                <w:rFonts w:ascii="Times New Roman" w:hAnsi="Times New Roman"/>
                <w:color w:val="auto"/>
                <w:sz w:val="24"/>
              </w:rPr>
              <w:t>包装材料</w:t>
            </w:r>
            <w:r>
              <w:rPr>
                <w:rFonts w:hint="eastAsia" w:ascii="Times New Roman" w:hAnsi="Times New Roman"/>
                <w:color w:val="auto"/>
                <w:sz w:val="24"/>
              </w:rPr>
              <w:t>，</w:t>
            </w:r>
            <w:r>
              <w:rPr>
                <w:rFonts w:ascii="Times New Roman" w:hAnsi="Times New Roman"/>
                <w:color w:val="auto"/>
                <w:kern w:val="0"/>
                <w:sz w:val="24"/>
              </w:rPr>
              <w:t>废输液瓶（袋）、包装纸盒、包装塑料盒等医药包装材料属于一般固体废物，由废旧资源回收单位回收利用。</w:t>
            </w:r>
            <w:r>
              <w:rPr>
                <w:rFonts w:ascii="Times New Roman" w:hAnsi="Times New Roman"/>
                <w:color w:val="auto"/>
                <w:sz w:val="24"/>
              </w:rPr>
              <w:t>本项目固废治理措施见表</w:t>
            </w:r>
            <w:r>
              <w:rPr>
                <w:rFonts w:hint="eastAsia" w:ascii="Times New Roman" w:hAnsi="Times New Roman"/>
                <w:color w:val="auto"/>
                <w:sz w:val="24"/>
              </w:rPr>
              <w:t>4-1</w:t>
            </w:r>
            <w:r>
              <w:rPr>
                <w:rFonts w:hint="eastAsia"/>
                <w:color w:val="auto"/>
                <w:sz w:val="24"/>
                <w:lang w:val="en-US" w:eastAsia="zh-CN"/>
              </w:rPr>
              <w:t>3</w:t>
            </w:r>
            <w:r>
              <w:rPr>
                <w:rFonts w:ascii="Times New Roman" w:hAnsi="Times New Roman"/>
                <w:color w:val="auto"/>
                <w:sz w:val="24"/>
              </w:rPr>
              <w:t>所示。</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lang w:val="en-US"/>
              </w:rPr>
            </w:pPr>
            <w:r>
              <w:rPr>
                <w:rFonts w:ascii="Times New Roman" w:hAnsi="Times New Roman" w:eastAsia="宋体"/>
                <w:color w:val="auto"/>
                <w:sz w:val="21"/>
                <w:szCs w:val="21"/>
                <w:lang w:val="en-US"/>
              </w:rPr>
              <w:t>表</w:t>
            </w:r>
            <w:r>
              <w:rPr>
                <w:rFonts w:hint="eastAsia" w:ascii="Times New Roman" w:hAnsi="Times New Roman" w:eastAsia="宋体"/>
                <w:color w:val="auto"/>
                <w:sz w:val="21"/>
                <w:szCs w:val="21"/>
                <w:lang w:val="en-US"/>
              </w:rPr>
              <w:t>4-1</w:t>
            </w:r>
            <w:r>
              <w:rPr>
                <w:rFonts w:hint="eastAsia" w:ascii="Times New Roman" w:hAnsi="Times New Roman" w:eastAsia="宋体"/>
                <w:color w:val="auto"/>
                <w:sz w:val="21"/>
                <w:szCs w:val="21"/>
                <w:lang w:val="en-US" w:eastAsia="zh-CN"/>
              </w:rPr>
              <w:t>3</w:t>
            </w:r>
            <w:r>
              <w:rPr>
                <w:rFonts w:ascii="Times New Roman" w:hAnsi="Times New Roman" w:eastAsia="宋体"/>
                <w:color w:val="auto"/>
                <w:sz w:val="21"/>
                <w:szCs w:val="21"/>
                <w:lang w:val="en-US"/>
              </w:rPr>
              <w:t>固体废物处理措施</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805"/>
              <w:gridCol w:w="3025"/>
              <w:gridCol w:w="44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485"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1823"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固废种类</w:t>
                  </w:r>
                </w:p>
              </w:tc>
              <w:tc>
                <w:tcPr>
                  <w:tcW w:w="269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4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p>
              </w:tc>
              <w:tc>
                <w:tcPr>
                  <w:tcW w:w="182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生活垃圾</w:t>
                  </w:r>
                </w:p>
              </w:tc>
              <w:tc>
                <w:tcPr>
                  <w:tcW w:w="26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4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82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药品、试剂等</w:t>
                  </w:r>
                  <w:r>
                    <w:rPr>
                      <w:rFonts w:hint="eastAsia" w:ascii="Times New Roman" w:hAnsi="Times New Roman" w:eastAsia="宋体"/>
                      <w:color w:val="auto"/>
                      <w:sz w:val="21"/>
                      <w:szCs w:val="21"/>
                    </w:rPr>
                    <w:t>外</w:t>
                  </w:r>
                  <w:r>
                    <w:rPr>
                      <w:rFonts w:ascii="Times New Roman" w:hAnsi="Times New Roman" w:eastAsia="宋体"/>
                      <w:color w:val="auto"/>
                      <w:sz w:val="21"/>
                      <w:szCs w:val="21"/>
                    </w:rPr>
                    <w:t>包装材料</w:t>
                  </w:r>
                </w:p>
              </w:tc>
              <w:tc>
                <w:tcPr>
                  <w:tcW w:w="26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收集后交由资源回收单位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4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82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医疗废物</w:t>
                  </w:r>
                </w:p>
              </w:tc>
              <w:tc>
                <w:tcPr>
                  <w:tcW w:w="2691"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委托有危废处置资质单位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4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182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水处理污泥</w:t>
                  </w:r>
                </w:p>
              </w:tc>
              <w:tc>
                <w:tcPr>
                  <w:tcW w:w="2691"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由上分析可知，只要建设单位加强管理，对产生的固体废物进行分类、收集、消毒、无害化处理处置，并对代处理单位进行必要的监督，各类固体废物去向合理，不会对周围环境带来不利影响。</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（4）污泥监测计划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根据《医疗机构水污染物排放标准》（GB18466-2005）中污泥清运前应进行监测。</w:t>
            </w:r>
          </w:p>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表4-</w:t>
            </w:r>
            <w:r>
              <w:rPr>
                <w:rFonts w:hint="eastAsia"/>
                <w:b/>
                <w:bCs/>
                <w:color w:val="auto"/>
                <w:sz w:val="21"/>
                <w:szCs w:val="21"/>
                <w:lang w:val="en-US" w:eastAsia="zh-CN"/>
              </w:rPr>
              <w:t>1</w:t>
            </w:r>
            <w:r>
              <w:rPr>
                <w:rFonts w:hint="eastAsia" w:ascii="Times New Roman" w:hAnsi="Times New Roman" w:eastAsia="宋体"/>
                <w:b/>
                <w:bCs/>
                <w:color w:val="auto"/>
                <w:sz w:val="21"/>
                <w:szCs w:val="21"/>
                <w:lang w:val="en-US" w:eastAsia="zh-CN"/>
              </w:rPr>
              <w:t>4</w:t>
            </w:r>
            <w:r>
              <w:rPr>
                <w:rFonts w:hint="eastAsia" w:ascii="Times New Roman" w:hAnsi="Times New Roman" w:eastAsia="宋体"/>
                <w:b/>
                <w:bCs/>
                <w:color w:val="auto"/>
                <w:sz w:val="21"/>
                <w:szCs w:val="21"/>
              </w:rPr>
              <w:t xml:space="preserve"> 项目污泥清掏前监测计划一览表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57" w:type="dxa"/>
                <w:bottom w:w="28" w:type="dxa"/>
                <w:right w:w="57" w:type="dxa"/>
              </w:tblCellMar>
            </w:tblPr>
            <w:tblGrid>
              <w:gridCol w:w="1654"/>
              <w:gridCol w:w="1660"/>
              <w:gridCol w:w="2213"/>
              <w:gridCol w:w="27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trPr>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监测点位</w:t>
                  </w:r>
                </w:p>
              </w:tc>
              <w:tc>
                <w:tcPr>
                  <w:tcW w:w="17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监测项目</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监测方法及频率</w:t>
                  </w:r>
                </w:p>
              </w:tc>
              <w:tc>
                <w:tcPr>
                  <w:tcW w:w="28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执行排放标准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trPr>
              <w:tc>
                <w:tcPr>
                  <w:tcW w:w="1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污水处理站污泥</w:t>
                  </w:r>
                </w:p>
              </w:tc>
              <w:tc>
                <w:tcPr>
                  <w:tcW w:w="17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粪大肠菌群数、蛔虫卵死亡率</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每次清运前，按照国家相关监测技术方法进行监测</w:t>
                  </w:r>
                </w:p>
              </w:tc>
              <w:tc>
                <w:tcPr>
                  <w:tcW w:w="28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《医疗机构水污染物排放标准》（GB18466-2005）表4医疗机构污泥控制标准</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6、地下水、土壤环境影响及污染物防治措施有效性分析</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（1）地下水、土壤污染源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根据对项目运营过程及存储方式等进行分析，本项目对地下水及土壤环境影响的污染源有：污水处理设施、污水管线</w:t>
            </w:r>
            <w:r>
              <w:rPr>
                <w:rFonts w:hint="eastAsia"/>
                <w:color w:val="auto"/>
                <w:sz w:val="24"/>
              </w:rPr>
              <w:t>、</w:t>
            </w:r>
            <w:r>
              <w:rPr>
                <w:rFonts w:hint="eastAsia"/>
                <w:bCs/>
                <w:color w:val="auto"/>
                <w:sz w:val="24"/>
              </w:rPr>
              <w:t>医疗废物暂存间</w:t>
            </w:r>
            <w:r>
              <w:rPr>
                <w:color w:val="auto"/>
                <w:sz w:val="24"/>
              </w:rPr>
              <w:t>等，主要污染物为污水处理站综合废水</w:t>
            </w:r>
            <w:r>
              <w:rPr>
                <w:rFonts w:hint="eastAsia"/>
                <w:color w:val="auto"/>
                <w:sz w:val="24"/>
              </w:rPr>
              <w:t>及医疗废物</w:t>
            </w:r>
            <w:r>
              <w:rPr>
                <w:color w:val="auto"/>
                <w:sz w:val="24"/>
              </w:rPr>
              <w:t>。产生污染的途径主要是渗透污染。渗透污染是导致地下水污染的普遍和主要方式，主要产生可能性来自：</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①</w:t>
            </w:r>
            <w:r>
              <w:rPr>
                <w:color w:val="auto"/>
                <w:sz w:val="24"/>
              </w:rPr>
              <w:t>项目产生的污水事故情况下排入地表水环境，再渗入补给地下水；或者直接渗入土壤，进而污染土壤及含水层。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②</w:t>
            </w:r>
            <w:r>
              <w:rPr>
                <w:color w:val="auto"/>
                <w:sz w:val="24"/>
              </w:rPr>
              <w:t>项目产生的危险废物，在未采取防治措施的情况下，固体废物在雨水淋滤作用下，淋滤液下渗将引起的地下水及土壤污染。</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③</w:t>
            </w:r>
            <w:r>
              <w:rPr>
                <w:color w:val="auto"/>
                <w:sz w:val="24"/>
              </w:rPr>
              <w:t>污水处理设施在未采取防渗防漏措施的情况下，废水将从构筑物下渗入含水层而污染地下水及土壤。</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（2）影响分析</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①正常情况下地下水环境影响分析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本项目通过采取本评价提出的环保措施后，对污水处理设施、危废暂存间、进行严格的防渗处理后，在正常情况下对地下水及土壤</w:t>
            </w:r>
            <w:r>
              <w:rPr>
                <w:rFonts w:hint="eastAsia"/>
                <w:color w:val="auto"/>
                <w:sz w:val="24"/>
                <w:lang w:val="en-US" w:eastAsia="zh-CN"/>
              </w:rPr>
              <w:t>污染影响极小</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②非正常情况下地下水环境影响分析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根据场地水文地质条件，污水处理设施、危废暂存间若发生渗漏废水将通过地表水入渗进入地下污染地下水及土壤。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由于污染物的存在，非正常状况下，将不可避免的会对项目所在区域周围，特别是下游部分区域的地下水及土壤产生一定程度的污染。因此，建设单位应积极采取有效的防渗措施，定期监控，一旦发现废水渗漏后，采取有效的应急措施，避免泄漏持续发生。</w:t>
            </w:r>
          </w:p>
          <w:p>
            <w:pPr>
              <w:keepNext w:val="0"/>
              <w:keepLines w:val="0"/>
              <w:pageBreakBefore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（3）预防措施</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kern w:val="0"/>
                <w:sz w:val="24"/>
                <w:lang w:bidi="ar"/>
              </w:rPr>
            </w:pPr>
            <w:r>
              <w:rPr>
                <w:color w:val="auto"/>
                <w:kern w:val="0"/>
                <w:sz w:val="24"/>
                <w:lang w:bidi="ar"/>
              </w:rPr>
              <w:t>①源头控制措施实施清洁生产，实现废物资源化利用，减少污染物的排放；加强环境管理，污水管道等选用做防渗、防腐处理的管道，将污染物“跑、冒、滴、漏”降到最低程度。</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kern w:val="0"/>
                <w:sz w:val="24"/>
                <w:lang w:bidi="ar"/>
              </w:rPr>
            </w:pPr>
            <w:r>
              <w:rPr>
                <w:color w:val="auto"/>
                <w:kern w:val="0"/>
                <w:sz w:val="24"/>
                <w:lang w:bidi="ar"/>
              </w:rPr>
              <w:t>②分区防渗措施，根据《环境影响评价技术导则地下水环境》（HJ610-2016）防渗分区原则，对项目污染防治区采取相应的防渗措施，分为重点防渗区、一般防渗区和简单防渗区，划分区域如下：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kern w:val="0"/>
                <w:sz w:val="24"/>
                <w:lang w:bidi="ar"/>
              </w:rPr>
            </w:pPr>
            <w:r>
              <w:rPr>
                <w:color w:val="auto"/>
                <w:kern w:val="0"/>
                <w:sz w:val="24"/>
                <w:lang w:bidi="ar"/>
              </w:rPr>
              <w:t>重点防渗区：</w:t>
            </w:r>
            <w:r>
              <w:rPr>
                <w:rFonts w:hint="eastAsia"/>
                <w:color w:val="auto"/>
                <w:kern w:val="0"/>
                <w:sz w:val="24"/>
                <w:lang w:bidi="ar"/>
              </w:rPr>
              <w:t>危险</w:t>
            </w:r>
            <w:r>
              <w:rPr>
                <w:color w:val="auto"/>
                <w:kern w:val="0"/>
                <w:sz w:val="24"/>
                <w:lang w:bidi="ar"/>
              </w:rPr>
              <w:t>废物暂存间、备用柴油发电机房、污水处理设施、污水管网。防渗技术要求为：废物暂存间按照《危险废物贮存污染控制标准》（GB18597-2001）要求，采取防渗混凝土+人工材料（2mm厚高密度聚乙烯），满足等效黏土防渗层Mb≥6.0m，渗透系数≤10</w:t>
            </w:r>
            <w:r>
              <w:rPr>
                <w:color w:val="auto"/>
                <w:kern w:val="0"/>
                <w:sz w:val="24"/>
                <w:vertAlign w:val="superscript"/>
                <w:lang w:bidi="ar"/>
              </w:rPr>
              <w:t>-10</w:t>
            </w:r>
            <w:r>
              <w:rPr>
                <w:color w:val="auto"/>
                <w:kern w:val="0"/>
                <w:sz w:val="24"/>
                <w:lang w:bidi="ar"/>
              </w:rPr>
              <w:t>cm/s的要求，其他重点防渗区要求采取重点防渗措施后，满足等效黏土防渗层Mb≥6.0m，K≤10</w:t>
            </w:r>
            <w:r>
              <w:rPr>
                <w:color w:val="auto"/>
                <w:kern w:val="0"/>
                <w:sz w:val="24"/>
                <w:vertAlign w:val="superscript"/>
                <w:lang w:bidi="ar"/>
              </w:rPr>
              <w:t>-7</w:t>
            </w:r>
            <w:r>
              <w:rPr>
                <w:color w:val="auto"/>
                <w:kern w:val="0"/>
                <w:sz w:val="24"/>
                <w:lang w:bidi="ar"/>
              </w:rPr>
              <w:t>cm/s的要求。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kern w:val="0"/>
                <w:sz w:val="24"/>
                <w:lang w:bidi="ar"/>
              </w:rPr>
            </w:pPr>
            <w:r>
              <w:rPr>
                <w:color w:val="auto"/>
                <w:kern w:val="0"/>
                <w:sz w:val="24"/>
                <w:lang w:bidi="ar"/>
              </w:rPr>
              <w:t>一般防渗区：综合大楼、</w:t>
            </w:r>
            <w:r>
              <w:rPr>
                <w:rFonts w:hint="eastAsia"/>
                <w:color w:val="auto"/>
                <w:kern w:val="0"/>
                <w:sz w:val="24"/>
                <w:lang w:bidi="ar"/>
              </w:rPr>
              <w:t>可回收物品间等</w:t>
            </w:r>
            <w:r>
              <w:rPr>
                <w:color w:val="auto"/>
                <w:kern w:val="0"/>
                <w:sz w:val="24"/>
                <w:lang w:bidi="ar"/>
              </w:rPr>
              <w:t>，要求采取抗渗混凝土（厚度不小于100mm），满足等效黏土防渗层Mb≥1.5m，K≤10</w:t>
            </w:r>
            <w:r>
              <w:rPr>
                <w:color w:val="auto"/>
                <w:kern w:val="0"/>
                <w:sz w:val="24"/>
                <w:vertAlign w:val="superscript"/>
                <w:lang w:bidi="ar"/>
              </w:rPr>
              <w:t>-7</w:t>
            </w:r>
            <w:r>
              <w:rPr>
                <w:color w:val="auto"/>
                <w:kern w:val="0"/>
                <w:sz w:val="24"/>
                <w:lang w:bidi="ar"/>
              </w:rPr>
              <w:t>cm/s的要求。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kern w:val="0"/>
                <w:sz w:val="24"/>
                <w:lang w:bidi="ar"/>
              </w:rPr>
              <w:t>简单防渗区：内部道路、地下室，进</w:t>
            </w:r>
            <w:r>
              <w:rPr>
                <w:color w:val="auto"/>
                <w:sz w:val="24"/>
              </w:rPr>
              <w:t>行一般地面硬化。</w:t>
            </w:r>
          </w:p>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lang w:val="zh-CN"/>
              </w:rPr>
              <w:t>表</w:t>
            </w:r>
            <w:r>
              <w:rPr>
                <w:rFonts w:hint="eastAsia" w:ascii="Times New Roman" w:hAnsi="Times New Roman" w:eastAsia="宋体"/>
                <w:b/>
                <w:color w:val="auto"/>
                <w:sz w:val="21"/>
                <w:szCs w:val="21"/>
              </w:rPr>
              <w:t>4-1</w:t>
            </w:r>
            <w:r>
              <w:rPr>
                <w:rFonts w:hint="eastAsia"/>
                <w:b/>
                <w:color w:val="auto"/>
                <w:sz w:val="21"/>
                <w:szCs w:val="21"/>
                <w:lang w:val="en-US" w:eastAsia="zh-CN"/>
              </w:rPr>
              <w:t>5</w:t>
            </w:r>
            <w:r>
              <w:rPr>
                <w:rFonts w:ascii="Times New Roman" w:hAnsi="Times New Roman" w:eastAsia="宋体"/>
                <w:b/>
                <w:color w:val="auto"/>
                <w:sz w:val="21"/>
                <w:szCs w:val="21"/>
                <w:lang w:val="zh-CN"/>
              </w:rPr>
              <w:t>分区防渗统计表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235"/>
              <w:gridCol w:w="1805"/>
              <w:gridCol w:w="1919"/>
              <w:gridCol w:w="3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c>
                <w:tcPr>
                  <w:tcW w:w="74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bookmarkStart w:id="30" w:name="_Toc13001"/>
                  <w:r>
                    <w:rPr>
                      <w:rFonts w:ascii="Times New Roman" w:hAnsi="Times New Roman" w:eastAsia="宋体"/>
                      <w:b/>
                      <w:bCs/>
                      <w:color w:val="auto"/>
                      <w:sz w:val="21"/>
                      <w:szCs w:val="21"/>
                    </w:rPr>
                    <w:t>防渗要求</w:t>
                  </w:r>
                  <w:bookmarkEnd w:id="30"/>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bookmarkStart w:id="31" w:name="_Toc21369"/>
                  <w:r>
                    <w:rPr>
                      <w:rFonts w:ascii="Times New Roman" w:hAnsi="Times New Roman" w:eastAsia="宋体"/>
                      <w:b/>
                      <w:bCs/>
                      <w:color w:val="auto"/>
                      <w:sz w:val="21"/>
                      <w:szCs w:val="21"/>
                    </w:rPr>
                    <w:t>区域</w:t>
                  </w:r>
                  <w:bookmarkEnd w:id="31"/>
                </w:p>
              </w:tc>
              <w:tc>
                <w:tcPr>
                  <w:tcW w:w="115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bookmarkStart w:id="32" w:name="_Toc19141"/>
                  <w:r>
                    <w:rPr>
                      <w:rFonts w:ascii="Times New Roman" w:hAnsi="Times New Roman" w:eastAsia="宋体"/>
                      <w:b/>
                      <w:bCs/>
                      <w:color w:val="auto"/>
                      <w:sz w:val="21"/>
                      <w:szCs w:val="21"/>
                    </w:rPr>
                    <w:t>防渗措施</w:t>
                  </w:r>
                  <w:bookmarkEnd w:id="32"/>
                </w:p>
              </w:tc>
              <w:tc>
                <w:tcPr>
                  <w:tcW w:w="200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szCs w:val="21"/>
                    </w:rPr>
                  </w:pPr>
                  <w:bookmarkStart w:id="33" w:name="_Toc7290"/>
                  <w:r>
                    <w:rPr>
                      <w:rFonts w:ascii="Times New Roman" w:hAnsi="Times New Roman" w:eastAsia="宋体"/>
                      <w:b/>
                      <w:bCs/>
                      <w:color w:val="auto"/>
                      <w:sz w:val="21"/>
                      <w:szCs w:val="21"/>
                    </w:rPr>
                    <w:t>防渗技术要求</w:t>
                  </w:r>
                  <w:bookmarkEnd w:id="3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798" w:hRule="atLeast"/>
              </w:trPr>
              <w:tc>
                <w:tcPr>
                  <w:tcW w:w="74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34" w:name="_Toc30080"/>
                  <w:r>
                    <w:rPr>
                      <w:rFonts w:ascii="Times New Roman" w:hAnsi="Times New Roman" w:eastAsia="宋体"/>
                      <w:color w:val="auto"/>
                      <w:sz w:val="21"/>
                      <w:szCs w:val="21"/>
                    </w:rPr>
                    <w:t>重点防渗区</w:t>
                  </w:r>
                  <w:bookmarkEnd w:id="34"/>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35" w:name="_Toc24874"/>
                  <w:r>
                    <w:rPr>
                      <w:rFonts w:ascii="Times New Roman" w:hAnsi="Times New Roman" w:eastAsia="宋体"/>
                      <w:color w:val="auto"/>
                      <w:sz w:val="21"/>
                      <w:szCs w:val="21"/>
                    </w:rPr>
                    <w:t>医疗废物暂存间</w:t>
                  </w:r>
                  <w:bookmarkEnd w:id="35"/>
                </w:p>
              </w:tc>
              <w:tc>
                <w:tcPr>
                  <w:tcW w:w="115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36" w:name="_Toc22121"/>
                  <w:r>
                    <w:rPr>
                      <w:rFonts w:ascii="Times New Roman" w:hAnsi="Times New Roman" w:eastAsia="宋体"/>
                      <w:color w:val="auto"/>
                      <w:sz w:val="21"/>
                      <w:szCs w:val="21"/>
                    </w:rPr>
                    <w:t>防渗混凝土+人工材料（2mm高密度聚乙烯膜）防渗层</w:t>
                  </w:r>
                  <w:bookmarkEnd w:id="36"/>
                </w:p>
              </w:tc>
              <w:tc>
                <w:tcPr>
                  <w:tcW w:w="20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kern w:val="0"/>
                      <w:sz w:val="21"/>
                      <w:szCs w:val="21"/>
                      <w:lang w:bidi="ar"/>
                    </w:rPr>
                    <w:t>确保防渗性能满足等效黏土防渗层≥6.0m，渗透系数≤1.0×10</w:t>
                  </w:r>
                  <w:r>
                    <w:rPr>
                      <w:rFonts w:ascii="Times New Roman" w:hAnsi="Times New Roman" w:eastAsia="宋体"/>
                      <w:color w:val="auto"/>
                      <w:kern w:val="0"/>
                      <w:sz w:val="21"/>
                      <w:vertAlign w:val="superscript"/>
                      <w:lang w:bidi="ar"/>
                    </w:rPr>
                    <w:t>-10</w:t>
                  </w:r>
                  <w:r>
                    <w:rPr>
                      <w:rFonts w:ascii="Times New Roman" w:hAnsi="Times New Roman" w:eastAsia="宋体"/>
                      <w:color w:val="auto"/>
                      <w:kern w:val="0"/>
                      <w:sz w:val="21"/>
                      <w:szCs w:val="21"/>
                      <w:lang w:bidi="ar"/>
                    </w:rPr>
                    <w:t>cm/s的要求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c>
                <w:tcPr>
                  <w:tcW w:w="74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37" w:name="_Toc14506"/>
                  <w:r>
                    <w:rPr>
                      <w:rFonts w:ascii="Times New Roman" w:hAnsi="Times New Roman" w:eastAsia="宋体"/>
                      <w:color w:val="auto"/>
                      <w:sz w:val="21"/>
                      <w:szCs w:val="21"/>
                    </w:rPr>
                    <w:t>污水处理设施</w:t>
                  </w:r>
                  <w:bookmarkEnd w:id="37"/>
                </w:p>
              </w:tc>
              <w:tc>
                <w:tcPr>
                  <w:tcW w:w="115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38" w:name="_Toc19419"/>
                  <w:r>
                    <w:rPr>
                      <w:rFonts w:ascii="Times New Roman" w:hAnsi="Times New Roman" w:eastAsia="宋体"/>
                      <w:color w:val="auto"/>
                      <w:sz w:val="21"/>
                      <w:szCs w:val="21"/>
                    </w:rPr>
                    <w:t>采用防渗、防腐处理</w:t>
                  </w:r>
                  <w:bookmarkEnd w:id="38"/>
                </w:p>
              </w:tc>
              <w:tc>
                <w:tcPr>
                  <w:tcW w:w="200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kern w:val="0"/>
                      <w:sz w:val="21"/>
                      <w:szCs w:val="21"/>
                      <w:lang w:bidi="ar"/>
                    </w:rPr>
                    <w:t>确保防渗性能满足等效黏土防渗层≥6.0m，渗透系数≤1.0×10</w:t>
                  </w:r>
                  <w:r>
                    <w:rPr>
                      <w:rFonts w:ascii="Times New Roman" w:hAnsi="Times New Roman" w:eastAsia="宋体"/>
                      <w:color w:val="auto"/>
                      <w:kern w:val="0"/>
                      <w:sz w:val="21"/>
                      <w:vertAlign w:val="superscript"/>
                      <w:lang w:bidi="ar"/>
                    </w:rPr>
                    <w:t>-7</w:t>
                  </w:r>
                  <w:r>
                    <w:rPr>
                      <w:rFonts w:ascii="Times New Roman" w:hAnsi="Times New Roman" w:eastAsia="宋体"/>
                      <w:color w:val="auto"/>
                      <w:kern w:val="0"/>
                      <w:sz w:val="21"/>
                      <w:szCs w:val="21"/>
                      <w:lang w:bidi="ar"/>
                    </w:rPr>
                    <w:t>cm/s的要求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c>
                <w:tcPr>
                  <w:tcW w:w="74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39" w:name="_Toc9376"/>
                  <w:r>
                    <w:rPr>
                      <w:rFonts w:ascii="Times New Roman" w:hAnsi="Times New Roman" w:eastAsia="宋体"/>
                      <w:color w:val="auto"/>
                      <w:sz w:val="21"/>
                      <w:szCs w:val="21"/>
                    </w:rPr>
                    <w:t>污水管网</w:t>
                  </w:r>
                  <w:bookmarkEnd w:id="39"/>
                </w:p>
              </w:tc>
              <w:tc>
                <w:tcPr>
                  <w:tcW w:w="115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0" w:name="_Toc25268"/>
                  <w:r>
                    <w:rPr>
                      <w:rFonts w:ascii="Times New Roman" w:hAnsi="Times New Roman" w:eastAsia="宋体"/>
                      <w:color w:val="auto"/>
                      <w:sz w:val="21"/>
                      <w:szCs w:val="21"/>
                    </w:rPr>
                    <w:t>抗腐蚀、防渗管</w:t>
                  </w:r>
                  <w:bookmarkEnd w:id="40"/>
                </w:p>
              </w:tc>
              <w:tc>
                <w:tcPr>
                  <w:tcW w:w="200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c>
                <w:tcPr>
                  <w:tcW w:w="74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1" w:name="_Toc4347"/>
                  <w:r>
                    <w:rPr>
                      <w:rFonts w:ascii="Times New Roman" w:hAnsi="Times New Roman" w:eastAsia="宋体"/>
                      <w:color w:val="auto"/>
                      <w:sz w:val="21"/>
                      <w:szCs w:val="21"/>
                    </w:rPr>
                    <w:t>备用柴油发电机房</w:t>
                  </w:r>
                  <w:bookmarkEnd w:id="41"/>
                </w:p>
              </w:tc>
              <w:tc>
                <w:tcPr>
                  <w:tcW w:w="115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2" w:name="_Toc18322"/>
                  <w:r>
                    <w:rPr>
                      <w:rFonts w:ascii="Times New Roman" w:hAnsi="Times New Roman" w:eastAsia="宋体"/>
                      <w:color w:val="auto"/>
                      <w:sz w:val="21"/>
                      <w:szCs w:val="21"/>
                    </w:rPr>
                    <w:t>防渗油缸，储油间内设置防渗漏托盘</w:t>
                  </w:r>
                  <w:bookmarkEnd w:id="42"/>
                </w:p>
              </w:tc>
              <w:tc>
                <w:tcPr>
                  <w:tcW w:w="200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c>
                <w:tcPr>
                  <w:tcW w:w="74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3" w:name="_Toc11966"/>
                  <w:r>
                    <w:rPr>
                      <w:rFonts w:ascii="Times New Roman" w:hAnsi="Times New Roman" w:eastAsia="宋体"/>
                      <w:color w:val="auto"/>
                      <w:sz w:val="21"/>
                      <w:szCs w:val="21"/>
                    </w:rPr>
                    <w:t>一般防渗区</w:t>
                  </w:r>
                  <w:bookmarkEnd w:id="43"/>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4" w:name="_Toc10962"/>
                  <w:r>
                    <w:rPr>
                      <w:rFonts w:ascii="Times New Roman" w:hAnsi="Times New Roman" w:eastAsia="宋体"/>
                      <w:color w:val="auto"/>
                      <w:kern w:val="0"/>
                      <w:sz w:val="21"/>
                      <w:szCs w:val="21"/>
                      <w:lang w:bidi="ar"/>
                    </w:rPr>
                    <w:t>综合大楼、</w:t>
                  </w:r>
                  <w:bookmarkEnd w:id="44"/>
                  <w:r>
                    <w:rPr>
                      <w:rFonts w:hint="eastAsia" w:ascii="Times New Roman" w:hAnsi="Times New Roman" w:eastAsia="宋体"/>
                      <w:color w:val="auto"/>
                      <w:kern w:val="0"/>
                      <w:sz w:val="21"/>
                      <w:lang w:bidi="ar"/>
                    </w:rPr>
                    <w:t>可回收物品间</w:t>
                  </w:r>
                </w:p>
              </w:tc>
              <w:tc>
                <w:tcPr>
                  <w:tcW w:w="115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5" w:name="_Toc27256"/>
                  <w:r>
                    <w:rPr>
                      <w:rFonts w:ascii="Times New Roman" w:hAnsi="Times New Roman" w:eastAsia="宋体"/>
                      <w:color w:val="auto"/>
                      <w:sz w:val="21"/>
                      <w:szCs w:val="21"/>
                    </w:rPr>
                    <w:t>防渗混凝土（厚度不小于100mm）</w:t>
                  </w:r>
                  <w:bookmarkEnd w:id="45"/>
                </w:p>
              </w:tc>
              <w:tc>
                <w:tcPr>
                  <w:tcW w:w="20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kern w:val="0"/>
                      <w:sz w:val="21"/>
                      <w:szCs w:val="21"/>
                      <w:lang w:bidi="ar"/>
                    </w:rPr>
                    <w:t>确保防渗性能满足等效黏土防渗层≥1.5m，渗透系数≤1.0×10</w:t>
                  </w:r>
                  <w:r>
                    <w:rPr>
                      <w:rFonts w:ascii="Times New Roman" w:hAnsi="Times New Roman" w:eastAsia="宋体"/>
                      <w:color w:val="auto"/>
                      <w:kern w:val="0"/>
                      <w:sz w:val="21"/>
                      <w:vertAlign w:val="superscript"/>
                      <w:lang w:bidi="ar"/>
                    </w:rPr>
                    <w:t>-7</w:t>
                  </w:r>
                  <w:r>
                    <w:rPr>
                      <w:rFonts w:ascii="Times New Roman" w:hAnsi="Times New Roman" w:eastAsia="宋体"/>
                      <w:color w:val="auto"/>
                      <w:kern w:val="0"/>
                      <w:sz w:val="21"/>
                      <w:szCs w:val="21"/>
                      <w:lang w:bidi="ar"/>
                    </w:rPr>
                    <w:t>cm/s的要求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c>
                <w:tcPr>
                  <w:tcW w:w="74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6" w:name="_Toc30164"/>
                  <w:r>
                    <w:rPr>
                      <w:rFonts w:ascii="Times New Roman" w:hAnsi="Times New Roman" w:eastAsia="宋体"/>
                      <w:color w:val="auto"/>
                      <w:sz w:val="21"/>
                      <w:szCs w:val="21"/>
                    </w:rPr>
                    <w:t>简单防渗区</w:t>
                  </w:r>
                  <w:bookmarkEnd w:id="46"/>
                </w:p>
              </w:tc>
              <w:tc>
                <w:tcPr>
                  <w:tcW w:w="108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kern w:val="0"/>
                      <w:sz w:val="21"/>
                      <w:szCs w:val="21"/>
                      <w:lang w:bidi="ar"/>
                    </w:rPr>
                  </w:pPr>
                  <w:bookmarkStart w:id="47" w:name="_Toc773"/>
                  <w:r>
                    <w:rPr>
                      <w:rFonts w:ascii="Times New Roman" w:hAnsi="Times New Roman" w:eastAsia="宋体"/>
                      <w:color w:val="auto"/>
                      <w:kern w:val="0"/>
                      <w:sz w:val="21"/>
                      <w:szCs w:val="21"/>
                      <w:lang w:bidi="ar"/>
                    </w:rPr>
                    <w:t>内部道路、地下室</w:t>
                  </w:r>
                  <w:bookmarkEnd w:id="47"/>
                </w:p>
              </w:tc>
              <w:tc>
                <w:tcPr>
                  <w:tcW w:w="3166"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bookmarkStart w:id="48" w:name="_Toc25359"/>
                  <w:r>
                    <w:rPr>
                      <w:rFonts w:ascii="Times New Roman" w:hAnsi="Times New Roman" w:eastAsia="宋体"/>
                      <w:color w:val="auto"/>
                      <w:sz w:val="21"/>
                      <w:szCs w:val="21"/>
                    </w:rPr>
                    <w:t>一般地面硬化</w:t>
                  </w:r>
                  <w:bookmarkEnd w:id="48"/>
                </w:p>
              </w:tc>
            </w:tr>
          </w:tbl>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（4）</w:t>
            </w:r>
            <w:r>
              <w:rPr>
                <w:b/>
                <w:bCs/>
                <w:color w:val="auto"/>
                <w:sz w:val="24"/>
              </w:rPr>
              <w:t>地下水及土壤污染监控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建立地下水和土壤污染监控制度和环境管理体系，配备废水中主要污染物的检测仪器和设备，以便及时发现问题，及时采取措施。地下水及土壤监测（跟踪监测）计划见下表：</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lang w:val="en-US"/>
              </w:rPr>
            </w:pPr>
            <w:r>
              <w:rPr>
                <w:rFonts w:ascii="Times New Roman" w:hAnsi="Times New Roman" w:eastAsia="宋体"/>
                <w:color w:val="auto"/>
                <w:sz w:val="21"/>
                <w:szCs w:val="21"/>
                <w:lang w:val="en-US"/>
              </w:rPr>
              <w:t>表</w:t>
            </w:r>
            <w:r>
              <w:rPr>
                <w:rFonts w:hint="eastAsia" w:ascii="Times New Roman" w:hAnsi="Times New Roman" w:eastAsia="宋体"/>
                <w:color w:val="auto"/>
                <w:sz w:val="21"/>
                <w:szCs w:val="21"/>
                <w:lang w:val="en-US"/>
              </w:rPr>
              <w:t>4-1</w:t>
            </w:r>
            <w:r>
              <w:rPr>
                <w:rFonts w:hint="eastAsia" w:ascii="Times New Roman" w:hAnsi="Times New Roman" w:eastAsia="宋体"/>
                <w:color w:val="auto"/>
                <w:sz w:val="21"/>
                <w:szCs w:val="21"/>
                <w:lang w:val="en-US" w:eastAsia="zh-CN"/>
              </w:rPr>
              <w:t>6</w:t>
            </w:r>
            <w:r>
              <w:rPr>
                <w:rFonts w:ascii="Times New Roman" w:hAnsi="Times New Roman" w:eastAsia="宋体"/>
                <w:color w:val="auto"/>
                <w:sz w:val="21"/>
                <w:szCs w:val="21"/>
                <w:lang w:val="en-US"/>
              </w:rPr>
              <w:t>地下水及土壤环境监测计划</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030"/>
              <w:gridCol w:w="1835"/>
              <w:gridCol w:w="2725"/>
              <w:gridCol w:w="1472"/>
              <w:gridCol w:w="1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2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阶段</w:t>
                  </w:r>
                </w:p>
              </w:tc>
              <w:tc>
                <w:tcPr>
                  <w:tcW w:w="110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监测地点</w:t>
                  </w:r>
                </w:p>
              </w:tc>
              <w:tc>
                <w:tcPr>
                  <w:tcW w:w="1642"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监测项目</w:t>
                  </w:r>
                </w:p>
              </w:tc>
              <w:tc>
                <w:tcPr>
                  <w:tcW w:w="88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监测频率</w:t>
                  </w:r>
                </w:p>
              </w:tc>
              <w:tc>
                <w:tcPr>
                  <w:tcW w:w="74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2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营运期</w:t>
                  </w:r>
                </w:p>
              </w:tc>
              <w:tc>
                <w:tcPr>
                  <w:tcW w:w="11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厂界内潜水含水层</w:t>
                  </w:r>
                </w:p>
              </w:tc>
              <w:tc>
                <w:tcPr>
                  <w:tcW w:w="164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pH、耗氧量、氨氮、挥发性酚类</w:t>
                  </w:r>
                </w:p>
              </w:tc>
              <w:tc>
                <w:tcPr>
                  <w:tcW w:w="88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1次/两年</w:t>
                  </w:r>
                </w:p>
              </w:tc>
              <w:tc>
                <w:tcPr>
                  <w:tcW w:w="74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有资质单位</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7、环境风险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w:t>
            </w:r>
            <w:r>
              <w:rPr>
                <w:rFonts w:hint="eastAsia"/>
                <w:b/>
                <w:bCs/>
                <w:color w:val="auto"/>
                <w:sz w:val="24"/>
              </w:rPr>
              <w:t>1）风险调查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根据《建设项目环境风险评价技术导则》（HJ169-2018）附录C：当存在多种危险物质时，则按式（C.1）计算物质总量与其临界量比值（Q）：</w:t>
            </w:r>
          </w:p>
          <w:p>
            <w:pPr>
              <w:pStyle w:val="44"/>
              <w:keepNext w:val="0"/>
              <w:keepLines w:val="0"/>
              <w:pageBreakBefore w:val="0"/>
              <w:widowControl w:val="0"/>
              <w:kinsoku/>
              <w:wordWrap/>
              <w:overflowPunct/>
              <w:topLinePunct w:val="0"/>
              <w:autoSpaceDE/>
              <w:autoSpaceDN/>
              <w:bidi w:val="0"/>
              <w:adjustRightInd w:val="0"/>
              <w:snapToGrid/>
              <w:spacing w:line="360" w:lineRule="auto"/>
              <w:textAlignment w:val="auto"/>
              <w:rPr>
                <w:color w:val="auto"/>
                <w:sz w:val="24"/>
              </w:rPr>
            </w:pPr>
            <w:r>
              <w:rPr>
                <w:color w:val="auto"/>
                <w:position w:val="-30"/>
                <w:sz w:val="24"/>
              </w:rPr>
              <w:object>
                <v:shape id="_x0000_i1028" o:spt="75" alt="4386328321516078225984" type="#_x0000_t75" style="height:42.75pt;width:143.25pt;" o:ole="t" filled="f" coordsize="21600,21600">
                  <v:path/>
                  <v:fill on="f" focussize="0,0"/>
                  <v:stroke/>
                  <v:imagedata r:id="rId33" o:title="4386328321516078225984"/>
                  <o:lock v:ext="edit" aspectratio="t"/>
                  <w10:wrap type="none"/>
                  <w10:anchorlock/>
                </v:shape>
                <o:OLEObject Type="Embed" ProgID="Package" ShapeID="_x0000_i1028" DrawAspect="Icon" ObjectID="_1468075728" r:id="rId32">
                  <o:LockedField>false</o:LockedField>
                </o:OLEObject>
              </w:objec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式中：q1，q2……qn——每种危险物质的最大存在总量，单位为t；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Q1，Q2……Qn——每种危险物质的临界量，单位为t。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当Q＜1时，该项目环境风险潜势为I。</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当Q≥1时，将Q值划分为：（1）1≤Q＜10；（2）10≤Q＜100；（3）Q≥100。</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项目营运期使用的环境风险物质主要为次氯酸钠、氢氧化钠、柴油、酒精。参照《建设项目环境风险评价技术导则》（HJ169-2018）附录B，本工程危险物质数量与临界量比值（Q）如下表4-</w:t>
            </w:r>
            <w:r>
              <w:rPr>
                <w:rFonts w:hint="eastAsia"/>
                <w:color w:val="auto"/>
                <w:sz w:val="24"/>
                <w:lang w:val="en-US" w:eastAsia="zh-CN"/>
              </w:rPr>
              <w:t>17</w:t>
            </w:r>
            <w:r>
              <w:rPr>
                <w:rFonts w:hint="eastAsia"/>
                <w:color w:val="auto"/>
                <w:sz w:val="24"/>
              </w:rPr>
              <w:t>所示。</w:t>
            </w:r>
          </w:p>
          <w:p>
            <w:pPr>
              <w:pStyle w:val="43"/>
              <w:rPr>
                <w:color w:val="auto"/>
                <w:szCs w:val="21"/>
                <w:lang w:val="en-US"/>
              </w:rPr>
            </w:pPr>
            <w:r>
              <w:rPr>
                <w:rFonts w:hint="eastAsia"/>
                <w:color w:val="auto"/>
                <w:szCs w:val="21"/>
                <w:lang w:val="en-US"/>
              </w:rPr>
              <w:t>表4-</w:t>
            </w:r>
            <w:r>
              <w:rPr>
                <w:rFonts w:hint="eastAsia"/>
                <w:color w:val="auto"/>
                <w:szCs w:val="21"/>
                <w:lang w:val="en-US" w:eastAsia="zh-CN"/>
              </w:rPr>
              <w:t xml:space="preserve">17 </w:t>
            </w:r>
            <w:r>
              <w:rPr>
                <w:rFonts w:hint="eastAsia"/>
                <w:color w:val="auto"/>
                <w:szCs w:val="21"/>
                <w:lang w:val="en-US"/>
              </w:rPr>
              <w:t>危险物质数量与临界量比值（Q）</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811"/>
              <w:gridCol w:w="1725"/>
              <w:gridCol w:w="2130"/>
              <w:gridCol w:w="1158"/>
              <w:gridCol w:w="1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lang w:val="en-US"/>
                    </w:rPr>
                    <w:t>风</w:t>
                  </w:r>
                  <w:r>
                    <w:rPr>
                      <w:rFonts w:ascii="Times New Roman" w:hAnsi="Times New Roman" w:eastAsia="宋体"/>
                      <w:color w:val="auto"/>
                      <w:sz w:val="21"/>
                      <w:szCs w:val="21"/>
                    </w:rPr>
                    <w:t>险物质名称</w:t>
                  </w:r>
                </w:p>
              </w:tc>
              <w:tc>
                <w:tcPr>
                  <w:tcW w:w="104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CAS号</w:t>
                  </w:r>
                </w:p>
              </w:tc>
              <w:tc>
                <w:tcPr>
                  <w:tcW w:w="1284"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最大储存量</w:t>
                  </w:r>
                </w:p>
              </w:tc>
              <w:tc>
                <w:tcPr>
                  <w:tcW w:w="69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临界量（t）</w:t>
                  </w:r>
                </w:p>
              </w:tc>
              <w:tc>
                <w:tcPr>
                  <w:tcW w:w="885"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lang w:val="zh-CN"/>
                    </w:rPr>
                  </w:pPr>
                  <w:r>
                    <w:rPr>
                      <w:rFonts w:hint="eastAsia" w:ascii="Times New Roman" w:hAnsi="Times New Roman" w:eastAsia="宋体"/>
                      <w:color w:val="auto"/>
                      <w:sz w:val="21"/>
                      <w:szCs w:val="21"/>
                    </w:rPr>
                    <w:t>次氯酸钠</w:t>
                  </w:r>
                </w:p>
              </w:tc>
              <w:tc>
                <w:tcPr>
                  <w:tcW w:w="104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7681-52-9</w:t>
                  </w:r>
                </w:p>
              </w:tc>
              <w:tc>
                <w:tcPr>
                  <w:tcW w:w="128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0.2t</w:t>
                  </w:r>
                </w:p>
              </w:tc>
              <w:tc>
                <w:tcPr>
                  <w:tcW w:w="69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5</w:t>
                  </w:r>
                </w:p>
              </w:tc>
              <w:tc>
                <w:tcPr>
                  <w:tcW w:w="8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柴油</w:t>
                  </w:r>
                </w:p>
              </w:tc>
              <w:tc>
                <w:tcPr>
                  <w:tcW w:w="104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shd w:val="clear" w:color="auto" w:fill="FFFFFF"/>
                    </w:rPr>
                    <w:t>68334-30-5</w:t>
                  </w:r>
                </w:p>
              </w:tc>
              <w:tc>
                <w:tcPr>
                  <w:tcW w:w="1284"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0.2t</w:t>
                  </w:r>
                </w:p>
              </w:tc>
              <w:tc>
                <w:tcPr>
                  <w:tcW w:w="69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2500</w:t>
                  </w:r>
                </w:p>
              </w:tc>
              <w:tc>
                <w:tcPr>
                  <w:tcW w:w="8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bookmarkStart w:id="49" w:name="_Toc23215"/>
                  <w:bookmarkStart w:id="50" w:name="_Toc7213"/>
                  <w:bookmarkStart w:id="51" w:name="_Toc13549"/>
                  <w:r>
                    <w:rPr>
                      <w:rFonts w:ascii="Times New Roman" w:hAnsi="Times New Roman" w:eastAsia="宋体"/>
                      <w:bCs/>
                      <w:color w:val="auto"/>
                      <w:sz w:val="21"/>
                      <w:szCs w:val="21"/>
                    </w:rPr>
                    <w:t>0.0000</w:t>
                  </w:r>
                  <w:bookmarkEnd w:id="49"/>
                  <w:bookmarkEnd w:id="50"/>
                  <w:bookmarkEnd w:id="51"/>
                  <w:r>
                    <w:rPr>
                      <w:rFonts w:hint="eastAsia" w:ascii="Times New Roman" w:hAnsi="Times New Roman" w:eastAsia="宋体"/>
                      <w:bCs/>
                      <w:color w:val="auto"/>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氢氧化钠</w:t>
                  </w:r>
                </w:p>
              </w:tc>
              <w:tc>
                <w:tcPr>
                  <w:tcW w:w="1040"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1284"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1kg</w:t>
                  </w:r>
                </w:p>
              </w:tc>
              <w:tc>
                <w:tcPr>
                  <w:tcW w:w="697"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885"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酒精</w:t>
                  </w:r>
                </w:p>
              </w:tc>
              <w:tc>
                <w:tcPr>
                  <w:tcW w:w="1040"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1284"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4.5kg</w:t>
                  </w:r>
                </w:p>
              </w:tc>
              <w:tc>
                <w:tcPr>
                  <w:tcW w:w="697"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885"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氨气</w:t>
                  </w:r>
                </w:p>
              </w:tc>
              <w:tc>
                <w:tcPr>
                  <w:tcW w:w="1040"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7664-41-7</w:t>
                  </w:r>
                </w:p>
              </w:tc>
              <w:tc>
                <w:tcPr>
                  <w:tcW w:w="1284"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微量</w:t>
                  </w:r>
                </w:p>
              </w:tc>
              <w:tc>
                <w:tcPr>
                  <w:tcW w:w="697"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885"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09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硫化氢</w:t>
                  </w:r>
                </w:p>
              </w:tc>
              <w:tc>
                <w:tcPr>
                  <w:tcW w:w="1040"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7783-06-4</w:t>
                  </w:r>
                </w:p>
              </w:tc>
              <w:tc>
                <w:tcPr>
                  <w:tcW w:w="1284"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微量</w:t>
                  </w:r>
                </w:p>
              </w:tc>
              <w:tc>
                <w:tcPr>
                  <w:tcW w:w="697" w:type="pct"/>
                  <w:tcBorders>
                    <w:tl2br w:val="nil"/>
                    <w:tr2bl w:val="nil"/>
                  </w:tcBorders>
                  <w:shd w:val="clear" w:color="auto" w:fill="auto"/>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2.5</w:t>
                  </w:r>
                </w:p>
              </w:tc>
              <w:tc>
                <w:tcPr>
                  <w:tcW w:w="885"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4114" w:type="pct"/>
                  <w:gridSpan w:val="4"/>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合计</w:t>
                  </w:r>
                </w:p>
              </w:tc>
              <w:tc>
                <w:tcPr>
                  <w:tcW w:w="88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Cs/>
                      <w:color w:val="auto"/>
                      <w:sz w:val="21"/>
                      <w:szCs w:val="21"/>
                    </w:rPr>
                  </w:pPr>
                  <w:r>
                    <w:rPr>
                      <w:rFonts w:hint="eastAsia" w:ascii="Times New Roman" w:hAnsi="Times New Roman" w:eastAsia="宋体"/>
                      <w:bCs/>
                      <w:color w:val="auto"/>
                      <w:sz w:val="21"/>
                      <w:szCs w:val="21"/>
                    </w:rPr>
                    <w:t>0.04008</w:t>
                  </w:r>
                </w:p>
              </w:tc>
            </w:tr>
          </w:tbl>
          <w:p>
            <w:pPr>
              <w:pStyle w:val="70"/>
              <w:keepNext w:val="0"/>
              <w:keepLines w:val="0"/>
              <w:pageBreakBefore w:val="0"/>
              <w:widowControl w:val="0"/>
              <w:kinsoku/>
              <w:wordWrap/>
              <w:overflowPunct/>
              <w:topLinePunct w:val="0"/>
              <w:autoSpaceDE/>
              <w:autoSpaceDN/>
              <w:bidi w:val="0"/>
              <w:adjustRightInd w:val="0"/>
              <w:snapToGrid/>
              <w:ind w:firstLine="480"/>
              <w:jc w:val="both"/>
              <w:textAlignment w:val="auto"/>
              <w:rPr>
                <w:color w:val="auto"/>
                <w:sz w:val="24"/>
                <w:szCs w:val="24"/>
              </w:rPr>
            </w:pPr>
            <w:r>
              <w:rPr>
                <w:color w:val="auto"/>
                <w:sz w:val="24"/>
                <w:szCs w:val="24"/>
              </w:rPr>
              <w:t>由上表分析可知，本项目Q=</w:t>
            </w:r>
            <w:r>
              <w:rPr>
                <w:rFonts w:hint="eastAsia"/>
                <w:color w:val="auto"/>
                <w:sz w:val="24"/>
                <w:szCs w:val="24"/>
              </w:rPr>
              <w:t>0.04008</w:t>
            </w:r>
            <w:r>
              <w:rPr>
                <w:color w:val="auto"/>
                <w:sz w:val="24"/>
                <w:szCs w:val="24"/>
              </w:rPr>
              <w:t>＜1，</w:t>
            </w:r>
            <w:r>
              <w:rPr>
                <w:rFonts w:hint="eastAsia"/>
                <w:color w:val="auto"/>
                <w:sz w:val="24"/>
                <w:szCs w:val="24"/>
              </w:rPr>
              <w:t>根据《建设项目环境风险评价技术导则》HJ/T169-2018 附录C，当Q＜1时，该项目环境风险潜势为I，环境风险进行简单分析。</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rPr>
            </w:pPr>
            <w:r>
              <w:rPr>
                <w:rFonts w:hint="eastAsia"/>
                <w:b/>
                <w:bCs/>
                <w:color w:val="auto"/>
                <w:sz w:val="24"/>
              </w:rPr>
              <w:t>（2）环境风险识别</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分析危险物质特性及可能的环境风险类型，识别危险物质影响环境的途径，分析可能影响的环境敏感目标，具体见下表4-</w:t>
            </w:r>
            <w:r>
              <w:rPr>
                <w:rFonts w:hint="eastAsia"/>
                <w:color w:val="auto"/>
                <w:sz w:val="24"/>
                <w:lang w:val="en-US" w:eastAsia="zh-CN"/>
              </w:rPr>
              <w:t>18</w:t>
            </w:r>
            <w:r>
              <w:rPr>
                <w:rFonts w:hint="eastAsia"/>
                <w:color w:val="auto"/>
                <w:sz w:val="24"/>
              </w:rPr>
              <w:t>。</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lang w:val="en-US"/>
              </w:rPr>
            </w:pPr>
            <w:r>
              <w:rPr>
                <w:rFonts w:ascii="Times New Roman" w:hAnsi="Times New Roman" w:eastAsia="宋体"/>
                <w:color w:val="auto"/>
                <w:sz w:val="21"/>
                <w:szCs w:val="21"/>
                <w:lang w:val="en-US"/>
              </w:rPr>
              <w:t>表</w:t>
            </w:r>
            <w:r>
              <w:rPr>
                <w:rFonts w:hint="eastAsia" w:ascii="Times New Roman" w:hAnsi="Times New Roman" w:eastAsia="宋体"/>
                <w:color w:val="auto"/>
                <w:sz w:val="21"/>
                <w:szCs w:val="21"/>
                <w:lang w:val="en-US"/>
              </w:rPr>
              <w:t>4-</w:t>
            </w:r>
            <w:r>
              <w:rPr>
                <w:rFonts w:hint="eastAsia" w:ascii="Times New Roman" w:hAnsi="Times New Roman" w:eastAsia="宋体"/>
                <w:color w:val="auto"/>
                <w:sz w:val="21"/>
                <w:szCs w:val="21"/>
                <w:lang w:val="en-US" w:eastAsia="zh-CN"/>
              </w:rPr>
              <w:t>18</w:t>
            </w:r>
            <w:r>
              <w:rPr>
                <w:rFonts w:hint="eastAsia"/>
                <w:color w:val="auto"/>
                <w:sz w:val="21"/>
                <w:szCs w:val="21"/>
                <w:lang w:val="en-US" w:eastAsia="zh-CN"/>
              </w:rPr>
              <w:t xml:space="preserve"> </w:t>
            </w:r>
            <w:r>
              <w:rPr>
                <w:rFonts w:ascii="Times New Roman" w:hAnsi="Times New Roman" w:eastAsia="宋体"/>
                <w:color w:val="auto"/>
                <w:sz w:val="21"/>
                <w:szCs w:val="21"/>
                <w:lang w:val="en-US"/>
              </w:rPr>
              <w:t>建设项目环境风险识别表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6" w:type="dxa"/>
                <w:left w:w="57" w:type="dxa"/>
                <w:bottom w:w="6" w:type="dxa"/>
                <w:right w:w="57" w:type="dxa"/>
              </w:tblCellMar>
            </w:tblPr>
            <w:tblGrid>
              <w:gridCol w:w="486"/>
              <w:gridCol w:w="791"/>
              <w:gridCol w:w="778"/>
              <w:gridCol w:w="1327"/>
              <w:gridCol w:w="1197"/>
              <w:gridCol w:w="1552"/>
              <w:gridCol w:w="2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 w:type="dxa"/>
                  <w:left w:w="57" w:type="dxa"/>
                  <w:bottom w:w="6" w:type="dxa"/>
                  <w:right w:w="57" w:type="dxa"/>
                </w:tblCellMar>
              </w:tblPrEx>
              <w:trPr>
                <w:trHeight w:val="864" w:hRule="atLeast"/>
              </w:trPr>
              <w:tc>
                <w:tcPr>
                  <w:tcW w:w="293"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47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危险单元</w:t>
                  </w:r>
                </w:p>
              </w:tc>
              <w:tc>
                <w:tcPr>
                  <w:tcW w:w="469"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风险源</w:t>
                  </w:r>
                </w:p>
              </w:tc>
              <w:tc>
                <w:tcPr>
                  <w:tcW w:w="80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主要风险物质</w:t>
                  </w:r>
                </w:p>
              </w:tc>
              <w:tc>
                <w:tcPr>
                  <w:tcW w:w="722"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环境风险类型</w:t>
                  </w:r>
                </w:p>
              </w:tc>
              <w:tc>
                <w:tcPr>
                  <w:tcW w:w="93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环境风险途径</w:t>
                  </w:r>
                </w:p>
              </w:tc>
              <w:tc>
                <w:tcPr>
                  <w:tcW w:w="130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可能影响的环境敏感目标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 w:type="dxa"/>
                  <w:left w:w="57" w:type="dxa"/>
                  <w:bottom w:w="6" w:type="dxa"/>
                  <w:right w:w="57" w:type="dxa"/>
                </w:tblCellMar>
              </w:tblPrEx>
              <w:trPr>
                <w:trHeight w:val="567" w:hRule="atLeast"/>
              </w:trPr>
              <w:tc>
                <w:tcPr>
                  <w:tcW w:w="29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47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污水处理站</w:t>
                  </w:r>
                </w:p>
              </w:tc>
              <w:tc>
                <w:tcPr>
                  <w:tcW w:w="469"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次氯酸钠加药装置</w:t>
                  </w:r>
                </w:p>
              </w:tc>
              <w:tc>
                <w:tcPr>
                  <w:tcW w:w="8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次氯酸钠</w:t>
                  </w:r>
                </w:p>
              </w:tc>
              <w:tc>
                <w:tcPr>
                  <w:tcW w:w="7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泄露</w:t>
                  </w:r>
                </w:p>
              </w:tc>
              <w:tc>
                <w:tcPr>
                  <w:tcW w:w="93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液体物质发生泄漏</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主要可能影响泄漏点附近地表水、地下水和土壤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 w:type="dxa"/>
                  <w:left w:w="57" w:type="dxa"/>
                  <w:bottom w:w="6" w:type="dxa"/>
                  <w:right w:w="57" w:type="dxa"/>
                </w:tblCellMar>
              </w:tblPrEx>
              <w:trPr>
                <w:trHeight w:val="567" w:hRule="atLeast"/>
              </w:trPr>
              <w:tc>
                <w:tcPr>
                  <w:tcW w:w="29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47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469"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医疗</w:t>
                  </w:r>
                  <w:r>
                    <w:rPr>
                      <w:rFonts w:ascii="Times New Roman" w:hAnsi="Times New Roman" w:eastAsia="宋体"/>
                      <w:color w:val="auto"/>
                      <w:sz w:val="21"/>
                      <w:szCs w:val="21"/>
                    </w:rPr>
                    <w:t>废水</w:t>
                  </w:r>
                </w:p>
              </w:tc>
              <w:tc>
                <w:tcPr>
                  <w:tcW w:w="8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COD、BOD</w:t>
                  </w:r>
                  <w:r>
                    <w:rPr>
                      <w:rFonts w:ascii="Times New Roman" w:hAnsi="Times New Roman" w:eastAsia="宋体"/>
                      <w:color w:val="auto"/>
                      <w:sz w:val="21"/>
                      <w:szCs w:val="21"/>
                      <w:vertAlign w:val="subscript"/>
                    </w:rPr>
                    <w:t>5</w:t>
                  </w:r>
                  <w:r>
                    <w:rPr>
                      <w:rFonts w:ascii="Times New Roman" w:hAnsi="Times New Roman" w:eastAsia="宋体"/>
                      <w:color w:val="auto"/>
                      <w:sz w:val="21"/>
                      <w:szCs w:val="21"/>
                    </w:rPr>
                    <w:t>氨氮、SS、</w:t>
                  </w:r>
                </w:p>
                <w:p>
                  <w:pPr>
                    <w:pStyle w:val="44"/>
                    <w:keepNext w:val="0"/>
                    <w:keepLines w:val="0"/>
                    <w:pageBreakBefore w:val="0"/>
                    <w:kinsoku/>
                    <w:wordWrap/>
                    <w:topLinePunct w:val="0"/>
                    <w:bidi w:val="0"/>
                    <w:adjustRightInd w:val="0"/>
                    <w:snapToGrid w:val="0"/>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rPr>
                    <w:t>粪大肠菌群数、</w:t>
                  </w:r>
                  <w:r>
                    <w:rPr>
                      <w:rFonts w:hint="eastAsia" w:ascii="Times New Roman" w:hAnsi="Times New Roman" w:eastAsia="宋体"/>
                      <w:color w:val="auto"/>
                      <w:sz w:val="21"/>
                      <w:szCs w:val="21"/>
                    </w:rPr>
                    <w:t>TP</w:t>
                  </w:r>
                  <w:r>
                    <w:rPr>
                      <w:rFonts w:ascii="Times New Roman" w:hAnsi="Times New Roman" w:eastAsia="宋体"/>
                      <w:color w:val="auto"/>
                      <w:sz w:val="21"/>
                      <w:szCs w:val="21"/>
                    </w:rPr>
                    <w:t>、</w:t>
                  </w:r>
                  <w:r>
                    <w:rPr>
                      <w:rFonts w:hint="eastAsia" w:ascii="Times New Roman" w:hAnsi="Times New Roman" w:eastAsia="宋体"/>
                      <w:color w:val="auto"/>
                      <w:sz w:val="21"/>
                      <w:szCs w:val="21"/>
                    </w:rPr>
                    <w:t>动植物油</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阴离子表面活性剂等</w:t>
                  </w:r>
                </w:p>
              </w:tc>
              <w:tc>
                <w:tcPr>
                  <w:tcW w:w="722"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泄露</w:t>
                  </w:r>
                </w:p>
              </w:tc>
              <w:tc>
                <w:tcPr>
                  <w:tcW w:w="93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废水</w:t>
                  </w:r>
                  <w:r>
                    <w:rPr>
                      <w:rFonts w:ascii="Times New Roman" w:hAnsi="Times New Roman" w:eastAsia="宋体"/>
                      <w:color w:val="auto"/>
                      <w:sz w:val="21"/>
                      <w:szCs w:val="21"/>
                    </w:rPr>
                    <w:t>发生泄漏</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主要可能影响泄漏点附近地表水、地下水和土壤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 w:type="dxa"/>
                  <w:left w:w="57" w:type="dxa"/>
                  <w:bottom w:w="6" w:type="dxa"/>
                  <w:right w:w="57" w:type="dxa"/>
                </w:tblCellMar>
              </w:tblPrEx>
              <w:trPr>
                <w:trHeight w:val="567" w:hRule="atLeast"/>
              </w:trPr>
              <w:tc>
                <w:tcPr>
                  <w:tcW w:w="29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77"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医废间</w:t>
                  </w:r>
                </w:p>
              </w:tc>
              <w:tc>
                <w:tcPr>
                  <w:tcW w:w="469"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医疗废物</w:t>
                  </w:r>
                </w:p>
              </w:tc>
              <w:tc>
                <w:tcPr>
                  <w:tcW w:w="800"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检验固废、检验废液</w:t>
                  </w:r>
                </w:p>
              </w:tc>
              <w:tc>
                <w:tcPr>
                  <w:tcW w:w="722"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泄漏</w:t>
                  </w:r>
                </w:p>
              </w:tc>
              <w:tc>
                <w:tcPr>
                  <w:tcW w:w="93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管理不当、储存设施损坏，</w:t>
                  </w:r>
                  <w:r>
                    <w:rPr>
                      <w:rFonts w:ascii="Times New Roman" w:hAnsi="Times New Roman" w:eastAsia="宋体"/>
                      <w:color w:val="auto"/>
                      <w:sz w:val="21"/>
                      <w:szCs w:val="21"/>
                    </w:rPr>
                    <w:t>液体物质发生泄漏</w:t>
                  </w:r>
                </w:p>
              </w:tc>
              <w:tc>
                <w:tcPr>
                  <w:tcW w:w="13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主要可能影响泄漏点附近地表水、地下水和土壤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 w:type="dxa"/>
                  <w:left w:w="57" w:type="dxa"/>
                  <w:bottom w:w="6" w:type="dxa"/>
                  <w:right w:w="57" w:type="dxa"/>
                </w:tblCellMar>
              </w:tblPrEx>
              <w:trPr>
                <w:trHeight w:val="567" w:hRule="atLeast"/>
              </w:trPr>
              <w:tc>
                <w:tcPr>
                  <w:tcW w:w="29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477"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发电机房</w:t>
                  </w:r>
                </w:p>
              </w:tc>
              <w:tc>
                <w:tcPr>
                  <w:tcW w:w="469"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柴油</w:t>
                  </w:r>
                </w:p>
              </w:tc>
              <w:tc>
                <w:tcPr>
                  <w:tcW w:w="800"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柴油</w:t>
                  </w:r>
                </w:p>
              </w:tc>
              <w:tc>
                <w:tcPr>
                  <w:tcW w:w="722"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泄漏、燃烧</w:t>
                  </w:r>
                </w:p>
              </w:tc>
              <w:tc>
                <w:tcPr>
                  <w:tcW w:w="93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储存不当泄漏、发生火灾</w:t>
                  </w:r>
                </w:p>
              </w:tc>
              <w:tc>
                <w:tcPr>
                  <w:tcW w:w="1300"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主要影响</w:t>
                  </w:r>
                  <w:r>
                    <w:rPr>
                      <w:rFonts w:hint="eastAsia" w:ascii="Times New Roman" w:hAnsi="Times New Roman" w:eastAsia="宋体"/>
                      <w:color w:val="auto"/>
                      <w:sz w:val="21"/>
                      <w:szCs w:val="21"/>
                    </w:rPr>
                    <w:t>大气、</w:t>
                  </w:r>
                  <w:r>
                    <w:rPr>
                      <w:rFonts w:ascii="Times New Roman" w:hAnsi="Times New Roman" w:eastAsia="宋体"/>
                      <w:color w:val="auto"/>
                      <w:sz w:val="21"/>
                      <w:szCs w:val="21"/>
                    </w:rPr>
                    <w:t>地表水、地下水和土壤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 w:type="dxa"/>
                  <w:left w:w="57" w:type="dxa"/>
                  <w:bottom w:w="6" w:type="dxa"/>
                  <w:right w:w="57" w:type="dxa"/>
                </w:tblCellMar>
              </w:tblPrEx>
              <w:trPr>
                <w:trHeight w:val="567" w:hRule="atLeast"/>
              </w:trPr>
              <w:tc>
                <w:tcPr>
                  <w:tcW w:w="293"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477"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医器间</w:t>
                  </w:r>
                </w:p>
              </w:tc>
              <w:tc>
                <w:tcPr>
                  <w:tcW w:w="469"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酒精</w:t>
                  </w:r>
                </w:p>
              </w:tc>
              <w:tc>
                <w:tcPr>
                  <w:tcW w:w="800"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酒精</w:t>
                  </w:r>
                </w:p>
              </w:tc>
              <w:tc>
                <w:tcPr>
                  <w:tcW w:w="722" w:type="pct"/>
                  <w:tcBorders>
                    <w:tl2br w:val="nil"/>
                    <w:tr2bl w:val="nil"/>
                  </w:tcBorders>
                  <w:vAlign w:val="center"/>
                </w:tcPr>
                <w:p>
                  <w:pPr>
                    <w:pStyle w:val="70"/>
                    <w:keepNext w:val="0"/>
                    <w:keepLines w:val="0"/>
                    <w:pageBreakBefore w:val="0"/>
                    <w:kinsoku/>
                    <w:wordWrap/>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燃烧</w:t>
                  </w:r>
                </w:p>
              </w:tc>
              <w:tc>
                <w:tcPr>
                  <w:tcW w:w="936"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储存不当挥发、发生火灾</w:t>
                  </w:r>
                </w:p>
              </w:tc>
              <w:tc>
                <w:tcPr>
                  <w:tcW w:w="1300" w:type="pct"/>
                  <w:tcBorders>
                    <w:tl2br w:val="nil"/>
                    <w:tr2bl w:val="nil"/>
                  </w:tcBorders>
                  <w:shd w:val="clear" w:color="auto" w:fill="auto"/>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主要影响</w:t>
                  </w:r>
                  <w:r>
                    <w:rPr>
                      <w:rFonts w:hint="eastAsia" w:ascii="Times New Roman" w:hAnsi="Times New Roman" w:eastAsia="宋体"/>
                      <w:color w:val="auto"/>
                      <w:sz w:val="21"/>
                      <w:szCs w:val="21"/>
                    </w:rPr>
                    <w:t>大气、</w:t>
                  </w:r>
                  <w:r>
                    <w:rPr>
                      <w:rFonts w:ascii="Times New Roman" w:hAnsi="Times New Roman" w:eastAsia="宋体"/>
                      <w:color w:val="auto"/>
                      <w:sz w:val="21"/>
                      <w:szCs w:val="21"/>
                    </w:rPr>
                    <w:t>地表水</w:t>
                  </w:r>
                </w:p>
              </w:tc>
            </w:tr>
          </w:tbl>
          <w:p>
            <w:pPr>
              <w:keepNext w:val="0"/>
              <w:keepLines w:val="0"/>
              <w:pageBreakBefore w:val="0"/>
              <w:kinsoku/>
              <w:wordWrap/>
              <w:overflowPunct/>
              <w:topLinePunct w:val="0"/>
              <w:autoSpaceDE/>
              <w:autoSpaceDN/>
              <w:bidi w:val="0"/>
              <w:adjustRightInd w:val="0"/>
              <w:snapToGrid/>
              <w:spacing w:line="360" w:lineRule="auto"/>
              <w:ind w:left="0" w:firstLine="481" w:firstLineChars="200"/>
              <w:jc w:val="both"/>
              <w:textAlignment w:val="auto"/>
              <w:rPr>
                <w:b/>
                <w:bCs/>
                <w:color w:val="auto"/>
                <w:sz w:val="24"/>
              </w:rPr>
            </w:pPr>
            <w:r>
              <w:rPr>
                <w:rFonts w:hint="eastAsia"/>
                <w:b/>
                <w:bCs/>
                <w:color w:val="auto"/>
                <w:sz w:val="24"/>
              </w:rPr>
              <w:t>（3）环境风险分析</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sz w:val="24"/>
              </w:rPr>
            </w:pPr>
            <w:r>
              <w:rPr>
                <w:rFonts w:hint="eastAsia"/>
                <w:color w:val="auto"/>
                <w:sz w:val="24"/>
              </w:rPr>
              <w:t>从建设项目环境风险识别表可见，项目风险类型主要为：</w:t>
            </w:r>
          </w:p>
          <w:p>
            <w:pPr>
              <w:pStyle w:val="14"/>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rFonts w:cs="微软雅黑"/>
                <w:color w:val="auto"/>
                <w:sz w:val="24"/>
              </w:rPr>
            </w:pPr>
            <w:r>
              <w:rPr>
                <w:rFonts w:hint="eastAsia" w:cs="微软雅黑"/>
                <w:color w:val="auto"/>
                <w:sz w:val="24"/>
              </w:rPr>
              <w:t>①项目次氯酸钠加药装置损坏或次氯酸钠储存、操作不当，造成次氯酸钠泄漏，对项目附近地表水、地下水、土壤环境造成影响；</w:t>
            </w:r>
          </w:p>
          <w:p>
            <w:pPr>
              <w:pStyle w:val="15"/>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rFonts w:ascii="Times New Roman" w:hAnsi="Times New Roman" w:cs="微软雅黑"/>
                <w:color w:val="auto"/>
                <w:sz w:val="24"/>
              </w:rPr>
            </w:pPr>
            <w:r>
              <w:rPr>
                <w:rFonts w:ascii="Times New Roman" w:hAnsi="Times New Roman" w:cs="Calibri"/>
                <w:color w:val="auto"/>
                <w:sz w:val="24"/>
              </w:rPr>
              <w:t>②</w:t>
            </w:r>
            <w:r>
              <w:rPr>
                <w:rFonts w:hint="eastAsia" w:ascii="Times New Roman" w:hAnsi="Times New Roman" w:cs="Calibri"/>
                <w:color w:val="auto"/>
                <w:sz w:val="24"/>
              </w:rPr>
              <w:t>项目污水处理设备故障时易导致项目医疗废水泄漏，发生事故排放，造成周边</w:t>
            </w:r>
            <w:r>
              <w:rPr>
                <w:rFonts w:hint="eastAsia" w:ascii="Times New Roman" w:hAnsi="Times New Roman" w:cs="微软雅黑"/>
                <w:color w:val="auto"/>
                <w:sz w:val="24"/>
              </w:rPr>
              <w:t>地表水、地下水、土壤环境污染；</w:t>
            </w:r>
          </w:p>
          <w:p>
            <w:pPr>
              <w:pStyle w:val="15"/>
              <w:keepNext w:val="0"/>
              <w:keepLines w:val="0"/>
              <w:pageBreakBefore w:val="0"/>
              <w:kinsoku/>
              <w:wordWrap/>
              <w:overflowPunct/>
              <w:topLinePunct w:val="0"/>
              <w:autoSpaceDE/>
              <w:autoSpaceDN/>
              <w:bidi w:val="0"/>
              <w:adjustRightInd w:val="0"/>
              <w:snapToGrid/>
              <w:spacing w:line="360" w:lineRule="auto"/>
              <w:ind w:left="0" w:firstLine="496" w:firstLineChars="200"/>
              <w:jc w:val="both"/>
              <w:textAlignment w:val="auto"/>
              <w:rPr>
                <w:rFonts w:ascii="Times New Roman" w:hAnsi="Times New Roman" w:cs="微软雅黑"/>
                <w:color w:val="auto"/>
                <w:sz w:val="24"/>
              </w:rPr>
            </w:pPr>
            <w:r>
              <w:rPr>
                <w:rFonts w:hint="eastAsia" w:ascii="Times New Roman" w:hAnsi="Times New Roman"/>
                <w:color w:val="auto"/>
                <w:spacing w:val="4"/>
                <w:sz w:val="24"/>
              </w:rPr>
              <w:t>③项目医废暂存间因</w:t>
            </w:r>
            <w:r>
              <w:rPr>
                <w:rFonts w:hint="eastAsia" w:ascii="Times New Roman" w:hAnsi="Times New Roman"/>
                <w:color w:val="auto"/>
                <w:sz w:val="24"/>
                <w:szCs w:val="21"/>
              </w:rPr>
              <w:t>管理不当、储存设施损坏，导致医疗废物中一些</w:t>
            </w:r>
            <w:r>
              <w:rPr>
                <w:rFonts w:ascii="Times New Roman" w:hAnsi="Times New Roman"/>
                <w:color w:val="auto"/>
                <w:sz w:val="24"/>
                <w:szCs w:val="21"/>
              </w:rPr>
              <w:t>液体物质发生泄漏</w:t>
            </w:r>
            <w:r>
              <w:rPr>
                <w:rFonts w:hint="eastAsia" w:ascii="Times New Roman" w:hAnsi="Times New Roman"/>
                <w:color w:val="auto"/>
                <w:sz w:val="24"/>
                <w:szCs w:val="21"/>
              </w:rPr>
              <w:t>，</w:t>
            </w:r>
            <w:r>
              <w:rPr>
                <w:rFonts w:hint="eastAsia" w:ascii="Times New Roman" w:hAnsi="Times New Roman" w:cs="Calibri"/>
                <w:color w:val="auto"/>
                <w:sz w:val="24"/>
              </w:rPr>
              <w:t>造成周边</w:t>
            </w:r>
            <w:r>
              <w:rPr>
                <w:rFonts w:hint="eastAsia" w:ascii="Times New Roman" w:hAnsi="Times New Roman" w:cs="微软雅黑"/>
                <w:color w:val="auto"/>
                <w:sz w:val="24"/>
              </w:rPr>
              <w:t>地表水、地下水、土壤环境污染；</w:t>
            </w:r>
          </w:p>
          <w:p>
            <w:pPr>
              <w:pStyle w:val="15"/>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rFonts w:ascii="Times New Roman" w:hAnsi="Times New Roman" w:cs="微软雅黑"/>
                <w:color w:val="auto"/>
                <w:sz w:val="24"/>
              </w:rPr>
            </w:pPr>
            <w:r>
              <w:rPr>
                <w:rFonts w:hint="eastAsia" w:ascii="Times New Roman" w:hAnsi="Times New Roman" w:cs="宋体"/>
                <w:color w:val="auto"/>
                <w:sz w:val="24"/>
              </w:rPr>
              <w:t>④项目设有备用柴油发电机，柴油储存不当或操作不当，容易发生泄漏，遇明火易发生火灾；对大气环境、</w:t>
            </w:r>
            <w:r>
              <w:rPr>
                <w:rFonts w:hint="eastAsia" w:ascii="Times New Roman" w:hAnsi="Times New Roman" w:cs="微软雅黑"/>
                <w:color w:val="auto"/>
                <w:sz w:val="24"/>
              </w:rPr>
              <w:t>地表水环境、地下水环境、土壤环境造成危害；</w:t>
            </w:r>
          </w:p>
          <w:p>
            <w:pPr>
              <w:pStyle w:val="15"/>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rFonts w:ascii="Times New Roman" w:hAnsi="Times New Roman"/>
                <w:color w:val="auto"/>
                <w:sz w:val="24"/>
              </w:rPr>
            </w:pPr>
            <w:r>
              <w:rPr>
                <w:rFonts w:hint="eastAsia" w:ascii="Times New Roman" w:hAnsi="Times New Roman" w:cs="宋体"/>
                <w:color w:val="auto"/>
                <w:sz w:val="24"/>
              </w:rPr>
              <w:t>⑤</w:t>
            </w:r>
            <w:r>
              <w:rPr>
                <w:rFonts w:hint="eastAsia" w:ascii="Times New Roman" w:hAnsi="Times New Roman" w:cs="微软雅黑"/>
                <w:color w:val="auto"/>
                <w:sz w:val="24"/>
              </w:rPr>
              <w:t>项目医院会使用酒精消毒，酒精易挥发易燃，使用不当或储存不当，易造成酒精挥发，酒精燃烧造成火灾，对大气环境、地表水环境造成影响。</w:t>
            </w:r>
          </w:p>
          <w:p>
            <w:pPr>
              <w:keepNext w:val="0"/>
              <w:keepLines w:val="0"/>
              <w:pageBreakBefore w:val="0"/>
              <w:kinsoku/>
              <w:wordWrap/>
              <w:overflowPunct/>
              <w:topLinePunct w:val="0"/>
              <w:autoSpaceDE/>
              <w:autoSpaceDN/>
              <w:bidi w:val="0"/>
              <w:adjustRightInd w:val="0"/>
              <w:snapToGrid/>
              <w:spacing w:line="360" w:lineRule="auto"/>
              <w:ind w:left="0" w:firstLine="481" w:firstLineChars="200"/>
              <w:jc w:val="both"/>
              <w:textAlignment w:val="auto"/>
              <w:rPr>
                <w:b/>
                <w:bCs/>
                <w:color w:val="auto"/>
                <w:sz w:val="24"/>
              </w:rPr>
            </w:pPr>
            <w:r>
              <w:rPr>
                <w:rFonts w:hint="eastAsia"/>
                <w:b/>
                <w:bCs/>
                <w:color w:val="auto"/>
                <w:sz w:val="24"/>
              </w:rPr>
              <w:t>（4）环境风险防范措施</w:t>
            </w:r>
          </w:p>
          <w:p>
            <w:pPr>
              <w:keepNext w:val="0"/>
              <w:keepLines w:val="0"/>
              <w:pageBreakBefore w:val="0"/>
              <w:kinsoku/>
              <w:wordWrap/>
              <w:overflowPunct/>
              <w:topLinePunct w:val="0"/>
              <w:autoSpaceDE/>
              <w:autoSpaceDN/>
              <w:bidi w:val="0"/>
              <w:adjustRightInd w:val="0"/>
              <w:snapToGrid/>
              <w:spacing w:line="360" w:lineRule="auto"/>
              <w:ind w:left="0" w:firstLine="481" w:firstLineChars="200"/>
              <w:jc w:val="both"/>
              <w:textAlignment w:val="auto"/>
              <w:rPr>
                <w:b/>
                <w:bCs/>
                <w:color w:val="auto"/>
                <w:sz w:val="24"/>
              </w:rPr>
            </w:pPr>
            <w:r>
              <w:rPr>
                <w:rFonts w:hint="eastAsia"/>
                <w:b/>
                <w:bCs/>
                <w:color w:val="auto"/>
                <w:sz w:val="24"/>
              </w:rPr>
              <w:t>（1）次氯酸钠泄露风险防范措施</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sz w:val="24"/>
              </w:rPr>
            </w:pPr>
            <w:r>
              <w:rPr>
                <w:rFonts w:hint="eastAsia"/>
                <w:color w:val="auto"/>
                <w:sz w:val="24"/>
              </w:rPr>
              <w:t>①操作安全：次氯酸钠操作过程中应佩戴好防腐蚀手套，安排专员定期对次次氯酸钠加药装置进行检查，确保装置运行安全。</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sz w:val="24"/>
              </w:rPr>
            </w:pPr>
            <w:r>
              <w:rPr>
                <w:rFonts w:hint="eastAsia"/>
                <w:color w:val="auto"/>
                <w:sz w:val="24"/>
              </w:rPr>
              <w:t>②储存安全：次氯酸钠应储存于阴凉、通风的库房，远离火种、热源，采用防爆型照明、通风设施。</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sz w:val="24"/>
              </w:rPr>
            </w:pPr>
            <w:r>
              <w:rPr>
                <w:rFonts w:hint="eastAsia"/>
                <w:color w:val="auto"/>
                <w:sz w:val="24"/>
              </w:rPr>
              <w:t>③急救措施：次氯酸钠不慎进入眼睛或黏膜，应立即用水冲洗干净；发生误食后应立即饮用盐水或者温肥皂水催吐，然后送医院治疗。</w:t>
            </w:r>
          </w:p>
          <w:p>
            <w:pPr>
              <w:pStyle w:val="70"/>
              <w:keepNext w:val="0"/>
              <w:keepLines w:val="0"/>
              <w:pageBreakBefore w:val="0"/>
              <w:kinsoku/>
              <w:wordWrap/>
              <w:overflowPunct/>
              <w:topLinePunct w:val="0"/>
              <w:autoSpaceDE/>
              <w:autoSpaceDN/>
              <w:bidi w:val="0"/>
              <w:adjustRightInd w:val="0"/>
              <w:snapToGrid/>
              <w:ind w:left="0" w:firstLine="481" w:firstLineChars="200"/>
              <w:jc w:val="both"/>
              <w:textAlignment w:val="auto"/>
              <w:rPr>
                <w:b/>
                <w:bCs/>
                <w:color w:val="auto"/>
                <w:sz w:val="24"/>
                <w:szCs w:val="24"/>
              </w:rPr>
            </w:pPr>
            <w:r>
              <w:rPr>
                <w:rFonts w:hint="eastAsia"/>
                <w:b/>
                <w:bCs/>
                <w:color w:val="auto"/>
                <w:sz w:val="24"/>
                <w:szCs w:val="24"/>
              </w:rPr>
              <w:t>（2）医院污水泄漏防范措施</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①加强污水处理设施设备、管线、阀门等设备元器件的维护保养，对系统的薄弱环节如消毒设备等易出故障的地方，加强检查、维护保养，及时更新。对处理设备故障要及时抢修，防止因处理设备故障抢修不及时而造成污水超标排放；</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②项目应配套建设完善的排水系统和切换系统，以应对因管道破裂、泵设备损坏或失效、人为操作失误等事故，确保事故污水全部收集至事故池暂存，待事故结束后妥善处理；</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③一旦出现非正常情况，操作人员应立即启动废水回流至事故池，关闭废水排放口的阀门。查找原因，及时抢修，待系统正常运行达标后方可开启排放口阀门；</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④加强对操作人员的岗位培训，建立健全的环保管理机制和各项环保规章制度，落实岗位环保责任制，加强环境风险防范工作，防止事故排放导致环境问题；</w:t>
            </w:r>
          </w:p>
          <w:p>
            <w:pPr>
              <w:pStyle w:val="18"/>
              <w:keepNext w:val="0"/>
              <w:keepLines w:val="0"/>
              <w:pageBreakBefore w:val="0"/>
              <w:kinsoku/>
              <w:wordWrap/>
              <w:overflowPunct/>
              <w:topLinePunct w:val="0"/>
              <w:autoSpaceDE/>
              <w:autoSpaceDN/>
              <w:bidi w:val="0"/>
              <w:adjustRightInd w:val="0"/>
              <w:snapToGrid/>
              <w:spacing w:line="360" w:lineRule="auto"/>
              <w:ind w:left="0" w:leftChars="0" w:firstLine="481" w:firstLineChars="200"/>
              <w:jc w:val="both"/>
              <w:textAlignment w:val="auto"/>
              <w:rPr>
                <w:b/>
                <w:bCs/>
                <w:color w:val="auto"/>
                <w:sz w:val="24"/>
              </w:rPr>
            </w:pPr>
            <w:r>
              <w:rPr>
                <w:rFonts w:hint="eastAsia"/>
                <w:b/>
                <w:bCs/>
                <w:color w:val="auto"/>
                <w:sz w:val="24"/>
              </w:rPr>
              <w:t>（3）医废暂存间泄漏风险防范措施</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①医疗废物处置标准应按照《医疗废物管理条例》中华人民共和国国务院令（第380号）、《医疗废物集中处置技术规范（试行）》（环发[2003]206号）、《危险废物贮存污染控制标准》（GB18597-20</w:t>
            </w:r>
            <w:r>
              <w:rPr>
                <w:color w:val="auto"/>
                <w:sz w:val="24"/>
                <w:szCs w:val="24"/>
              </w:rPr>
              <w:t>23</w:t>
            </w:r>
            <w:r>
              <w:rPr>
                <w:rFonts w:hint="eastAsia"/>
                <w:color w:val="auto"/>
                <w:sz w:val="24"/>
                <w:szCs w:val="24"/>
              </w:rPr>
              <w:t>）、《医疗机构水污染物排放标准》（GB18466-2005）的污泥控制与处置要求；</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②对项目产生的医疗废物进行科学的分类收集；及时委托资质单位处理；</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③建立医疗废物暂时贮存设施、设备，不得露天存放医疗废物；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④医药库房贮存物质时，贮存容器、贮存方法、贮存量、贮存环境等必须符合国家有关规定。同时设专职人员加强管理和定期检查。</w:t>
            </w:r>
          </w:p>
          <w:p>
            <w:pPr>
              <w:pStyle w:val="70"/>
              <w:keepNext w:val="0"/>
              <w:keepLines w:val="0"/>
              <w:pageBreakBefore w:val="0"/>
              <w:kinsoku/>
              <w:wordWrap/>
              <w:overflowPunct/>
              <w:topLinePunct w:val="0"/>
              <w:autoSpaceDE/>
              <w:autoSpaceDN/>
              <w:bidi w:val="0"/>
              <w:adjustRightInd w:val="0"/>
              <w:snapToGrid/>
              <w:ind w:left="0" w:firstLine="480" w:firstLineChars="200"/>
              <w:jc w:val="both"/>
              <w:textAlignment w:val="auto"/>
              <w:rPr>
                <w:color w:val="auto"/>
                <w:sz w:val="24"/>
              </w:rPr>
            </w:pPr>
            <w:r>
              <w:rPr>
                <w:rFonts w:hint="eastAsia" w:cs="宋体"/>
                <w:color w:val="auto"/>
                <w:sz w:val="24"/>
                <w:szCs w:val="24"/>
              </w:rPr>
              <w:t>⑤</w:t>
            </w:r>
            <w:r>
              <w:rPr>
                <w:rFonts w:hint="eastAsia"/>
                <w:color w:val="auto"/>
                <w:sz w:val="24"/>
                <w:szCs w:val="24"/>
              </w:rPr>
              <w:t>污水处理站在运行过程中要加强污泥清运管理，及时清淤，防止臭气散发</w:t>
            </w:r>
            <w:r>
              <w:rPr>
                <w:rFonts w:hint="eastAsia"/>
                <w:color w:val="auto"/>
                <w:sz w:val="24"/>
              </w:rPr>
              <w:t>；同时，污水处理站设施的相关操作人员应严格按照操作规程进行操作；每天对污水处理站进行巡检，如：检查污水处理站是否密闭；发现问题及时解决，并做好巡检记录；在污水处理站周围种植吸附性强的植物，以降低和减缓恶臭污染影响。</w:t>
            </w:r>
          </w:p>
          <w:p>
            <w:pPr>
              <w:pStyle w:val="18"/>
              <w:keepNext w:val="0"/>
              <w:keepLines w:val="0"/>
              <w:pageBreakBefore w:val="0"/>
              <w:kinsoku/>
              <w:wordWrap/>
              <w:overflowPunct/>
              <w:topLinePunct w:val="0"/>
              <w:autoSpaceDE/>
              <w:autoSpaceDN/>
              <w:bidi w:val="0"/>
              <w:adjustRightInd w:val="0"/>
              <w:snapToGrid/>
              <w:spacing w:line="360" w:lineRule="auto"/>
              <w:ind w:left="0" w:leftChars="0" w:firstLine="481" w:firstLineChars="200"/>
              <w:jc w:val="both"/>
              <w:textAlignment w:val="auto"/>
              <w:rPr>
                <w:b/>
                <w:bCs/>
                <w:color w:val="auto"/>
                <w:sz w:val="24"/>
              </w:rPr>
            </w:pPr>
            <w:r>
              <w:rPr>
                <w:b/>
                <w:bCs/>
                <w:color w:val="auto"/>
                <w:sz w:val="24"/>
              </w:rPr>
              <w:t>（</w:t>
            </w:r>
            <w:r>
              <w:rPr>
                <w:rFonts w:hint="eastAsia"/>
                <w:b/>
                <w:bCs/>
                <w:color w:val="auto"/>
                <w:sz w:val="24"/>
              </w:rPr>
              <w:t>4</w:t>
            </w:r>
            <w:r>
              <w:rPr>
                <w:b/>
                <w:bCs/>
                <w:color w:val="auto"/>
                <w:sz w:val="24"/>
              </w:rPr>
              <w:t>）柴油</w:t>
            </w:r>
            <w:r>
              <w:rPr>
                <w:rFonts w:hint="eastAsia"/>
                <w:b/>
                <w:bCs/>
                <w:color w:val="auto"/>
                <w:sz w:val="24"/>
              </w:rPr>
              <w:t>泄漏</w:t>
            </w:r>
            <w:r>
              <w:rPr>
                <w:b/>
                <w:bCs/>
                <w:color w:val="auto"/>
                <w:sz w:val="24"/>
              </w:rPr>
              <w:t>风险防范措施</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kern w:val="28"/>
                <w:sz w:val="24"/>
              </w:rPr>
            </w:pPr>
            <w:r>
              <w:rPr>
                <w:rFonts w:hint="eastAsia"/>
                <w:color w:val="auto"/>
                <w:kern w:val="28"/>
                <w:sz w:val="24"/>
              </w:rPr>
              <w:t>建设单位</w:t>
            </w:r>
            <w:r>
              <w:rPr>
                <w:color w:val="auto"/>
                <w:kern w:val="0"/>
                <w:sz w:val="24"/>
                <w:lang w:bidi="ar"/>
              </w:rPr>
              <w:t>考虑到疾控机构供电的特殊情况</w:t>
            </w:r>
            <w:r>
              <w:rPr>
                <w:rFonts w:hint="eastAsia"/>
                <w:color w:val="auto"/>
                <w:kern w:val="0"/>
                <w:sz w:val="24"/>
                <w:lang w:bidi="ar"/>
              </w:rPr>
              <w:t>，保证疾控不断电，在断电情况下</w:t>
            </w:r>
            <w:r>
              <w:rPr>
                <w:color w:val="auto"/>
                <w:kern w:val="0"/>
                <w:sz w:val="24"/>
                <w:lang w:bidi="ar"/>
              </w:rPr>
              <w:t>采用可自发电设备，配备1台</w:t>
            </w:r>
            <w:r>
              <w:rPr>
                <w:rFonts w:hint="eastAsia"/>
                <w:color w:val="auto"/>
                <w:kern w:val="0"/>
                <w:sz w:val="24"/>
                <w:lang w:bidi="ar"/>
              </w:rPr>
              <w:t>33</w:t>
            </w:r>
            <w:r>
              <w:rPr>
                <w:color w:val="auto"/>
                <w:kern w:val="0"/>
                <w:sz w:val="24"/>
                <w:lang w:bidi="ar"/>
              </w:rPr>
              <w:t>0kW应急柴油发电机组</w:t>
            </w:r>
            <w:r>
              <w:rPr>
                <w:rFonts w:hint="eastAsia"/>
                <w:color w:val="auto"/>
                <w:kern w:val="0"/>
                <w:sz w:val="24"/>
                <w:lang w:bidi="ar"/>
              </w:rPr>
              <w:t>，</w:t>
            </w:r>
            <w:r>
              <w:rPr>
                <w:color w:val="auto"/>
                <w:kern w:val="0"/>
                <w:sz w:val="24"/>
                <w:lang w:bidi="ar"/>
              </w:rPr>
              <w:t>柴油发电机组</w:t>
            </w:r>
            <w:r>
              <w:rPr>
                <w:rFonts w:hint="eastAsia"/>
                <w:color w:val="auto"/>
                <w:kern w:val="0"/>
                <w:sz w:val="24"/>
                <w:lang w:bidi="ar"/>
              </w:rPr>
              <w:t>位于地下室，储油间储存柴油量为0.2t/a。</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sz w:val="24"/>
                <w:szCs w:val="22"/>
              </w:rPr>
            </w:pPr>
            <w:r>
              <w:rPr>
                <w:rFonts w:hint="eastAsia"/>
                <w:color w:val="auto"/>
                <w:sz w:val="24"/>
              </w:rPr>
              <w:t>①</w:t>
            </w:r>
            <w:r>
              <w:rPr>
                <w:rFonts w:hint="eastAsia"/>
                <w:color w:val="auto"/>
                <w:sz w:val="24"/>
                <w:szCs w:val="22"/>
              </w:rPr>
              <w:t>加强对储油区的管理，设置储油区围堰及收集沟渠，防止柴油泄露流向外部，</w:t>
            </w:r>
            <w:r>
              <w:rPr>
                <w:color w:val="auto"/>
                <w:kern w:val="28"/>
                <w:sz w:val="24"/>
              </w:rPr>
              <w:t>若发生泄漏，则所有柴油集中进行妥善处理，防止随意流散；</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kern w:val="28"/>
                <w:sz w:val="24"/>
              </w:rPr>
            </w:pPr>
            <w:r>
              <w:rPr>
                <w:rFonts w:hint="eastAsia"/>
                <w:color w:val="auto"/>
                <w:sz w:val="24"/>
              </w:rPr>
              <w:t>②</w:t>
            </w:r>
            <w:r>
              <w:rPr>
                <w:color w:val="auto"/>
                <w:kern w:val="28"/>
                <w:sz w:val="24"/>
              </w:rPr>
              <w:t>为了保证柴油仓储和使用安全，柴油的存储条件和设施必须严格按照有关文件中的要求执行，并有严格的管理；</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kern w:val="28"/>
                <w:sz w:val="24"/>
              </w:rPr>
            </w:pPr>
            <w:r>
              <w:rPr>
                <w:rFonts w:hint="eastAsia"/>
                <w:color w:val="auto"/>
                <w:sz w:val="24"/>
              </w:rPr>
              <w:t>③</w:t>
            </w:r>
            <w:r>
              <w:rPr>
                <w:color w:val="auto"/>
                <w:kern w:val="28"/>
                <w:sz w:val="24"/>
              </w:rPr>
              <w:t>总平面布置根据功能分区布置，各功能区，装置之间设环形通道，并与厂外道路相连，有利于安全疏散和消防；</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kern w:val="28"/>
                <w:sz w:val="24"/>
              </w:rPr>
            </w:pPr>
            <w:r>
              <w:rPr>
                <w:rFonts w:hint="eastAsia"/>
                <w:color w:val="auto"/>
                <w:sz w:val="24"/>
              </w:rPr>
              <w:t>④</w:t>
            </w:r>
            <w:r>
              <w:rPr>
                <w:color w:val="auto"/>
                <w:kern w:val="28"/>
                <w:sz w:val="24"/>
              </w:rPr>
              <w:t>应开展安全生产定期检查，严格实行岗位责任制，及时发现并消除隐患；制定防止事故发生的各种规章制度并严格执行；建立由厂主要领导负责的安全小组，对安全工作做到层层落实、真抓实干。按规定对操作人员进行安全操作技术培训，考试合格后方可上岗。</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kern w:val="28"/>
                <w:sz w:val="24"/>
              </w:rPr>
            </w:pPr>
            <w:r>
              <w:rPr>
                <w:rFonts w:hint="eastAsia" w:cs="宋体"/>
                <w:color w:val="auto"/>
                <w:sz w:val="24"/>
              </w:rPr>
              <w:t>⑤</w:t>
            </w:r>
            <w:r>
              <w:rPr>
                <w:color w:val="auto"/>
                <w:kern w:val="28"/>
                <w:sz w:val="24"/>
              </w:rPr>
              <w:t>控制与消除火源，严禁吸烟、携带火种、穿带钉皮鞋等进入柴油</w:t>
            </w:r>
            <w:r>
              <w:rPr>
                <w:rFonts w:hint="eastAsia"/>
                <w:color w:val="auto"/>
                <w:kern w:val="28"/>
                <w:sz w:val="24"/>
              </w:rPr>
              <w:t>储存</w:t>
            </w:r>
            <w:r>
              <w:rPr>
                <w:color w:val="auto"/>
                <w:kern w:val="28"/>
                <w:sz w:val="24"/>
              </w:rPr>
              <w:t>区；罐、器、泵、管线等设备及其配套仪表选用合格产品，并进行定期检查、保养、维修；</w:t>
            </w:r>
          </w:p>
          <w:p>
            <w:pPr>
              <w:keepNext w:val="0"/>
              <w:keepLines w:val="0"/>
              <w:pageBreakBefore w:val="0"/>
              <w:kinsoku/>
              <w:wordWrap/>
              <w:overflowPunct/>
              <w:topLinePunct w:val="0"/>
              <w:autoSpaceDE/>
              <w:autoSpaceDN/>
              <w:bidi w:val="0"/>
              <w:adjustRightInd w:val="0"/>
              <w:snapToGrid/>
              <w:spacing w:line="360" w:lineRule="auto"/>
              <w:ind w:left="0" w:firstLine="480" w:firstLineChars="200"/>
              <w:jc w:val="both"/>
              <w:textAlignment w:val="auto"/>
              <w:rPr>
                <w:color w:val="auto"/>
                <w:kern w:val="28"/>
                <w:sz w:val="24"/>
              </w:rPr>
            </w:pPr>
            <w:r>
              <w:rPr>
                <w:rFonts w:hint="eastAsia" w:cs="宋体"/>
                <w:color w:val="auto"/>
                <w:kern w:val="28"/>
                <w:sz w:val="24"/>
              </w:rPr>
              <w:t>⑥</w:t>
            </w:r>
            <w:r>
              <w:rPr>
                <w:color w:val="auto"/>
                <w:kern w:val="28"/>
                <w:sz w:val="24"/>
              </w:rPr>
              <w:t>加强管理，定期检查，发现问题及时处理，如通风、管线是否泄漏，消防通道是否通畅等；做好安全措施，确保消防设施要保持完好以及采取必要的防静电</w:t>
            </w:r>
            <w:r>
              <w:rPr>
                <w:rFonts w:hint="eastAsia"/>
                <w:color w:val="auto"/>
                <w:kern w:val="28"/>
                <w:sz w:val="24"/>
              </w:rPr>
              <w:t>措</w:t>
            </w:r>
            <w:r>
              <w:rPr>
                <w:color w:val="auto"/>
                <w:kern w:val="28"/>
                <w:sz w:val="24"/>
              </w:rPr>
              <w:t>施。</w:t>
            </w:r>
          </w:p>
          <w:p>
            <w:pPr>
              <w:keepNext w:val="0"/>
              <w:keepLines w:val="0"/>
              <w:pageBreakBefore w:val="0"/>
              <w:kinsoku/>
              <w:wordWrap/>
              <w:overflowPunct/>
              <w:topLinePunct w:val="0"/>
              <w:autoSpaceDE/>
              <w:autoSpaceDN/>
              <w:bidi w:val="0"/>
              <w:adjustRightInd w:val="0"/>
              <w:snapToGrid/>
              <w:spacing w:line="360" w:lineRule="auto"/>
              <w:jc w:val="both"/>
              <w:textAlignment w:val="auto"/>
              <w:rPr>
                <w:b/>
                <w:bCs/>
                <w:color w:val="auto"/>
                <w:sz w:val="24"/>
              </w:rPr>
            </w:pPr>
            <w:r>
              <w:rPr>
                <w:rFonts w:hint="eastAsia"/>
                <w:b/>
                <w:bCs/>
                <w:color w:val="auto"/>
                <w:sz w:val="24"/>
              </w:rPr>
              <w:t>8、污水处理站废水泄露应急要求</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jc w:val="both"/>
              <w:textAlignment w:val="auto"/>
              <w:rPr>
                <w:color w:val="auto"/>
                <w:sz w:val="24"/>
              </w:rPr>
            </w:pPr>
            <w:r>
              <w:rPr>
                <w:rFonts w:hint="eastAsia"/>
                <w:color w:val="auto"/>
                <w:sz w:val="24"/>
              </w:rPr>
              <w:t>根据《医院污水处理工程技术规范》（HJ2029-2013）12.4.1中要求：医院污水处理工程应设应急事故池，以贮存处理系统事故或其他突发事件时医院污水，非传染病医院污水处理工程应急事故池容积不小于日排放量的30%。本项目废水量为8.609t/d，因此，建议设置一座5m</w:t>
            </w:r>
            <w:r>
              <w:rPr>
                <w:rFonts w:hint="eastAsia"/>
                <w:color w:val="auto"/>
                <w:sz w:val="24"/>
                <w:vertAlign w:val="superscript"/>
              </w:rPr>
              <w:t>3</w:t>
            </w:r>
            <w:r>
              <w:rPr>
                <w:rFonts w:hint="eastAsia"/>
                <w:color w:val="auto"/>
                <w:sz w:val="24"/>
              </w:rPr>
              <w:t>事故池，位置设置在调节池附近，同时设置截断阀截流污水，以缓解调节池的调节压力，配套建设完善的排水系统管网和切换系统，以应对因管道破裂、泵设备损坏或失效、人为操作失误等事故，确保发生事故时的废水全部收集至事故调节池暂存，妥善处理。</w:t>
            </w:r>
          </w:p>
          <w:p>
            <w:pPr>
              <w:pStyle w:val="70"/>
              <w:keepNext w:val="0"/>
              <w:keepLines w:val="0"/>
              <w:pageBreakBefore w:val="0"/>
              <w:widowControl w:val="0"/>
              <w:kinsoku/>
              <w:wordWrap/>
              <w:overflowPunct/>
              <w:topLinePunct w:val="0"/>
              <w:autoSpaceDE/>
              <w:autoSpaceDN/>
              <w:bidi w:val="0"/>
              <w:adjustRightInd w:val="0"/>
              <w:snapToGrid/>
              <w:ind w:left="0" w:firstLine="480" w:firstLineChars="200"/>
              <w:jc w:val="both"/>
              <w:textAlignment w:val="auto"/>
              <w:rPr>
                <w:color w:val="auto"/>
                <w:sz w:val="24"/>
                <w:szCs w:val="24"/>
              </w:rPr>
            </w:pPr>
            <w:r>
              <w:rPr>
                <w:rFonts w:hint="eastAsia"/>
                <w:color w:val="auto"/>
                <w:sz w:val="24"/>
                <w:szCs w:val="24"/>
              </w:rPr>
              <w:t>项目建成后建设单位应委托相关专业技术机构编制突发环境事件应急预案，并报所在地环境保护主管部门备案，并定期培训和应急演练。项目建设及运行中，一定要特别加强对风险源的管理与维护，并应严格执行环评所提出的风险防范措施及应急措施，制定风险应急预案并定期进行演练，最大限度地杜绝突发性泄露事故发生，并且在事故发生后采取迅速有效控制措施，防止事故蔓延、扩大，保护区域内人民群众生命财产安全。</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Times New Roman" w:hAnsi="Times New Roman"/>
                <w:b/>
                <w:bCs/>
                <w:color w:val="auto"/>
                <w:sz w:val="24"/>
              </w:rPr>
            </w:pPr>
            <w:r>
              <w:rPr>
                <w:rFonts w:hint="eastAsia" w:ascii="Times New Roman" w:hAnsi="Times New Roman"/>
                <w:b/>
                <w:bCs/>
                <w:color w:val="auto"/>
                <w:sz w:val="24"/>
              </w:rPr>
              <w:t>9、环保投资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olor w:val="auto"/>
                <w:sz w:val="24"/>
                <w:szCs w:val="21"/>
                <w:lang w:val="en-GB"/>
              </w:rPr>
            </w:pPr>
            <w:r>
              <w:rPr>
                <w:rFonts w:ascii="Times New Roman" w:hAnsi="Times New Roman"/>
                <w:color w:val="auto"/>
                <w:sz w:val="24"/>
              </w:rPr>
              <w:t>项目总投资</w:t>
            </w:r>
            <w:r>
              <w:rPr>
                <w:rFonts w:hint="eastAsia" w:ascii="Times New Roman" w:hAnsi="Times New Roman" w:cs="宋体"/>
                <w:color w:val="auto"/>
                <w:sz w:val="24"/>
                <w:szCs w:val="22"/>
              </w:rPr>
              <w:t>675.2</w:t>
            </w:r>
            <w:r>
              <w:rPr>
                <w:rFonts w:ascii="Times New Roman" w:hAnsi="Times New Roman"/>
                <w:color w:val="auto"/>
                <w:sz w:val="24"/>
              </w:rPr>
              <w:t>万元，其中环保投资</w:t>
            </w:r>
            <w:r>
              <w:rPr>
                <w:rFonts w:hint="eastAsia" w:ascii="Times New Roman" w:hAnsi="Times New Roman"/>
                <w:color w:val="auto"/>
                <w:sz w:val="24"/>
              </w:rPr>
              <w:t>30</w:t>
            </w:r>
            <w:r>
              <w:rPr>
                <w:rFonts w:ascii="Times New Roman" w:hAnsi="Times New Roman"/>
                <w:color w:val="auto"/>
                <w:sz w:val="24"/>
              </w:rPr>
              <w:t>万元，占总投资</w:t>
            </w:r>
            <w:r>
              <w:rPr>
                <w:rFonts w:hint="eastAsia" w:ascii="Times New Roman" w:hAnsi="Times New Roman"/>
                <w:color w:val="auto"/>
                <w:sz w:val="24"/>
              </w:rPr>
              <w:t>4.44</w:t>
            </w:r>
            <w:r>
              <w:rPr>
                <w:rFonts w:ascii="Times New Roman" w:hAnsi="Times New Roman"/>
                <w:color w:val="auto"/>
                <w:sz w:val="24"/>
              </w:rPr>
              <w:t>%。具体环保设备及投资情况，见</w:t>
            </w:r>
            <w:r>
              <w:rPr>
                <w:rFonts w:hint="eastAsia" w:ascii="Times New Roman" w:hAnsi="Times New Roman"/>
                <w:color w:val="auto"/>
                <w:sz w:val="24"/>
              </w:rPr>
              <w:t>下表4-</w:t>
            </w:r>
            <w:r>
              <w:rPr>
                <w:rFonts w:hint="eastAsia" w:ascii="Times New Roman" w:hAnsi="Times New Roman"/>
                <w:color w:val="auto"/>
                <w:sz w:val="24"/>
                <w:lang w:val="en-US" w:eastAsia="zh-CN"/>
              </w:rPr>
              <w:t>19</w:t>
            </w:r>
            <w:r>
              <w:rPr>
                <w:rFonts w:ascii="Times New Roman" w:hAnsi="Times New Roman"/>
                <w:color w:val="auto"/>
                <w:sz w:val="24"/>
              </w:rPr>
              <w:t>。</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表</w:t>
            </w:r>
            <w:r>
              <w:rPr>
                <w:rFonts w:hint="eastAsia" w:ascii="Times New Roman" w:hAnsi="Times New Roman" w:eastAsia="宋体"/>
                <w:color w:val="auto"/>
                <w:sz w:val="21"/>
                <w:szCs w:val="21"/>
                <w:lang w:val="en-US"/>
              </w:rPr>
              <w:t>4-</w:t>
            </w:r>
            <w:r>
              <w:rPr>
                <w:rFonts w:hint="eastAsia" w:ascii="Times New Roman" w:hAnsi="Times New Roman" w:eastAsia="宋体"/>
                <w:color w:val="auto"/>
                <w:sz w:val="21"/>
                <w:szCs w:val="21"/>
                <w:lang w:val="en-US" w:eastAsia="zh-CN"/>
              </w:rPr>
              <w:t>19</w:t>
            </w:r>
            <w:r>
              <w:rPr>
                <w:rFonts w:ascii="Times New Roman" w:hAnsi="Times New Roman" w:eastAsia="宋体"/>
                <w:color w:val="auto"/>
                <w:sz w:val="21"/>
                <w:szCs w:val="21"/>
              </w:rPr>
              <w:t>环保投资估算表</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57" w:type="dxa"/>
                <w:bottom w:w="28" w:type="dxa"/>
                <w:right w:w="57" w:type="dxa"/>
              </w:tblCellMar>
            </w:tblPr>
            <w:tblGrid>
              <w:gridCol w:w="526"/>
              <w:gridCol w:w="725"/>
              <w:gridCol w:w="1073"/>
              <w:gridCol w:w="4490"/>
              <w:gridCol w:w="14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项目</w:t>
                  </w:r>
                </w:p>
              </w:tc>
              <w:tc>
                <w:tcPr>
                  <w:tcW w:w="1084" w:type="pct"/>
                  <w:gridSpan w:val="2"/>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污染源</w:t>
                  </w:r>
                </w:p>
              </w:tc>
              <w:tc>
                <w:tcPr>
                  <w:tcW w:w="2707"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措施内容</w:t>
                  </w:r>
                </w:p>
              </w:tc>
              <w:tc>
                <w:tcPr>
                  <w:tcW w:w="891"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投资金额</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128" w:hRule="atLeast"/>
                <w:jc w:val="center"/>
              </w:trPr>
              <w:tc>
                <w:tcPr>
                  <w:tcW w:w="31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废气</w:t>
                  </w:r>
                </w:p>
              </w:tc>
              <w:tc>
                <w:tcPr>
                  <w:tcW w:w="1084" w:type="pct"/>
                  <w:gridSpan w:val="2"/>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食堂油烟</w:t>
                  </w:r>
                </w:p>
              </w:tc>
              <w:tc>
                <w:tcPr>
                  <w:tcW w:w="270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油烟净化器（效率不低于60%）+专用烟道排放</w:t>
                  </w:r>
                </w:p>
              </w:tc>
              <w:tc>
                <w:tcPr>
                  <w:tcW w:w="891"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43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污水处理站</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氨气</w:t>
                  </w:r>
                </w:p>
              </w:tc>
              <w:tc>
                <w:tcPr>
                  <w:tcW w:w="270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rPr>
                    <w:t>选用</w:t>
                  </w:r>
                  <w:r>
                    <w:rPr>
                      <w:rFonts w:hint="eastAsia" w:ascii="Times New Roman" w:hAnsi="Times New Roman" w:eastAsia="宋体"/>
                      <w:color w:val="auto"/>
                      <w:sz w:val="21"/>
                      <w:szCs w:val="21"/>
                    </w:rPr>
                    <w:t>地埋式污水处理设备、周边绿化</w:t>
                  </w:r>
                </w:p>
              </w:tc>
              <w:tc>
                <w:tcPr>
                  <w:tcW w:w="891"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43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硫化氢</w:t>
                  </w:r>
                </w:p>
              </w:tc>
              <w:tc>
                <w:tcPr>
                  <w:tcW w:w="270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891"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43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臭气浓度</w:t>
                  </w:r>
                </w:p>
              </w:tc>
              <w:tc>
                <w:tcPr>
                  <w:tcW w:w="270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891"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492" w:hRule="atLeast"/>
                <w:jc w:val="center"/>
              </w:trPr>
              <w:tc>
                <w:tcPr>
                  <w:tcW w:w="31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废水</w:t>
                  </w:r>
                </w:p>
              </w:tc>
              <w:tc>
                <w:tcPr>
                  <w:tcW w:w="1084" w:type="pct"/>
                  <w:gridSpan w:val="2"/>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医疗废水</w:t>
                  </w:r>
                </w:p>
              </w:tc>
              <w:tc>
                <w:tcPr>
                  <w:tcW w:w="270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一个2m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rPr>
                    <w:t>的隔油池、一个10m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rPr>
                    <w:t>化粪池、一个5m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rPr>
                    <w:t>事故应急池、一个处理能力10t/d的“A/O+MBR膜+次氯酸钠消毒”一体化污水处理设备</w:t>
                  </w:r>
                </w:p>
              </w:tc>
              <w:tc>
                <w:tcPr>
                  <w:tcW w:w="891"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084" w:type="pct"/>
                  <w:gridSpan w:val="2"/>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非医疗废水</w:t>
                  </w:r>
                </w:p>
              </w:tc>
              <w:tc>
                <w:tcPr>
                  <w:tcW w:w="270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891"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155" w:hRule="atLeast"/>
                <w:jc w:val="center"/>
              </w:trPr>
              <w:tc>
                <w:tcPr>
                  <w:tcW w:w="31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固废</w:t>
                  </w:r>
                </w:p>
              </w:tc>
              <w:tc>
                <w:tcPr>
                  <w:tcW w:w="1084" w:type="pct"/>
                  <w:gridSpan w:val="2"/>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生活垃圾</w:t>
                  </w:r>
                </w:p>
              </w:tc>
              <w:tc>
                <w:tcPr>
                  <w:tcW w:w="270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集中收集、设定点垃圾箱，日产日清，由环卫部门统一清运</w:t>
                  </w:r>
                </w:p>
              </w:tc>
              <w:tc>
                <w:tcPr>
                  <w:tcW w:w="8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437"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危险废物</w:t>
                  </w: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医疗废物</w:t>
                  </w:r>
                </w:p>
              </w:tc>
              <w:tc>
                <w:tcPr>
                  <w:tcW w:w="270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收集后暂存于医疗废物暂存间，定期交由专门医废处置单位进行处理</w:t>
                  </w:r>
                </w:p>
              </w:tc>
              <w:tc>
                <w:tcPr>
                  <w:tcW w:w="891"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397" w:hRule="atLeast"/>
                <w:jc w:val="center"/>
              </w:trPr>
              <w:tc>
                <w:tcPr>
                  <w:tcW w:w="31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437"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64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水处理污泥</w:t>
                  </w:r>
                </w:p>
              </w:tc>
              <w:tc>
                <w:tcPr>
                  <w:tcW w:w="2707" w:type="pct"/>
                  <w:tcBorders>
                    <w:tl2br w:val="nil"/>
                    <w:tr2bl w:val="nil"/>
                  </w:tcBorders>
                  <w:vAlign w:val="center"/>
                </w:tcPr>
                <w:p>
                  <w:pPr>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水处理过程产生的污泥定期由资质单位清掏外运，作危废处置</w:t>
                  </w:r>
                </w:p>
              </w:tc>
              <w:tc>
                <w:tcPr>
                  <w:tcW w:w="891"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31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噪声</w:t>
                  </w:r>
                </w:p>
              </w:tc>
              <w:tc>
                <w:tcPr>
                  <w:tcW w:w="1084" w:type="pct"/>
                  <w:gridSpan w:val="2"/>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噪声设备</w:t>
                  </w:r>
                </w:p>
              </w:tc>
              <w:tc>
                <w:tcPr>
                  <w:tcW w:w="270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对高噪声设备采用基础减振、合理布局距离衰减降噪等措施</w:t>
                  </w:r>
                </w:p>
              </w:tc>
              <w:tc>
                <w:tcPr>
                  <w:tcW w:w="8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1401" w:type="pct"/>
                  <w:gridSpan w:val="3"/>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地下水防渗</w:t>
                  </w:r>
                </w:p>
              </w:tc>
              <w:tc>
                <w:tcPr>
                  <w:tcW w:w="270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分区防渗、加强监控和管理</w:t>
                  </w:r>
                </w:p>
              </w:tc>
              <w:tc>
                <w:tcPr>
                  <w:tcW w:w="8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1401" w:type="pct"/>
                  <w:gridSpan w:val="3"/>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其他</w:t>
                  </w:r>
                </w:p>
              </w:tc>
              <w:tc>
                <w:tcPr>
                  <w:tcW w:w="2707"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厂区绿化</w:t>
                  </w:r>
                </w:p>
              </w:tc>
              <w:tc>
                <w:tcPr>
                  <w:tcW w:w="8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cantSplit/>
                <w:trHeight w:val="90" w:hRule="atLeast"/>
                <w:jc w:val="center"/>
              </w:trPr>
              <w:tc>
                <w:tcPr>
                  <w:tcW w:w="4108" w:type="pct"/>
                  <w:gridSpan w:val="4"/>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合计</w:t>
                  </w:r>
                </w:p>
              </w:tc>
              <w:tc>
                <w:tcPr>
                  <w:tcW w:w="891"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30</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10、环境管理</w:t>
            </w:r>
          </w:p>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textAlignment w:val="auto"/>
              <w:rPr>
                <w:b/>
                <w:bCs/>
                <w:color w:val="auto"/>
                <w:sz w:val="24"/>
                <w:lang w:val="zh-CN"/>
              </w:rPr>
            </w:pPr>
            <w:r>
              <w:rPr>
                <w:rFonts w:hint="eastAsia"/>
                <w:b/>
                <w:bCs/>
                <w:color w:val="auto"/>
                <w:sz w:val="24"/>
              </w:rPr>
              <w:t>（1）</w:t>
            </w:r>
            <w:r>
              <w:rPr>
                <w:rFonts w:hint="eastAsia"/>
                <w:b/>
                <w:bCs/>
                <w:color w:val="auto"/>
                <w:sz w:val="24"/>
                <w:lang w:val="zh-CN"/>
              </w:rPr>
              <w:t>排放口规范化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color w:val="auto"/>
                <w:sz w:val="24"/>
                <w:lang w:val="zh-CN"/>
              </w:rPr>
              <w:t>废水排放口、固定噪声源、</w:t>
            </w:r>
            <w:r>
              <w:rPr>
                <w:rFonts w:hint="eastAsia"/>
                <w:color w:val="auto"/>
                <w:sz w:val="24"/>
              </w:rPr>
              <w:t>医疗废物暂存间</w:t>
            </w:r>
            <w:r>
              <w:rPr>
                <w:color w:val="auto"/>
                <w:sz w:val="24"/>
                <w:lang w:val="zh-CN"/>
              </w:rPr>
              <w:t>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[1996]463号）的规定，设置与排污口相应的图形标志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rFonts w:hint="eastAsia"/>
                <w:color w:val="auto"/>
                <w:sz w:val="24"/>
              </w:rPr>
              <w:t>①</w:t>
            </w:r>
            <w:r>
              <w:rPr>
                <w:color w:val="auto"/>
                <w:sz w:val="24"/>
                <w:lang w:val="zh-CN"/>
              </w:rPr>
              <w:t>烟囱（排气筒）设置取样口，并具备采样监测条件，废水排放口附近树立图形标志牌。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rFonts w:hint="eastAsia"/>
                <w:color w:val="auto"/>
                <w:sz w:val="24"/>
              </w:rPr>
              <w:t>②</w:t>
            </w:r>
            <w:r>
              <w:rPr>
                <w:color w:val="auto"/>
                <w:sz w:val="24"/>
                <w:lang w:val="zh-CN"/>
              </w:rPr>
              <w:t>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lang w:val="zh-CN"/>
              </w:rPr>
            </w:pPr>
            <w:r>
              <w:rPr>
                <w:rFonts w:hint="eastAsia"/>
                <w:color w:val="auto"/>
                <w:sz w:val="24"/>
              </w:rPr>
              <w:t>③</w:t>
            </w:r>
            <w:r>
              <w:rPr>
                <w:color w:val="auto"/>
                <w:sz w:val="24"/>
                <w:lang w:val="zh-CN"/>
              </w:rPr>
              <w:t>环境保护图形标志</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lang w:val="zh-CN"/>
              </w:rPr>
              <w:t>各污染源排放口应设置专项图标，执行GB15562.1-1995、GB15562.2-1995，见</w:t>
            </w:r>
            <w:r>
              <w:rPr>
                <w:rFonts w:hint="eastAsia"/>
                <w:color w:val="auto"/>
                <w:sz w:val="24"/>
              </w:rPr>
              <w:t>下</w:t>
            </w:r>
            <w:r>
              <w:rPr>
                <w:color w:val="auto"/>
                <w:sz w:val="24"/>
                <w:lang w:val="zh-CN"/>
              </w:rPr>
              <w:t>表。要求各排污口（源）提示标志形状采用正方形边框，背景颜色采用绿色，图形颜色采用白色，废气、废水采样口的设置应符合《污染源监测技术规范》要求并便于采样监测。标志牌应设在与之功能相应的醒目处，并保持清晰、完整。</w:t>
            </w:r>
          </w:p>
          <w:p>
            <w:pPr>
              <w:widowControl/>
              <w:adjustRightInd w:val="0"/>
              <w:snapToGrid w:val="0"/>
              <w:jc w:val="center"/>
              <w:rPr>
                <w:b/>
                <w:bCs/>
                <w:color w:val="auto"/>
                <w:szCs w:val="21"/>
              </w:rPr>
            </w:pPr>
            <w:r>
              <w:rPr>
                <w:b/>
                <w:bCs/>
                <w:color w:val="auto"/>
                <w:szCs w:val="21"/>
              </w:rPr>
              <w:t>表</w:t>
            </w:r>
            <w:r>
              <w:rPr>
                <w:rFonts w:hint="eastAsia"/>
                <w:b/>
                <w:bCs/>
                <w:color w:val="auto"/>
                <w:szCs w:val="21"/>
              </w:rPr>
              <w:t>4-2</w:t>
            </w:r>
            <w:r>
              <w:rPr>
                <w:rFonts w:hint="eastAsia"/>
                <w:b/>
                <w:bCs/>
                <w:color w:val="auto"/>
                <w:szCs w:val="21"/>
                <w:lang w:val="en-US" w:eastAsia="zh-CN"/>
              </w:rPr>
              <w:t xml:space="preserve">0 </w:t>
            </w:r>
            <w:r>
              <w:rPr>
                <w:b/>
                <w:bCs/>
                <w:color w:val="auto"/>
                <w:szCs w:val="21"/>
              </w:rPr>
              <w:t>厂区排污口图形符号</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9"/>
              <w:gridCol w:w="2356"/>
              <w:gridCol w:w="2129"/>
              <w:gridCol w:w="1223"/>
              <w:gridCol w:w="16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142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提示图形符号</w:t>
                  </w:r>
                </w:p>
              </w:tc>
              <w:tc>
                <w:tcPr>
                  <w:tcW w:w="128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警告图形符号</w:t>
                  </w:r>
                </w:p>
              </w:tc>
              <w:tc>
                <w:tcPr>
                  <w:tcW w:w="7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名称</w:t>
                  </w:r>
                </w:p>
              </w:tc>
              <w:tc>
                <w:tcPr>
                  <w:tcW w:w="97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功能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2"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28370" cy="920750"/>
                        <wp:effectExtent l="0" t="0" r="5080" b="3175"/>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34"/>
                                <a:stretch>
                                  <a:fillRect/>
                                </a:stretch>
                              </pic:blipFill>
                              <pic:spPr>
                                <a:xfrm>
                                  <a:off x="0" y="0"/>
                                  <a:ext cx="928370" cy="920750"/>
                                </a:xfrm>
                                <a:prstGeom prst="rect">
                                  <a:avLst/>
                                </a:prstGeom>
                                <a:noFill/>
                                <a:ln>
                                  <a:noFill/>
                                </a:ln>
                              </pic:spPr>
                            </pic:pic>
                          </a:graphicData>
                        </a:graphic>
                      </wp:inline>
                    </w:drawing>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68375" cy="846455"/>
                        <wp:effectExtent l="0" t="0" r="3175" b="1270"/>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35"/>
                                <a:stretch>
                                  <a:fillRect/>
                                </a:stretch>
                              </pic:blipFill>
                              <pic:spPr>
                                <a:xfrm>
                                  <a:off x="0" y="0"/>
                                  <a:ext cx="968375" cy="846455"/>
                                </a:xfrm>
                                <a:prstGeom prst="rect">
                                  <a:avLst/>
                                </a:prstGeom>
                                <a:noFill/>
                                <a:ln>
                                  <a:noFill/>
                                </a:ln>
                              </pic:spPr>
                            </pic:pic>
                          </a:graphicData>
                        </a:graphic>
                      </wp:inline>
                    </w:drawing>
                  </w:r>
                </w:p>
              </w:tc>
              <w:tc>
                <w:tcPr>
                  <w:tcW w:w="7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废水排放口</w:t>
                  </w:r>
                </w:p>
              </w:tc>
              <w:tc>
                <w:tcPr>
                  <w:tcW w:w="9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表示废水排向水体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3"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56945" cy="956945"/>
                        <wp:effectExtent l="0" t="0" r="5080" b="5080"/>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36"/>
                                <a:stretch>
                                  <a:fillRect/>
                                </a:stretch>
                              </pic:blipFill>
                              <pic:spPr>
                                <a:xfrm>
                                  <a:off x="0" y="0"/>
                                  <a:ext cx="956945" cy="956945"/>
                                </a:xfrm>
                                <a:prstGeom prst="rect">
                                  <a:avLst/>
                                </a:prstGeom>
                                <a:noFill/>
                                <a:ln>
                                  <a:noFill/>
                                </a:ln>
                              </pic:spPr>
                            </pic:pic>
                          </a:graphicData>
                        </a:graphic>
                      </wp:inline>
                    </w:drawing>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58850" cy="816610"/>
                        <wp:effectExtent l="0" t="0" r="3175" b="2540"/>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7"/>
                                <a:stretch>
                                  <a:fillRect/>
                                </a:stretch>
                              </pic:blipFill>
                              <pic:spPr>
                                <a:xfrm>
                                  <a:off x="0" y="0"/>
                                  <a:ext cx="958850" cy="816610"/>
                                </a:xfrm>
                                <a:prstGeom prst="rect">
                                  <a:avLst/>
                                </a:prstGeom>
                                <a:noFill/>
                                <a:ln>
                                  <a:noFill/>
                                </a:ln>
                              </pic:spPr>
                            </pic:pic>
                          </a:graphicData>
                        </a:graphic>
                      </wp:inline>
                    </w:drawing>
                  </w:r>
                </w:p>
              </w:tc>
              <w:tc>
                <w:tcPr>
                  <w:tcW w:w="7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废气排放口</w:t>
                  </w:r>
                </w:p>
              </w:tc>
              <w:tc>
                <w:tcPr>
                  <w:tcW w:w="9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2"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86460" cy="872490"/>
                        <wp:effectExtent l="0" t="0" r="8890" b="381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38"/>
                                <a:stretch>
                                  <a:fillRect/>
                                </a:stretch>
                              </pic:blipFill>
                              <pic:spPr>
                                <a:xfrm>
                                  <a:off x="0" y="0"/>
                                  <a:ext cx="886460" cy="872490"/>
                                </a:xfrm>
                                <a:prstGeom prst="rect">
                                  <a:avLst/>
                                </a:prstGeom>
                                <a:noFill/>
                                <a:ln>
                                  <a:noFill/>
                                </a:ln>
                              </pic:spPr>
                            </pic:pic>
                          </a:graphicData>
                        </a:graphic>
                      </wp:inline>
                    </w:drawing>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75360" cy="868680"/>
                        <wp:effectExtent l="0" t="0" r="5715" b="762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39"/>
                                <a:stretch>
                                  <a:fillRect/>
                                </a:stretch>
                              </pic:blipFill>
                              <pic:spPr>
                                <a:xfrm>
                                  <a:off x="0" y="0"/>
                                  <a:ext cx="975360" cy="868680"/>
                                </a:xfrm>
                                <a:prstGeom prst="rect">
                                  <a:avLst/>
                                </a:prstGeom>
                                <a:noFill/>
                                <a:ln>
                                  <a:noFill/>
                                </a:ln>
                              </pic:spPr>
                            </pic:pic>
                          </a:graphicData>
                        </a:graphic>
                      </wp:inline>
                    </w:drawing>
                  </w:r>
                </w:p>
              </w:tc>
              <w:tc>
                <w:tcPr>
                  <w:tcW w:w="7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噪声排放源</w:t>
                  </w:r>
                </w:p>
              </w:tc>
              <w:tc>
                <w:tcPr>
                  <w:tcW w:w="9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表示噪声向外环境排放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3"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1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57580" cy="965835"/>
                        <wp:effectExtent l="0" t="0" r="4445" b="5715"/>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40"/>
                                <a:stretch>
                                  <a:fillRect/>
                                </a:stretch>
                              </pic:blipFill>
                              <pic:spPr>
                                <a:xfrm>
                                  <a:off x="0" y="0"/>
                                  <a:ext cx="957580" cy="965835"/>
                                </a:xfrm>
                                <a:prstGeom prst="rect">
                                  <a:avLst/>
                                </a:prstGeom>
                                <a:noFill/>
                                <a:ln>
                                  <a:noFill/>
                                </a:ln>
                              </pic:spPr>
                            </pic:pic>
                          </a:graphicData>
                        </a:graphic>
                      </wp:inline>
                    </w:drawing>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1076325" cy="966470"/>
                        <wp:effectExtent l="0" t="0" r="0" b="508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1"/>
                                <a:stretch>
                                  <a:fillRect/>
                                </a:stretch>
                              </pic:blipFill>
                              <pic:spPr>
                                <a:xfrm>
                                  <a:off x="0" y="0"/>
                                  <a:ext cx="1076325" cy="966470"/>
                                </a:xfrm>
                                <a:prstGeom prst="rect">
                                  <a:avLst/>
                                </a:prstGeom>
                                <a:noFill/>
                                <a:ln>
                                  <a:noFill/>
                                </a:ln>
                              </pic:spPr>
                            </pic:pic>
                          </a:graphicData>
                        </a:graphic>
                      </wp:inline>
                    </w:drawing>
                  </w:r>
                </w:p>
              </w:tc>
              <w:tc>
                <w:tcPr>
                  <w:tcW w:w="7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一般固体废物</w:t>
                  </w:r>
                </w:p>
              </w:tc>
              <w:tc>
                <w:tcPr>
                  <w:tcW w:w="9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2"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1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rPr>
                    <w:fldChar w:fldCharType="begin"/>
                  </w:r>
                  <w:r>
                    <w:rPr>
                      <w:rFonts w:ascii="Times New Roman" w:hAnsi="Times New Roman" w:eastAsia="宋体"/>
                      <w:color w:val="auto"/>
                      <w:sz w:val="21"/>
                    </w:rPr>
                    <w:instrText xml:space="preserve"> INCLUDEPICTURE "C:\\Users\\ADMINI~1.SC-\\AppData\\Local\\Temp\\ksohtml70416\\wps2.jpg" \* MERGEFORMATINET </w:instrText>
                  </w:r>
                  <w:r>
                    <w:rPr>
                      <w:rFonts w:ascii="Times New Roman" w:hAnsi="Times New Roman" w:eastAsia="宋体"/>
                      <w:color w:val="auto"/>
                      <w:sz w:val="21"/>
                    </w:rPr>
                    <w:fldChar w:fldCharType="separate"/>
                  </w:r>
                  <w:r>
                    <w:rPr>
                      <w:rFonts w:ascii="Times New Roman" w:hAnsi="Times New Roman" w:eastAsia="宋体"/>
                      <w:color w:val="auto"/>
                      <w:sz w:val="21"/>
                    </w:rPr>
                    <w:drawing>
                      <wp:inline distT="0" distB="0" distL="114300" distR="114300">
                        <wp:extent cx="905510" cy="858520"/>
                        <wp:effectExtent l="0" t="0" r="8890" b="17780"/>
                        <wp:docPr id="23" name="图片 35"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descr="wps2"/>
                                <pic:cNvPicPr>
                                  <a:picLocks noChangeAspect="1"/>
                                </pic:cNvPicPr>
                              </pic:nvPicPr>
                              <pic:blipFill>
                                <a:blip r:embed="rId42"/>
                                <a:stretch>
                                  <a:fillRect/>
                                </a:stretch>
                              </pic:blipFill>
                              <pic:spPr>
                                <a:xfrm>
                                  <a:off x="0" y="0"/>
                                  <a:ext cx="905510" cy="858520"/>
                                </a:xfrm>
                                <a:prstGeom prst="rect">
                                  <a:avLst/>
                                </a:prstGeom>
                                <a:noFill/>
                                <a:ln>
                                  <a:noFill/>
                                </a:ln>
                              </pic:spPr>
                            </pic:pic>
                          </a:graphicData>
                        </a:graphic>
                      </wp:inline>
                    </w:drawing>
                  </w:r>
                  <w:r>
                    <w:rPr>
                      <w:rFonts w:ascii="Times New Roman" w:hAnsi="Times New Roman" w:eastAsia="宋体"/>
                      <w:color w:val="auto"/>
                      <w:sz w:val="21"/>
                    </w:rPr>
                    <w:fldChar w:fldCharType="end"/>
                  </w:r>
                </w:p>
              </w:tc>
              <w:tc>
                <w:tcPr>
                  <w:tcW w:w="737" w:type="pc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医疗</w:t>
                  </w:r>
                  <w:r>
                    <w:rPr>
                      <w:rFonts w:ascii="Times New Roman" w:hAnsi="Times New Roman" w:eastAsia="宋体"/>
                      <w:color w:val="auto"/>
                      <w:sz w:val="21"/>
                      <w:szCs w:val="21"/>
                    </w:rPr>
                    <w:t>废物</w:t>
                  </w:r>
                </w:p>
              </w:tc>
              <w:tc>
                <w:tcPr>
                  <w:tcW w:w="979" w:type="pc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表示</w:t>
                  </w:r>
                  <w:r>
                    <w:rPr>
                      <w:rFonts w:hint="eastAsia" w:ascii="Times New Roman" w:hAnsi="Times New Roman" w:eastAsia="宋体"/>
                      <w:color w:val="auto"/>
                      <w:sz w:val="21"/>
                      <w:szCs w:val="21"/>
                      <w:lang w:val="en-US" w:eastAsia="zh-CN"/>
                    </w:rPr>
                    <w:t>医疗</w:t>
                  </w:r>
                  <w:r>
                    <w:rPr>
                      <w:rFonts w:hint="eastAsia" w:ascii="Times New Roman" w:hAnsi="Times New Roman" w:eastAsia="宋体"/>
                      <w:color w:val="auto"/>
                      <w:sz w:val="21"/>
                      <w:szCs w:val="21"/>
                    </w:rPr>
                    <w:t>废物贮存、处置场</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11、监测计划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rFonts w:hint="eastAsia"/>
                <w:color w:val="auto"/>
                <w:sz w:val="24"/>
              </w:rPr>
              <w:t>根据《排污许可证申请与核发技术规范 医疗机构》（HJ1105-2020）须定期开展环境监测计划，其主要监测指标、频次见下表所示。</w:t>
            </w:r>
          </w:p>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lang w:val="en-US"/>
              </w:rPr>
            </w:pPr>
            <w:r>
              <w:rPr>
                <w:rFonts w:hint="eastAsia" w:ascii="Times New Roman" w:hAnsi="Times New Roman" w:eastAsia="宋体"/>
                <w:color w:val="auto"/>
                <w:sz w:val="21"/>
                <w:szCs w:val="21"/>
                <w:lang w:val="en-US"/>
              </w:rPr>
              <w:t>表4</w:t>
            </w:r>
            <w:r>
              <w:rPr>
                <w:rFonts w:hint="eastAsia" w:ascii="Times New Roman" w:hAnsi="Times New Roman" w:eastAsia="宋体"/>
                <w:color w:val="auto"/>
                <w:sz w:val="21"/>
                <w:szCs w:val="21"/>
                <w:lang w:val="en-US" w:eastAsia="zh-CN"/>
              </w:rPr>
              <w:t>-21</w:t>
            </w:r>
            <w:r>
              <w:rPr>
                <w:rFonts w:hint="eastAsia"/>
                <w:color w:val="auto"/>
                <w:sz w:val="21"/>
                <w:szCs w:val="21"/>
                <w:lang w:val="en-US" w:eastAsia="zh-CN"/>
              </w:rPr>
              <w:t xml:space="preserve"> </w:t>
            </w:r>
            <w:r>
              <w:rPr>
                <w:rFonts w:hint="eastAsia" w:ascii="Times New Roman" w:hAnsi="Times New Roman" w:eastAsia="宋体"/>
                <w:color w:val="auto"/>
                <w:sz w:val="21"/>
                <w:szCs w:val="21"/>
                <w:lang w:val="en-US"/>
              </w:rPr>
              <w:t>环境监测计划一览表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57" w:type="dxa"/>
                <w:bottom w:w="28" w:type="dxa"/>
                <w:right w:w="57" w:type="dxa"/>
              </w:tblCellMar>
            </w:tblPr>
            <w:tblGrid>
              <w:gridCol w:w="1171"/>
              <w:gridCol w:w="995"/>
              <w:gridCol w:w="2679"/>
              <w:gridCol w:w="1191"/>
              <w:gridCol w:w="22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706"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监测类型</w:t>
                  </w:r>
                </w:p>
              </w:tc>
              <w:tc>
                <w:tcPr>
                  <w:tcW w:w="600"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监测点</w:t>
                  </w:r>
                </w:p>
              </w:tc>
              <w:tc>
                <w:tcPr>
                  <w:tcW w:w="1615"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监测指标</w:t>
                  </w:r>
                </w:p>
              </w:tc>
              <w:tc>
                <w:tcPr>
                  <w:tcW w:w="718"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监测频次</w:t>
                  </w:r>
                </w:p>
              </w:tc>
              <w:tc>
                <w:tcPr>
                  <w:tcW w:w="1359" w:type="pct"/>
                  <w:tcBorders>
                    <w:tl2br w:val="nil"/>
                    <w:tr2bl w:val="nil"/>
                  </w:tcBorders>
                  <w:vAlign w:val="center"/>
                </w:tcPr>
                <w:p>
                  <w:pPr>
                    <w:pStyle w:val="43"/>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907" w:hRule="atLeast"/>
                <w:jc w:val="center"/>
              </w:trPr>
              <w:tc>
                <w:tcPr>
                  <w:tcW w:w="7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无组织废气</w:t>
                  </w:r>
                </w:p>
              </w:tc>
              <w:tc>
                <w:tcPr>
                  <w:tcW w:w="6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污水处理站周边</w:t>
                  </w: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氨、硫化氢、臭气浓度、甲烷</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1次/</w:t>
                  </w:r>
                  <w:r>
                    <w:rPr>
                      <w:rFonts w:hint="eastAsia" w:ascii="Times New Roman" w:hAnsi="Times New Roman" w:eastAsia="宋体"/>
                      <w:color w:val="auto"/>
                      <w:sz w:val="21"/>
                      <w:szCs w:val="21"/>
                    </w:rPr>
                    <w:t>季度</w:t>
                  </w:r>
                </w:p>
              </w:tc>
              <w:tc>
                <w:tcPr>
                  <w:tcW w:w="1359"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w:t>
                  </w:r>
                  <w:r>
                    <w:rPr>
                      <w:rFonts w:hint="eastAsia" w:ascii="Times New Roman" w:hAnsi="Times New Roman" w:eastAsia="宋体"/>
                      <w:color w:val="auto"/>
                      <w:sz w:val="21"/>
                      <w:szCs w:val="21"/>
                    </w:rPr>
                    <w:t>医疗机构水污染物</w:t>
                  </w:r>
                  <w:r>
                    <w:rPr>
                      <w:rFonts w:ascii="Times New Roman" w:hAnsi="Times New Roman" w:eastAsia="宋体"/>
                      <w:color w:val="auto"/>
                      <w:sz w:val="21"/>
                      <w:szCs w:val="21"/>
                    </w:rPr>
                    <w:t>排放标准》（GB1</w:t>
                  </w:r>
                  <w:r>
                    <w:rPr>
                      <w:rFonts w:hint="eastAsia" w:ascii="Times New Roman" w:hAnsi="Times New Roman" w:eastAsia="宋体"/>
                      <w:color w:val="auto"/>
                      <w:sz w:val="21"/>
                      <w:szCs w:val="21"/>
                    </w:rPr>
                    <w:t>8466-2005</w:t>
                  </w:r>
                  <w:r>
                    <w:rPr>
                      <w:rFonts w:ascii="Times New Roman" w:hAnsi="Times New Roman"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706"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r>
                    <w:rPr>
                      <w:rFonts w:hint="eastAsia" w:ascii="Times New Roman" w:hAnsi="Times New Roman" w:eastAsia="宋体"/>
                      <w:b/>
                      <w:color w:val="auto"/>
                      <w:sz w:val="21"/>
                      <w:szCs w:val="21"/>
                    </w:rPr>
                    <w:t>废水</w:t>
                  </w:r>
                </w:p>
              </w:tc>
              <w:tc>
                <w:tcPr>
                  <w:tcW w:w="600"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院区</w:t>
                  </w:r>
                  <w:r>
                    <w:rPr>
                      <w:rFonts w:hint="eastAsia" w:ascii="Times New Roman" w:hAnsi="Times New Roman" w:eastAsia="宋体"/>
                      <w:color w:val="auto"/>
                      <w:sz w:val="21"/>
                      <w:szCs w:val="21"/>
                    </w:rPr>
                    <w:t>污水</w:t>
                  </w:r>
                  <w:r>
                    <w:rPr>
                      <w:rFonts w:ascii="Times New Roman" w:hAnsi="Times New Roman" w:eastAsia="宋体"/>
                      <w:color w:val="auto"/>
                      <w:sz w:val="21"/>
                      <w:szCs w:val="21"/>
                    </w:rPr>
                    <w:t>总排放口</w:t>
                  </w: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流量</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自动监测</w:t>
                  </w:r>
                </w:p>
              </w:tc>
              <w:tc>
                <w:tcPr>
                  <w:tcW w:w="1359" w:type="pct"/>
                  <w:vMerge w:val="restar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废水排放执行《医疗机构水污染物排放标准》（GB18466-2005）表2规定的预处理标准及温泉镇污水处理厂接管标准（从严执行）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70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p>
              </w:tc>
              <w:tc>
                <w:tcPr>
                  <w:tcW w:w="6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pH</w:t>
                  </w:r>
                  <w:r>
                    <w:rPr>
                      <w:rFonts w:hint="eastAsia" w:ascii="Times New Roman" w:hAnsi="Times New Roman" w:eastAsia="宋体"/>
                      <w:color w:val="auto"/>
                      <w:sz w:val="21"/>
                      <w:szCs w:val="21"/>
                    </w:rPr>
                    <w:t>值</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12小时</w:t>
                  </w:r>
                </w:p>
              </w:tc>
              <w:tc>
                <w:tcPr>
                  <w:tcW w:w="1359"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70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p>
              </w:tc>
              <w:tc>
                <w:tcPr>
                  <w:tcW w:w="6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COD</w:t>
                  </w:r>
                  <w:r>
                    <w:rPr>
                      <w:rFonts w:hint="eastAsia" w:ascii="Times New Roman" w:hAnsi="Times New Roman" w:eastAsia="宋体"/>
                      <w:color w:val="auto"/>
                      <w:sz w:val="21"/>
                      <w:szCs w:val="21"/>
                    </w:rPr>
                    <w:t>cr</w:t>
                  </w:r>
                  <w:r>
                    <w:rPr>
                      <w:rFonts w:ascii="Times New Roman" w:hAnsi="Times New Roman" w:eastAsia="宋体"/>
                      <w:color w:val="auto"/>
                      <w:sz w:val="21"/>
                      <w:szCs w:val="21"/>
                    </w:rPr>
                    <w:t>、SS</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r>
                    <w:rPr>
                      <w:rFonts w:hint="eastAsia" w:ascii="Times New Roman" w:hAnsi="Times New Roman" w:eastAsia="宋体"/>
                      <w:color w:val="auto"/>
                      <w:sz w:val="21"/>
                      <w:szCs w:val="21"/>
                    </w:rPr>
                    <w:t>次</w:t>
                  </w:r>
                  <w:r>
                    <w:rPr>
                      <w:rFonts w:ascii="Times New Roman" w:hAnsi="Times New Roman" w:eastAsia="宋体"/>
                      <w:color w:val="auto"/>
                      <w:sz w:val="21"/>
                      <w:szCs w:val="21"/>
                    </w:rPr>
                    <w:t>/</w:t>
                  </w:r>
                  <w:r>
                    <w:rPr>
                      <w:rFonts w:hint="eastAsia" w:ascii="Times New Roman" w:hAnsi="Times New Roman" w:eastAsia="宋体"/>
                      <w:color w:val="auto"/>
                      <w:sz w:val="21"/>
                      <w:szCs w:val="21"/>
                    </w:rPr>
                    <w:t>周</w:t>
                  </w:r>
                </w:p>
              </w:tc>
              <w:tc>
                <w:tcPr>
                  <w:tcW w:w="1359"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340" w:hRule="atLeast"/>
                <w:jc w:val="center"/>
              </w:trPr>
              <w:tc>
                <w:tcPr>
                  <w:tcW w:w="70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p>
              </w:tc>
              <w:tc>
                <w:tcPr>
                  <w:tcW w:w="6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粪大肠杆菌</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r>
                    <w:rPr>
                      <w:rFonts w:hint="eastAsia" w:ascii="Times New Roman" w:hAnsi="Times New Roman" w:eastAsia="宋体"/>
                      <w:color w:val="auto"/>
                      <w:sz w:val="21"/>
                      <w:szCs w:val="21"/>
                    </w:rPr>
                    <w:t>次</w:t>
                  </w:r>
                  <w:r>
                    <w:rPr>
                      <w:rFonts w:ascii="Times New Roman" w:hAnsi="Times New Roman" w:eastAsia="宋体"/>
                      <w:color w:val="auto"/>
                      <w:sz w:val="21"/>
                      <w:szCs w:val="21"/>
                    </w:rPr>
                    <w:t>/</w:t>
                  </w:r>
                  <w:r>
                    <w:rPr>
                      <w:rFonts w:hint="eastAsia" w:ascii="Times New Roman" w:hAnsi="Times New Roman" w:eastAsia="宋体"/>
                      <w:color w:val="auto"/>
                      <w:sz w:val="21"/>
                      <w:szCs w:val="21"/>
                    </w:rPr>
                    <w:t>月</w:t>
                  </w:r>
                </w:p>
              </w:tc>
              <w:tc>
                <w:tcPr>
                  <w:tcW w:w="1359"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1134" w:hRule="atLeast"/>
                <w:jc w:val="center"/>
              </w:trPr>
              <w:tc>
                <w:tcPr>
                  <w:tcW w:w="70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p>
              </w:tc>
              <w:tc>
                <w:tcPr>
                  <w:tcW w:w="600"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BOD</w:t>
                  </w:r>
                  <w:r>
                    <w:rPr>
                      <w:rFonts w:hint="eastAsia" w:ascii="Times New Roman" w:hAnsi="Times New Roman" w:eastAsia="宋体"/>
                      <w:color w:val="auto"/>
                      <w:sz w:val="21"/>
                      <w:szCs w:val="21"/>
                      <w:vertAlign w:val="subscript"/>
                    </w:rPr>
                    <w:t>5</w:t>
                  </w:r>
                  <w:r>
                    <w:rPr>
                      <w:rFonts w:ascii="Times New Roman" w:hAnsi="Times New Roman" w:eastAsia="宋体"/>
                      <w:color w:val="auto"/>
                      <w:sz w:val="21"/>
                      <w:szCs w:val="21"/>
                    </w:rPr>
                    <w:t>、</w:t>
                  </w:r>
                  <w:r>
                    <w:rPr>
                      <w:rFonts w:hint="eastAsia" w:ascii="Times New Roman" w:hAnsi="Times New Roman" w:eastAsia="宋体"/>
                      <w:color w:val="auto"/>
                      <w:sz w:val="21"/>
                      <w:szCs w:val="21"/>
                    </w:rPr>
                    <w:t>石油类、动植物油、色度、阴离子表面活性剂、总氰化物、挥发酚、总余氯、六价铬</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r>
                    <w:rPr>
                      <w:rFonts w:hint="eastAsia" w:ascii="Times New Roman" w:hAnsi="Times New Roman" w:eastAsia="宋体"/>
                      <w:color w:val="auto"/>
                      <w:sz w:val="21"/>
                      <w:szCs w:val="21"/>
                    </w:rPr>
                    <w:t>次</w:t>
                  </w:r>
                  <w:r>
                    <w:rPr>
                      <w:rFonts w:ascii="Times New Roman" w:hAnsi="Times New Roman" w:eastAsia="宋体"/>
                      <w:color w:val="auto"/>
                      <w:sz w:val="21"/>
                      <w:szCs w:val="21"/>
                    </w:rPr>
                    <w:t>/</w:t>
                  </w:r>
                  <w:r>
                    <w:rPr>
                      <w:rFonts w:hint="eastAsia" w:ascii="Times New Roman" w:hAnsi="Times New Roman" w:eastAsia="宋体"/>
                      <w:color w:val="auto"/>
                      <w:sz w:val="21"/>
                      <w:szCs w:val="21"/>
                    </w:rPr>
                    <w:t>季度</w:t>
                  </w:r>
                </w:p>
              </w:tc>
              <w:tc>
                <w:tcPr>
                  <w:tcW w:w="1359" w:type="pct"/>
                  <w:vMerge w:val="continue"/>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1000" w:hRule="atLeast"/>
                <w:jc w:val="center"/>
              </w:trPr>
              <w:tc>
                <w:tcPr>
                  <w:tcW w:w="706"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b/>
                      <w:color w:val="auto"/>
                      <w:sz w:val="21"/>
                      <w:szCs w:val="21"/>
                    </w:rPr>
                  </w:pPr>
                  <w:r>
                    <w:rPr>
                      <w:rFonts w:hint="eastAsia" w:ascii="Times New Roman" w:hAnsi="Times New Roman" w:eastAsia="宋体"/>
                      <w:b/>
                      <w:color w:val="auto"/>
                      <w:sz w:val="21"/>
                      <w:szCs w:val="21"/>
                    </w:rPr>
                    <w:t>噪声</w:t>
                  </w:r>
                </w:p>
              </w:tc>
              <w:tc>
                <w:tcPr>
                  <w:tcW w:w="600"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厂界四周</w:t>
                  </w:r>
                </w:p>
              </w:tc>
              <w:tc>
                <w:tcPr>
                  <w:tcW w:w="1615"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Leq</w:t>
                  </w:r>
                </w:p>
              </w:tc>
              <w:tc>
                <w:tcPr>
                  <w:tcW w:w="718"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r>
                    <w:rPr>
                      <w:rFonts w:hint="eastAsia" w:ascii="Times New Roman" w:hAnsi="Times New Roman" w:eastAsia="宋体"/>
                      <w:color w:val="auto"/>
                      <w:sz w:val="21"/>
                      <w:szCs w:val="21"/>
                    </w:rPr>
                    <w:t>次</w:t>
                  </w:r>
                  <w:r>
                    <w:rPr>
                      <w:rFonts w:ascii="Times New Roman" w:hAnsi="Times New Roman" w:eastAsia="宋体"/>
                      <w:color w:val="auto"/>
                      <w:sz w:val="21"/>
                      <w:szCs w:val="21"/>
                    </w:rPr>
                    <w:t>/</w:t>
                  </w:r>
                  <w:r>
                    <w:rPr>
                      <w:rFonts w:hint="eastAsia" w:ascii="Times New Roman" w:hAnsi="Times New Roman" w:eastAsia="宋体"/>
                      <w:color w:val="auto"/>
                      <w:sz w:val="21"/>
                      <w:szCs w:val="21"/>
                    </w:rPr>
                    <w:t>季度</w:t>
                  </w:r>
                </w:p>
              </w:tc>
              <w:tc>
                <w:tcPr>
                  <w:tcW w:w="1359" w:type="pct"/>
                  <w:tcBorders>
                    <w:tl2br w:val="nil"/>
                    <w:tr2bl w:val="nil"/>
                  </w:tcBorders>
                  <w:vAlign w:val="center"/>
                </w:tcPr>
                <w:p>
                  <w:pPr>
                    <w:pStyle w:val="44"/>
                    <w:keepNext w:val="0"/>
                    <w:keepLines w:val="0"/>
                    <w:pageBreakBefore w:val="0"/>
                    <w:kinsoku/>
                    <w:wordWrap/>
                    <w:topLinePunct w:val="0"/>
                    <w:bidi w:val="0"/>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《工业企业厂界环境噪声排放标准》（GB12348-2008）2类标准</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b/>
                <w:bCs/>
                <w:color w:val="auto"/>
                <w:sz w:val="24"/>
              </w:rPr>
            </w:pPr>
            <w:r>
              <w:rPr>
                <w:rFonts w:hint="eastAsia"/>
                <w:b/>
                <w:bCs/>
                <w:color w:val="auto"/>
                <w:sz w:val="24"/>
              </w:rPr>
              <w:t>12、环境影响评价与排污许可衔接关系分析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auto"/>
                <w:sz w:val="24"/>
              </w:rPr>
            </w:pPr>
            <w:r>
              <w:rPr>
                <w:color w:val="auto"/>
                <w:sz w:val="24"/>
              </w:rPr>
              <w:t>本项目在执行环境影响评价中的相关要求的同时，应按照环境保护部办公厅于2017年11月15日发布的《关于做好环境影响评价制度与排污许可制衔接相关工作的通知》（环办环评[2017]84号）、《排污许可管理办法》（2018年1月10日起施行）、《固定污染源排污许可分类管理名录（2019年版）》以及《排污许可管理条例》（2021年3月1日实施）要求做好排污许可制度的衔接工作。项目主要为</w:t>
            </w:r>
            <w:r>
              <w:rPr>
                <w:rFonts w:hint="eastAsia"/>
                <w:color w:val="auto"/>
                <w:sz w:val="24"/>
              </w:rPr>
              <w:t>乡镇卫生院</w:t>
            </w:r>
            <w:r>
              <w:rPr>
                <w:color w:val="auto"/>
                <w:sz w:val="24"/>
              </w:rPr>
              <w:t>，</w:t>
            </w:r>
            <w:r>
              <w:rPr>
                <w:rFonts w:hint="eastAsia"/>
                <w:color w:val="auto"/>
                <w:sz w:val="24"/>
              </w:rPr>
              <w:t>经对照</w:t>
            </w:r>
            <w:r>
              <w:rPr>
                <w:color w:val="auto"/>
                <w:sz w:val="24"/>
              </w:rPr>
              <w:t>《固定污染源排污许可分类管理名录（2019年版）》</w:t>
            </w:r>
            <w:r>
              <w:rPr>
                <w:rFonts w:hint="eastAsia"/>
                <w:color w:val="auto"/>
                <w:sz w:val="24"/>
              </w:rPr>
              <w:t>，本项目无需进行排污管理，但建设单位应履行好相关环保责任</w:t>
            </w:r>
            <w:r>
              <w:rPr>
                <w:color w:val="auto"/>
                <w:sz w:val="24"/>
              </w:rPr>
              <w:t>。</w:t>
            </w:r>
          </w:p>
          <w:p>
            <w:pPr>
              <w:keepNext w:val="0"/>
              <w:keepLines w:val="0"/>
              <w:pageBreakBefore w:val="0"/>
              <w:widowControl w:val="0"/>
              <w:numPr>
                <w:ilvl w:val="1"/>
                <w:numId w:val="0"/>
              </w:numPr>
              <w:kinsoku/>
              <w:wordWrap/>
              <w:overflowPunct/>
              <w:topLinePunct w:val="0"/>
              <w:autoSpaceDE/>
              <w:autoSpaceDN/>
              <w:bidi w:val="0"/>
              <w:adjustRightInd w:val="0"/>
              <w:snapToGrid/>
              <w:spacing w:line="360" w:lineRule="auto"/>
              <w:textAlignment w:val="auto"/>
              <w:outlineLvl w:val="9"/>
              <w:rPr>
                <w:rFonts w:ascii="Times New Roman" w:hAnsi="Times New Roman" w:cs="Times New Roman"/>
                <w:color w:val="auto"/>
                <w:sz w:val="24"/>
                <w:lang w:val="en-US"/>
              </w:rPr>
            </w:pPr>
            <w:bookmarkStart w:id="52" w:name="_Toc13860"/>
            <w:r>
              <w:rPr>
                <w:rFonts w:hint="eastAsia" w:ascii="Times New Roman" w:hAnsi="Times New Roman" w:cs="Times New Roman"/>
                <w:color w:val="auto"/>
                <w:sz w:val="24"/>
                <w:lang w:val="en-US"/>
              </w:rPr>
              <w:t>13、环保“三同时”验收清单</w:t>
            </w:r>
            <w:bookmarkEnd w:id="52"/>
          </w:p>
          <w:p>
            <w:pPr>
              <w:pStyle w:val="64"/>
              <w:keepNext w:val="0"/>
              <w:keepLines w:val="0"/>
              <w:pageBreakBefore w:val="0"/>
              <w:widowControl w:val="0"/>
              <w:kinsoku/>
              <w:wordWrap/>
              <w:overflowPunct/>
              <w:topLinePunct w:val="0"/>
              <w:autoSpaceDE/>
              <w:autoSpaceDN/>
              <w:bidi w:val="0"/>
              <w:adjustRightInd w:val="0"/>
              <w:snapToGrid/>
              <w:textAlignment w:val="auto"/>
              <w:outlineLvl w:val="9"/>
              <w:rPr>
                <w:color w:val="auto"/>
                <w:sz w:val="24"/>
                <w:szCs w:val="24"/>
                <w:lang w:val="en-US"/>
              </w:rPr>
            </w:pPr>
            <w:r>
              <w:rPr>
                <w:color w:val="auto"/>
                <w:sz w:val="24"/>
                <w:szCs w:val="24"/>
                <w:lang w:val="en-US"/>
              </w:rPr>
              <w:t>本项目的“三同时”竣工验收清单见下表：</w:t>
            </w:r>
          </w:p>
          <w:p>
            <w:pPr>
              <w:pStyle w:val="65"/>
              <w:rPr>
                <w:color w:val="auto"/>
                <w:sz w:val="21"/>
                <w:szCs w:val="21"/>
              </w:rPr>
            </w:pPr>
            <w:r>
              <w:rPr>
                <w:color w:val="auto"/>
                <w:sz w:val="21"/>
                <w:szCs w:val="21"/>
              </w:rPr>
              <w:t>表</w:t>
            </w:r>
            <w:r>
              <w:rPr>
                <w:rFonts w:hint="eastAsia"/>
                <w:color w:val="auto"/>
                <w:sz w:val="21"/>
                <w:szCs w:val="21"/>
              </w:rPr>
              <w:t>4-2</w:t>
            </w:r>
            <w:r>
              <w:rPr>
                <w:rFonts w:hint="eastAsia"/>
                <w:color w:val="auto"/>
                <w:sz w:val="21"/>
                <w:szCs w:val="21"/>
                <w:lang w:val="en-US" w:eastAsia="zh-CN"/>
              </w:rPr>
              <w:t xml:space="preserve">2 </w:t>
            </w:r>
            <w:r>
              <w:rPr>
                <w:color w:val="auto"/>
                <w:sz w:val="21"/>
                <w:szCs w:val="21"/>
              </w:rPr>
              <w:t>竣工验收清单</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531"/>
              <w:gridCol w:w="1103"/>
              <w:gridCol w:w="2048"/>
              <w:gridCol w:w="2026"/>
              <w:gridCol w:w="2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02" w:hRule="atLeast"/>
                <w:jc w:val="center"/>
              </w:trPr>
              <w:tc>
                <w:tcPr>
                  <w:tcW w:w="1634" w:type="dxa"/>
                  <w:gridSpan w:val="2"/>
                  <w:tcBorders>
                    <w:tl2br w:val="nil"/>
                    <w:tr2bl w:val="nil"/>
                  </w:tcBorders>
                  <w:vAlign w:val="center"/>
                </w:tcPr>
                <w:p>
                  <w:pPr>
                    <w:pStyle w:val="66"/>
                    <w:rPr>
                      <w:rFonts w:ascii="Times New Roman" w:hAnsi="Times New Roman" w:eastAsia="宋体"/>
                      <w:b/>
                      <w:bCs/>
                      <w:color w:val="auto"/>
                      <w:sz w:val="21"/>
                      <w:szCs w:val="21"/>
                    </w:rPr>
                  </w:pPr>
                  <w:r>
                    <w:rPr>
                      <w:rFonts w:ascii="Times New Roman" w:hAnsi="Times New Roman" w:eastAsia="宋体"/>
                      <w:b/>
                      <w:bCs/>
                      <w:color w:val="auto"/>
                      <w:sz w:val="21"/>
                      <w:szCs w:val="21"/>
                    </w:rPr>
                    <w:t>治理对象</w:t>
                  </w:r>
                </w:p>
              </w:tc>
              <w:tc>
                <w:tcPr>
                  <w:tcW w:w="2048" w:type="dxa"/>
                  <w:tcBorders>
                    <w:tl2br w:val="nil"/>
                    <w:tr2bl w:val="nil"/>
                  </w:tcBorders>
                  <w:vAlign w:val="center"/>
                </w:tcPr>
                <w:p>
                  <w:pPr>
                    <w:pStyle w:val="66"/>
                    <w:rPr>
                      <w:rFonts w:ascii="Times New Roman" w:hAnsi="Times New Roman" w:eastAsia="宋体"/>
                      <w:b/>
                      <w:bCs/>
                      <w:color w:val="auto"/>
                      <w:sz w:val="21"/>
                      <w:szCs w:val="21"/>
                    </w:rPr>
                  </w:pPr>
                  <w:r>
                    <w:rPr>
                      <w:rFonts w:ascii="Times New Roman" w:hAnsi="Times New Roman" w:eastAsia="宋体"/>
                      <w:b/>
                      <w:bCs/>
                      <w:color w:val="auto"/>
                      <w:sz w:val="21"/>
                      <w:szCs w:val="21"/>
                    </w:rPr>
                    <w:t>治理措施</w:t>
                  </w:r>
                </w:p>
              </w:tc>
              <w:tc>
                <w:tcPr>
                  <w:tcW w:w="2026" w:type="dxa"/>
                  <w:tcBorders>
                    <w:tl2br w:val="nil"/>
                    <w:tr2bl w:val="nil"/>
                  </w:tcBorders>
                  <w:vAlign w:val="center"/>
                </w:tcPr>
                <w:p>
                  <w:pPr>
                    <w:pStyle w:val="66"/>
                    <w:rPr>
                      <w:rFonts w:ascii="Times New Roman" w:hAnsi="Times New Roman" w:eastAsia="宋体"/>
                      <w:b/>
                      <w:bCs/>
                      <w:color w:val="auto"/>
                      <w:sz w:val="21"/>
                      <w:szCs w:val="21"/>
                    </w:rPr>
                  </w:pPr>
                  <w:r>
                    <w:rPr>
                      <w:rFonts w:ascii="Times New Roman" w:hAnsi="Times New Roman" w:eastAsia="宋体"/>
                      <w:b/>
                      <w:bCs/>
                      <w:color w:val="auto"/>
                      <w:sz w:val="21"/>
                      <w:szCs w:val="21"/>
                    </w:rPr>
                    <w:t>验收要求</w:t>
                  </w:r>
                </w:p>
              </w:tc>
              <w:tc>
                <w:tcPr>
                  <w:tcW w:w="2587" w:type="dxa"/>
                  <w:tcBorders>
                    <w:tl2br w:val="nil"/>
                    <w:tr2bl w:val="nil"/>
                  </w:tcBorders>
                  <w:vAlign w:val="center"/>
                </w:tcPr>
                <w:p>
                  <w:pPr>
                    <w:pStyle w:val="66"/>
                    <w:rPr>
                      <w:rFonts w:ascii="Times New Roman" w:hAnsi="Times New Roman" w:eastAsia="宋体"/>
                      <w:b/>
                      <w:bCs/>
                      <w:color w:val="auto"/>
                      <w:sz w:val="21"/>
                      <w:szCs w:val="21"/>
                    </w:rPr>
                  </w:pPr>
                  <w:r>
                    <w:rPr>
                      <w:rFonts w:ascii="Times New Roman" w:hAnsi="Times New Roman" w:eastAsia="宋体"/>
                      <w:b/>
                      <w:bCs/>
                      <w:color w:val="auto"/>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531" w:type="dxa"/>
                  <w:vMerge w:val="restart"/>
                  <w:tcBorders>
                    <w:tl2br w:val="nil"/>
                    <w:tr2bl w:val="nil"/>
                  </w:tcBorders>
                  <w:textDirection w:val="tbRlV"/>
                  <w:vAlign w:val="center"/>
                </w:tcPr>
                <w:p>
                  <w:pPr>
                    <w:jc w:val="center"/>
                    <w:rPr>
                      <w:rFonts w:ascii="Times New Roman" w:hAnsi="Times New Roman" w:eastAsia="宋体"/>
                      <w:color w:val="auto"/>
                      <w:sz w:val="21"/>
                    </w:rPr>
                  </w:pPr>
                  <w:r>
                    <w:rPr>
                      <w:rFonts w:hint="eastAsia" w:ascii="Times New Roman" w:hAnsi="Times New Roman" w:eastAsia="宋体"/>
                      <w:color w:val="auto"/>
                      <w:sz w:val="21"/>
                    </w:rPr>
                    <w:t>废气</w:t>
                  </w: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食堂油烟</w:t>
                  </w:r>
                </w:p>
              </w:tc>
              <w:tc>
                <w:tcPr>
                  <w:tcW w:w="2048"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油烟净化器（效率不低于60%）+专用烟道排放</w:t>
                  </w:r>
                </w:p>
              </w:tc>
              <w:tc>
                <w:tcPr>
                  <w:tcW w:w="2026"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≤2.0mg/m</w:t>
                  </w:r>
                  <w:r>
                    <w:rPr>
                      <w:rFonts w:ascii="Times New Roman" w:hAnsi="Times New Roman" w:eastAsia="宋体"/>
                      <w:color w:val="auto"/>
                      <w:sz w:val="21"/>
                      <w:szCs w:val="21"/>
                      <w:vertAlign w:val="superscript"/>
                    </w:rPr>
                    <w:t>3</w:t>
                  </w:r>
                </w:p>
              </w:tc>
              <w:tc>
                <w:tcPr>
                  <w:tcW w:w="2587"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《饮食业油烟排放标准（试行）》（GB18483-2001）表2</w:t>
                  </w:r>
                  <w:r>
                    <w:rPr>
                      <w:rFonts w:hint="eastAsia" w:ascii="Times New Roman" w:hAnsi="Times New Roman" w:eastAsia="宋体"/>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531" w:type="dxa"/>
                  <w:vMerge w:val="continue"/>
                  <w:tcBorders>
                    <w:tl2br w:val="nil"/>
                    <w:tr2bl w:val="nil"/>
                  </w:tcBorders>
                  <w:textDirection w:val="tbRlV"/>
                  <w:vAlign w:val="center"/>
                </w:tcPr>
                <w:p>
                  <w:pPr>
                    <w:jc w:val="center"/>
                    <w:rPr>
                      <w:rFonts w:ascii="Times New Roman" w:hAnsi="Times New Roman" w:eastAsia="宋体"/>
                      <w:color w:val="auto"/>
                      <w:sz w:val="21"/>
                    </w:rPr>
                  </w:pP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氨气</w:t>
                  </w:r>
                </w:p>
              </w:tc>
              <w:tc>
                <w:tcPr>
                  <w:tcW w:w="2048" w:type="dxa"/>
                  <w:vMerge w:val="restart"/>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地埋式一体化设备、周边绿化</w:t>
                  </w:r>
                </w:p>
              </w:tc>
              <w:tc>
                <w:tcPr>
                  <w:tcW w:w="2026" w:type="dxa"/>
                  <w:tcBorders>
                    <w:tl2br w:val="nil"/>
                    <w:tr2bl w:val="nil"/>
                  </w:tcBorders>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≤1.0mg/m</w:t>
                  </w:r>
                  <w:r>
                    <w:rPr>
                      <w:rFonts w:ascii="Times New Roman" w:hAnsi="Times New Roman" w:eastAsia="宋体"/>
                      <w:color w:val="auto"/>
                      <w:sz w:val="21"/>
                      <w:szCs w:val="21"/>
                      <w:vertAlign w:val="superscript"/>
                    </w:rPr>
                    <w:t>3</w:t>
                  </w:r>
                </w:p>
              </w:tc>
              <w:tc>
                <w:tcPr>
                  <w:tcW w:w="2587" w:type="dxa"/>
                  <w:vMerge w:val="restart"/>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《医疗机构水污染物排放标准》（GB18466-2005）表3中相关标准要求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531" w:type="dxa"/>
                  <w:vMerge w:val="continue"/>
                  <w:tcBorders>
                    <w:tl2br w:val="nil"/>
                    <w:tr2bl w:val="nil"/>
                  </w:tcBorders>
                  <w:textDirection w:val="tbRlV"/>
                  <w:vAlign w:val="center"/>
                </w:tcPr>
                <w:p>
                  <w:pPr>
                    <w:jc w:val="center"/>
                    <w:rPr>
                      <w:rFonts w:ascii="Times New Roman" w:hAnsi="Times New Roman" w:eastAsia="宋体"/>
                      <w:color w:val="auto"/>
                      <w:sz w:val="21"/>
                    </w:rPr>
                  </w:pP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硫化氢</w:t>
                  </w:r>
                </w:p>
              </w:tc>
              <w:tc>
                <w:tcPr>
                  <w:tcW w:w="2048" w:type="dxa"/>
                  <w:vMerge w:val="continue"/>
                  <w:tcBorders>
                    <w:tl2br w:val="nil"/>
                    <w:tr2bl w:val="nil"/>
                  </w:tcBorders>
                  <w:vAlign w:val="center"/>
                </w:tcPr>
                <w:p>
                  <w:pPr>
                    <w:pStyle w:val="66"/>
                    <w:rPr>
                      <w:rFonts w:ascii="Times New Roman" w:hAnsi="Times New Roman" w:eastAsia="宋体"/>
                      <w:color w:val="auto"/>
                      <w:sz w:val="21"/>
                      <w:szCs w:val="21"/>
                    </w:rPr>
                  </w:pPr>
                </w:p>
              </w:tc>
              <w:tc>
                <w:tcPr>
                  <w:tcW w:w="2026" w:type="dxa"/>
                  <w:tcBorders>
                    <w:tl2br w:val="nil"/>
                    <w:tr2bl w:val="nil"/>
                  </w:tcBorders>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≤0.03mg/m</w:t>
                  </w:r>
                  <w:r>
                    <w:rPr>
                      <w:rFonts w:ascii="Times New Roman" w:hAnsi="Times New Roman" w:eastAsia="宋体"/>
                      <w:color w:val="auto"/>
                      <w:sz w:val="21"/>
                      <w:szCs w:val="21"/>
                      <w:vertAlign w:val="superscript"/>
                    </w:rPr>
                    <w:t>3</w:t>
                  </w:r>
                </w:p>
              </w:tc>
              <w:tc>
                <w:tcPr>
                  <w:tcW w:w="2587" w:type="dxa"/>
                  <w:vMerge w:val="continue"/>
                  <w:tcBorders>
                    <w:tl2br w:val="nil"/>
                    <w:tr2bl w:val="nil"/>
                  </w:tcBorders>
                  <w:vAlign w:val="center"/>
                </w:tcPr>
                <w:p>
                  <w:pPr>
                    <w:pStyle w:val="66"/>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531" w:type="dxa"/>
                  <w:vMerge w:val="continue"/>
                  <w:tcBorders>
                    <w:tl2br w:val="nil"/>
                    <w:tr2bl w:val="nil"/>
                  </w:tcBorders>
                  <w:textDirection w:val="tbRlV"/>
                  <w:vAlign w:val="center"/>
                </w:tcPr>
                <w:p>
                  <w:pPr>
                    <w:jc w:val="center"/>
                    <w:rPr>
                      <w:rFonts w:ascii="Times New Roman" w:hAnsi="Times New Roman" w:eastAsia="宋体"/>
                      <w:color w:val="auto"/>
                      <w:sz w:val="21"/>
                    </w:rPr>
                  </w:pP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臭气浓度</w:t>
                  </w:r>
                </w:p>
              </w:tc>
              <w:tc>
                <w:tcPr>
                  <w:tcW w:w="2048" w:type="dxa"/>
                  <w:vMerge w:val="continue"/>
                  <w:tcBorders>
                    <w:tl2br w:val="nil"/>
                    <w:tr2bl w:val="nil"/>
                  </w:tcBorders>
                  <w:vAlign w:val="center"/>
                </w:tcPr>
                <w:p>
                  <w:pPr>
                    <w:pStyle w:val="66"/>
                    <w:rPr>
                      <w:rFonts w:ascii="Times New Roman" w:hAnsi="Times New Roman" w:eastAsia="宋体"/>
                      <w:color w:val="auto"/>
                      <w:sz w:val="21"/>
                      <w:szCs w:val="21"/>
                    </w:rPr>
                  </w:pPr>
                </w:p>
              </w:tc>
              <w:tc>
                <w:tcPr>
                  <w:tcW w:w="2026" w:type="dxa"/>
                  <w:tcBorders>
                    <w:tl2br w:val="nil"/>
                    <w:tr2bl w:val="nil"/>
                  </w:tcBorders>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≤10mg/m</w:t>
                  </w:r>
                  <w:r>
                    <w:rPr>
                      <w:rFonts w:ascii="Times New Roman" w:hAnsi="Times New Roman" w:eastAsia="宋体"/>
                      <w:color w:val="auto"/>
                      <w:sz w:val="21"/>
                      <w:szCs w:val="21"/>
                      <w:vertAlign w:val="superscript"/>
                    </w:rPr>
                    <w:t>3</w:t>
                  </w:r>
                </w:p>
              </w:tc>
              <w:tc>
                <w:tcPr>
                  <w:tcW w:w="2587" w:type="dxa"/>
                  <w:vMerge w:val="continue"/>
                  <w:tcBorders>
                    <w:tl2br w:val="nil"/>
                    <w:tr2bl w:val="nil"/>
                  </w:tcBorders>
                  <w:vAlign w:val="center"/>
                </w:tcPr>
                <w:p>
                  <w:pPr>
                    <w:pStyle w:val="66"/>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733" w:hRule="atLeast"/>
                <w:jc w:val="center"/>
              </w:trPr>
              <w:tc>
                <w:tcPr>
                  <w:tcW w:w="531" w:type="dxa"/>
                  <w:tcBorders>
                    <w:tl2br w:val="nil"/>
                    <w:tr2bl w:val="nil"/>
                  </w:tcBorders>
                  <w:textDirection w:val="tbRlV"/>
                  <w:vAlign w:val="center"/>
                </w:tcPr>
                <w:p>
                  <w:pPr>
                    <w:jc w:val="center"/>
                    <w:rPr>
                      <w:rFonts w:ascii="Times New Roman" w:hAnsi="Times New Roman" w:eastAsia="宋体"/>
                      <w:color w:val="auto"/>
                      <w:sz w:val="21"/>
                    </w:rPr>
                  </w:pPr>
                  <w:r>
                    <w:rPr>
                      <w:rFonts w:ascii="Times New Roman" w:hAnsi="Times New Roman" w:eastAsia="宋体"/>
                      <w:color w:val="auto"/>
                      <w:sz w:val="21"/>
                    </w:rPr>
                    <w:t>废水</w:t>
                  </w: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综合废水</w:t>
                  </w:r>
                </w:p>
              </w:tc>
              <w:tc>
                <w:tcPr>
                  <w:tcW w:w="2048" w:type="dxa"/>
                  <w:tcBorders>
                    <w:tl2br w:val="nil"/>
                    <w:tr2bl w:val="nil"/>
                  </w:tcBorders>
                  <w:vAlign w:val="center"/>
                </w:tcPr>
                <w:p>
                  <w:pPr>
                    <w:pStyle w:val="44"/>
                    <w:rPr>
                      <w:rFonts w:ascii="Times New Roman" w:hAnsi="Times New Roman" w:eastAsia="宋体"/>
                      <w:color w:val="auto"/>
                      <w:sz w:val="21"/>
                      <w:szCs w:val="21"/>
                    </w:rPr>
                  </w:pPr>
                  <w:r>
                    <w:rPr>
                      <w:rFonts w:hint="eastAsia" w:ascii="Times New Roman" w:hAnsi="Times New Roman" w:eastAsia="宋体"/>
                      <w:color w:val="auto"/>
                      <w:sz w:val="21"/>
                      <w:szCs w:val="21"/>
                    </w:rPr>
                    <w:t>项目废水经厂内化粪池及自建污水处理站“二级生化处理+MBR膜处理+次氯酸钠消毒”工艺处理后排入温泉镇污水处理厂</w:t>
                  </w:r>
                </w:p>
              </w:tc>
              <w:tc>
                <w:tcPr>
                  <w:tcW w:w="2026"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pH</w:t>
                  </w:r>
                  <w:r>
                    <w:rPr>
                      <w:rFonts w:ascii="Times New Roman" w:hAnsi="Times New Roman" w:eastAsia="宋体"/>
                      <w:color w:val="auto"/>
                      <w:sz w:val="21"/>
                      <w:szCs w:val="21"/>
                    </w:rPr>
                    <w:t>≤</w:t>
                  </w:r>
                  <w:r>
                    <w:rPr>
                      <w:rFonts w:hint="eastAsia" w:ascii="Times New Roman" w:hAnsi="Times New Roman" w:eastAsia="宋体"/>
                      <w:color w:val="auto"/>
                      <w:sz w:val="21"/>
                      <w:szCs w:val="21"/>
                    </w:rPr>
                    <w:t>6-9</w:t>
                  </w:r>
                </w:p>
                <w:p>
                  <w:pPr>
                    <w:pStyle w:val="66"/>
                    <w:rPr>
                      <w:rFonts w:ascii="Times New Roman" w:hAnsi="Times New Roman" w:eastAsia="宋体"/>
                      <w:color w:val="auto"/>
                      <w:sz w:val="21"/>
                      <w:szCs w:val="21"/>
                    </w:rPr>
                  </w:pPr>
                  <w:r>
                    <w:rPr>
                      <w:rFonts w:ascii="Times New Roman" w:hAnsi="Times New Roman" w:eastAsia="宋体"/>
                      <w:color w:val="auto"/>
                      <w:sz w:val="21"/>
                      <w:szCs w:val="21"/>
                    </w:rPr>
                    <w:t>COD</w:t>
                  </w:r>
                  <w:r>
                    <w:rPr>
                      <w:rFonts w:ascii="Times New Roman" w:hAnsi="Times New Roman" w:eastAsia="宋体"/>
                      <w:color w:val="auto"/>
                      <w:sz w:val="21"/>
                      <w:szCs w:val="21"/>
                      <w:vertAlign w:val="subscript"/>
                    </w:rPr>
                    <w:t>Cr</w:t>
                  </w:r>
                  <w:r>
                    <w:rPr>
                      <w:rFonts w:ascii="Times New Roman" w:hAnsi="Times New Roman" w:eastAsia="宋体"/>
                      <w:color w:val="auto"/>
                      <w:sz w:val="21"/>
                      <w:szCs w:val="21"/>
                    </w:rPr>
                    <w:t>≤</w:t>
                  </w:r>
                  <w:r>
                    <w:rPr>
                      <w:rFonts w:hint="eastAsia" w:ascii="Times New Roman" w:hAnsi="Times New Roman" w:eastAsia="宋体"/>
                      <w:color w:val="auto"/>
                      <w:sz w:val="21"/>
                      <w:szCs w:val="21"/>
                    </w:rPr>
                    <w:t>200</w:t>
                  </w:r>
                  <w:r>
                    <w:rPr>
                      <w:rFonts w:ascii="Times New Roman" w:hAnsi="Times New Roman" w:eastAsia="宋体"/>
                      <w:color w:val="auto"/>
                      <w:sz w:val="21"/>
                      <w:szCs w:val="21"/>
                    </w:rPr>
                    <w:t>mg/L</w:t>
                  </w:r>
                </w:p>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BOD</w:t>
                  </w:r>
                  <w:r>
                    <w:rPr>
                      <w:rFonts w:hint="eastAsia" w:ascii="Times New Roman" w:hAnsi="Times New Roman" w:eastAsia="宋体"/>
                      <w:color w:val="auto"/>
                      <w:sz w:val="21"/>
                      <w:szCs w:val="21"/>
                      <w:vertAlign w:val="subscript"/>
                    </w:rPr>
                    <w:t>5</w:t>
                  </w:r>
                  <w:r>
                    <w:rPr>
                      <w:rFonts w:ascii="Times New Roman" w:hAnsi="Times New Roman" w:eastAsia="宋体"/>
                      <w:color w:val="auto"/>
                      <w:sz w:val="21"/>
                      <w:szCs w:val="21"/>
                    </w:rPr>
                    <w:t>≤</w:t>
                  </w:r>
                  <w:r>
                    <w:rPr>
                      <w:rFonts w:hint="eastAsia" w:ascii="Times New Roman" w:hAnsi="Times New Roman" w:eastAsia="宋体"/>
                      <w:color w:val="auto"/>
                      <w:sz w:val="21"/>
                      <w:szCs w:val="21"/>
                    </w:rPr>
                    <w:t>100</w:t>
                  </w:r>
                  <w:r>
                    <w:rPr>
                      <w:rFonts w:ascii="Times New Roman" w:hAnsi="Times New Roman" w:eastAsia="宋体"/>
                      <w:color w:val="auto"/>
                      <w:sz w:val="21"/>
                      <w:szCs w:val="21"/>
                    </w:rPr>
                    <w:t>mg/L</w:t>
                  </w:r>
                </w:p>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SS</w:t>
                  </w:r>
                  <w:r>
                    <w:rPr>
                      <w:rFonts w:ascii="Times New Roman" w:hAnsi="Times New Roman" w:eastAsia="宋体"/>
                      <w:color w:val="auto"/>
                      <w:sz w:val="21"/>
                      <w:szCs w:val="21"/>
                    </w:rPr>
                    <w:t>≤</w:t>
                  </w:r>
                  <w:r>
                    <w:rPr>
                      <w:rFonts w:hint="eastAsia" w:ascii="Times New Roman" w:hAnsi="Times New Roman" w:eastAsia="宋体"/>
                      <w:color w:val="auto"/>
                      <w:sz w:val="21"/>
                      <w:szCs w:val="21"/>
                    </w:rPr>
                    <w:t>60</w:t>
                  </w:r>
                  <w:r>
                    <w:rPr>
                      <w:rFonts w:ascii="Times New Roman" w:hAnsi="Times New Roman" w:eastAsia="宋体"/>
                      <w:color w:val="auto"/>
                      <w:sz w:val="21"/>
                      <w:szCs w:val="21"/>
                    </w:rPr>
                    <w:t>mg/L</w:t>
                  </w:r>
                </w:p>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w:t>
                  </w:r>
                  <w:r>
                    <w:rPr>
                      <w:rFonts w:ascii="Times New Roman" w:hAnsi="Times New Roman" w:eastAsia="宋体"/>
                      <w:color w:val="auto"/>
                      <w:sz w:val="21"/>
                      <w:szCs w:val="21"/>
                    </w:rPr>
                    <w:t>≤</w:t>
                  </w:r>
                  <w:r>
                    <w:rPr>
                      <w:rFonts w:hint="eastAsia" w:ascii="Times New Roman" w:hAnsi="Times New Roman" w:eastAsia="宋体"/>
                      <w:color w:val="auto"/>
                      <w:sz w:val="21"/>
                      <w:szCs w:val="21"/>
                    </w:rPr>
                    <w:t>24</w:t>
                  </w:r>
                  <w:r>
                    <w:rPr>
                      <w:rFonts w:ascii="Times New Roman" w:hAnsi="Times New Roman" w:eastAsia="宋体"/>
                      <w:color w:val="auto"/>
                      <w:sz w:val="21"/>
                      <w:szCs w:val="21"/>
                    </w:rPr>
                    <w:t>mg/L</w:t>
                  </w:r>
                </w:p>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TP</w:t>
                  </w:r>
                  <w:r>
                    <w:rPr>
                      <w:rFonts w:ascii="Times New Roman" w:hAnsi="Times New Roman" w:eastAsia="宋体"/>
                      <w:color w:val="auto"/>
                      <w:sz w:val="21"/>
                      <w:szCs w:val="21"/>
                    </w:rPr>
                    <w:t>≤</w:t>
                  </w:r>
                  <w:r>
                    <w:rPr>
                      <w:rFonts w:hint="eastAsia" w:ascii="Times New Roman" w:hAnsi="Times New Roman" w:eastAsia="宋体"/>
                      <w:color w:val="auto"/>
                      <w:sz w:val="21"/>
                      <w:szCs w:val="21"/>
                    </w:rPr>
                    <w:t>2</w:t>
                  </w:r>
                  <w:r>
                    <w:rPr>
                      <w:rFonts w:ascii="Times New Roman" w:hAnsi="Times New Roman" w:eastAsia="宋体"/>
                      <w:color w:val="auto"/>
                      <w:sz w:val="21"/>
                      <w:szCs w:val="21"/>
                    </w:rPr>
                    <w:t>mg/L</w:t>
                  </w:r>
                </w:p>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TN</w:t>
                  </w:r>
                  <w:r>
                    <w:rPr>
                      <w:rFonts w:ascii="Times New Roman" w:hAnsi="Times New Roman" w:eastAsia="宋体"/>
                      <w:color w:val="auto"/>
                      <w:sz w:val="21"/>
                      <w:szCs w:val="21"/>
                    </w:rPr>
                    <w:t>≤</w:t>
                  </w:r>
                  <w:r>
                    <w:rPr>
                      <w:rFonts w:hint="eastAsia" w:ascii="Times New Roman" w:hAnsi="Times New Roman" w:eastAsia="宋体"/>
                      <w:color w:val="auto"/>
                      <w:sz w:val="21"/>
                      <w:szCs w:val="21"/>
                    </w:rPr>
                    <w:t>24</w:t>
                  </w:r>
                  <w:r>
                    <w:rPr>
                      <w:rFonts w:ascii="Times New Roman" w:hAnsi="Times New Roman" w:eastAsia="宋体"/>
                      <w:color w:val="auto"/>
                      <w:sz w:val="21"/>
                      <w:szCs w:val="21"/>
                    </w:rPr>
                    <w:t>mg/L</w:t>
                  </w:r>
                </w:p>
              </w:tc>
              <w:tc>
                <w:tcPr>
                  <w:tcW w:w="2587"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废水排放执行《医疗机构水污染物排放标准》（GB18466-2005）表2规定的预处理标准及</w:t>
                  </w:r>
                  <w:r>
                    <w:rPr>
                      <w:rFonts w:hint="eastAsia" w:ascii="Times New Roman" w:hAnsi="Times New Roman" w:eastAsia="宋体"/>
                      <w:color w:val="auto"/>
                      <w:sz w:val="21"/>
                      <w:szCs w:val="21"/>
                    </w:rPr>
                    <w:t>温泉镇污水处理厂</w:t>
                  </w:r>
                  <w:r>
                    <w:rPr>
                      <w:rFonts w:ascii="Times New Roman" w:hAnsi="Times New Roman" w:eastAsia="宋体"/>
                      <w:color w:val="auto"/>
                      <w:sz w:val="21"/>
                      <w:szCs w:val="21"/>
                    </w:rPr>
                    <w:t>接管标准（从严执行）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26" w:hRule="atLeast"/>
                <w:jc w:val="center"/>
              </w:trPr>
              <w:tc>
                <w:tcPr>
                  <w:tcW w:w="531" w:type="dxa"/>
                  <w:tcBorders>
                    <w:tl2br w:val="nil"/>
                    <w:tr2bl w:val="nil"/>
                  </w:tcBorders>
                  <w:textDirection w:val="tbRlV"/>
                  <w:vAlign w:val="center"/>
                </w:tcPr>
                <w:p>
                  <w:pPr>
                    <w:jc w:val="center"/>
                    <w:rPr>
                      <w:rFonts w:ascii="Times New Roman" w:hAnsi="Times New Roman" w:eastAsia="宋体"/>
                      <w:color w:val="auto"/>
                      <w:sz w:val="21"/>
                    </w:rPr>
                  </w:pPr>
                  <w:r>
                    <w:rPr>
                      <w:rFonts w:ascii="Times New Roman" w:hAnsi="Times New Roman" w:eastAsia="宋体"/>
                      <w:color w:val="auto"/>
                      <w:sz w:val="21"/>
                    </w:rPr>
                    <w:t>噪声</w:t>
                  </w: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机械噪声</w:t>
                  </w:r>
                </w:p>
              </w:tc>
              <w:tc>
                <w:tcPr>
                  <w:tcW w:w="2048"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建筑隔声、消声、减震、吸声、合理布局</w:t>
                  </w:r>
                </w:p>
              </w:tc>
              <w:tc>
                <w:tcPr>
                  <w:tcW w:w="2026"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≤6</w:t>
                  </w:r>
                  <w:r>
                    <w:rPr>
                      <w:rFonts w:hint="eastAsia" w:ascii="Times New Roman" w:hAnsi="Times New Roman" w:eastAsia="宋体"/>
                      <w:color w:val="auto"/>
                      <w:sz w:val="21"/>
                      <w:szCs w:val="21"/>
                    </w:rPr>
                    <w:t>0</w:t>
                  </w:r>
                  <w:r>
                    <w:rPr>
                      <w:rFonts w:ascii="Times New Roman" w:hAnsi="Times New Roman" w:eastAsia="宋体"/>
                      <w:color w:val="auto"/>
                      <w:sz w:val="21"/>
                      <w:szCs w:val="21"/>
                    </w:rPr>
                    <w:t>dB(A)(昼</w:t>
                  </w:r>
                  <w:r>
                    <w:rPr>
                      <w:rFonts w:hint="eastAsia" w:ascii="Times New Roman" w:hAnsi="Times New Roman" w:eastAsia="宋体"/>
                      <w:color w:val="auto"/>
                      <w:sz w:val="21"/>
                      <w:szCs w:val="21"/>
                    </w:rPr>
                    <w:t>间</w:t>
                  </w:r>
                  <w:r>
                    <w:rPr>
                      <w:rFonts w:ascii="Times New Roman" w:hAnsi="Times New Roman" w:eastAsia="宋体"/>
                      <w:color w:val="auto"/>
                      <w:sz w:val="21"/>
                      <w:szCs w:val="21"/>
                    </w:rPr>
                    <w:t>)</w:t>
                  </w:r>
                </w:p>
                <w:p>
                  <w:pPr>
                    <w:pStyle w:val="66"/>
                    <w:rPr>
                      <w:rFonts w:ascii="Times New Roman" w:hAnsi="Times New Roman" w:eastAsia="宋体"/>
                      <w:color w:val="auto"/>
                      <w:sz w:val="21"/>
                      <w:szCs w:val="21"/>
                    </w:rPr>
                  </w:pPr>
                  <w:r>
                    <w:rPr>
                      <w:rFonts w:ascii="Times New Roman" w:hAnsi="Times New Roman" w:eastAsia="宋体"/>
                      <w:color w:val="auto"/>
                      <w:sz w:val="21"/>
                      <w:szCs w:val="21"/>
                    </w:rPr>
                    <w:t>≤5</w:t>
                  </w:r>
                  <w:r>
                    <w:rPr>
                      <w:rFonts w:hint="eastAsia" w:ascii="Times New Roman" w:hAnsi="Times New Roman" w:eastAsia="宋体"/>
                      <w:color w:val="auto"/>
                      <w:sz w:val="21"/>
                      <w:szCs w:val="21"/>
                    </w:rPr>
                    <w:t>0</w:t>
                  </w:r>
                  <w:r>
                    <w:rPr>
                      <w:rFonts w:ascii="Times New Roman" w:hAnsi="Times New Roman" w:eastAsia="宋体"/>
                      <w:color w:val="auto"/>
                      <w:sz w:val="21"/>
                      <w:szCs w:val="21"/>
                    </w:rPr>
                    <w:t>dB(A)(夜间)</w:t>
                  </w:r>
                </w:p>
              </w:tc>
              <w:tc>
                <w:tcPr>
                  <w:tcW w:w="2587"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《工业企业厂界环境噪声排放标准》(GB12348-2008)</w:t>
                  </w:r>
                  <w:r>
                    <w:rPr>
                      <w:rFonts w:hint="eastAsia" w:ascii="Times New Roman" w:hAnsi="Times New Roman" w:eastAsia="宋体"/>
                      <w:color w:val="auto"/>
                      <w:sz w:val="21"/>
                      <w:szCs w:val="21"/>
                    </w:rPr>
                    <w:t>2</w:t>
                  </w:r>
                  <w:r>
                    <w:rPr>
                      <w:rFonts w:ascii="Times New Roman" w:hAnsi="Times New Roman" w:eastAsia="宋体"/>
                      <w:color w:val="auto"/>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26" w:hRule="atLeast"/>
                <w:jc w:val="center"/>
              </w:trPr>
              <w:tc>
                <w:tcPr>
                  <w:tcW w:w="531" w:type="dxa"/>
                  <w:vMerge w:val="restart"/>
                  <w:tcBorders>
                    <w:tl2br w:val="nil"/>
                    <w:tr2bl w:val="nil"/>
                  </w:tcBorders>
                  <w:textDirection w:val="tbRlV"/>
                  <w:vAlign w:val="center"/>
                </w:tcPr>
                <w:p>
                  <w:pPr>
                    <w:jc w:val="center"/>
                    <w:rPr>
                      <w:rFonts w:ascii="Times New Roman" w:hAnsi="Times New Roman" w:eastAsia="宋体"/>
                      <w:color w:val="auto"/>
                      <w:sz w:val="21"/>
                    </w:rPr>
                  </w:pPr>
                  <w:r>
                    <w:rPr>
                      <w:rFonts w:hint="eastAsia" w:ascii="Times New Roman" w:hAnsi="Times New Roman" w:eastAsia="宋体"/>
                      <w:color w:val="auto"/>
                      <w:sz w:val="21"/>
                    </w:rPr>
                    <w:t>固废</w:t>
                  </w: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医疗废物</w:t>
                  </w:r>
                </w:p>
              </w:tc>
              <w:tc>
                <w:tcPr>
                  <w:tcW w:w="2048"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sz w:val="21"/>
                      <w:szCs w:val="21"/>
                    </w:rPr>
                    <w:t>委托有危废处置资质单位</w:t>
                  </w:r>
                </w:p>
              </w:tc>
              <w:tc>
                <w:tcPr>
                  <w:tcW w:w="2026"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kern w:val="18"/>
                      <w:sz w:val="21"/>
                      <w:szCs w:val="21"/>
                    </w:rPr>
                    <w:t>（每年）</w:t>
                  </w:r>
                </w:p>
              </w:tc>
              <w:tc>
                <w:tcPr>
                  <w:tcW w:w="2587" w:type="dxa"/>
                  <w:tcBorders>
                    <w:tl2br w:val="nil"/>
                    <w:tr2bl w:val="nil"/>
                  </w:tcBorders>
                  <w:vAlign w:val="center"/>
                </w:tcPr>
                <w:p>
                  <w:pPr>
                    <w:pStyle w:val="66"/>
                    <w:rPr>
                      <w:rFonts w:ascii="Times New Roman" w:hAnsi="Times New Roman" w:eastAsia="宋体"/>
                      <w:color w:val="auto"/>
                      <w:sz w:val="21"/>
                      <w:szCs w:val="21"/>
                    </w:rPr>
                  </w:pPr>
                  <w:r>
                    <w:rPr>
                      <w:rFonts w:ascii="Times New Roman" w:hAnsi="Times New Roman" w:eastAsia="宋体"/>
                      <w:color w:val="auto"/>
                      <w:kern w:val="0"/>
                      <w:sz w:val="21"/>
                      <w:szCs w:val="21"/>
                      <w:lang w:bidi="ar"/>
                    </w:rPr>
                    <w:t>《建设项目危险废物环境影响评价指南》</w:t>
                  </w:r>
                  <w:r>
                    <w:rPr>
                      <w:rFonts w:hint="eastAsia" w:ascii="Times New Roman" w:hAnsi="Times New Roman" w:eastAsia="宋体"/>
                      <w:color w:val="auto"/>
                      <w:kern w:val="0"/>
                      <w:sz w:val="21"/>
                      <w:szCs w:val="21"/>
                      <w:lang w:bidi="ar"/>
                    </w:rPr>
                    <w:t>、</w:t>
                  </w:r>
                  <w:r>
                    <w:rPr>
                      <w:rFonts w:hint="eastAsia" w:ascii="Times New Roman" w:hAnsi="Times New Roman" w:eastAsia="宋体"/>
                      <w:color w:val="auto"/>
                      <w:sz w:val="21"/>
                      <w:szCs w:val="21"/>
                    </w:rPr>
                    <w:t>《医疗废物管理条例》</w:t>
                  </w:r>
                  <w:r>
                    <w:rPr>
                      <w:rFonts w:ascii="Times New Roman" w:hAnsi="Times New Roman" w:eastAsia="宋体"/>
                      <w:color w:val="auto"/>
                      <w:kern w:val="0"/>
                      <w:sz w:val="21"/>
                      <w:szCs w:val="21"/>
                      <w:lang w:bidi="ar"/>
                    </w:rPr>
                    <w:t>及《国家危险废物名录（2021年版）》</w:t>
                  </w:r>
                  <w:r>
                    <w:rPr>
                      <w:rFonts w:ascii="Times New Roman" w:hAnsi="Times New Roman"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26" w:hRule="atLeast"/>
                <w:jc w:val="center"/>
              </w:trPr>
              <w:tc>
                <w:tcPr>
                  <w:tcW w:w="531" w:type="dxa"/>
                  <w:vMerge w:val="continue"/>
                  <w:tcBorders>
                    <w:tl2br w:val="nil"/>
                    <w:tr2bl w:val="nil"/>
                  </w:tcBorders>
                  <w:textDirection w:val="tbRlV"/>
                  <w:vAlign w:val="center"/>
                </w:tcPr>
                <w:p>
                  <w:pPr>
                    <w:pStyle w:val="66"/>
                    <w:rPr>
                      <w:rFonts w:ascii="Times New Roman" w:hAnsi="Times New Roman" w:eastAsia="宋体"/>
                      <w:color w:val="auto"/>
                      <w:sz w:val="21"/>
                      <w:szCs w:val="21"/>
                    </w:rPr>
                  </w:pPr>
                </w:p>
              </w:tc>
              <w:tc>
                <w:tcPr>
                  <w:tcW w:w="1103"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生活垃圾</w:t>
                  </w:r>
                </w:p>
              </w:tc>
              <w:tc>
                <w:tcPr>
                  <w:tcW w:w="2048" w:type="dxa"/>
                  <w:tcBorders>
                    <w:tl2br w:val="nil"/>
                    <w:tr2bl w:val="nil"/>
                  </w:tcBorders>
                  <w:vAlign w:val="center"/>
                </w:tcPr>
                <w:p>
                  <w:pPr>
                    <w:pStyle w:val="66"/>
                    <w:rPr>
                      <w:rFonts w:ascii="Times New Roman" w:hAnsi="Times New Roman" w:eastAsia="宋体"/>
                      <w:color w:val="auto"/>
                      <w:sz w:val="21"/>
                      <w:szCs w:val="21"/>
                      <w:shd w:val="clear" w:color="auto" w:fill="FFFFFF"/>
                    </w:rPr>
                  </w:pPr>
                  <w:r>
                    <w:rPr>
                      <w:rFonts w:ascii="Times New Roman" w:hAnsi="Times New Roman" w:eastAsia="宋体"/>
                      <w:color w:val="auto"/>
                      <w:sz w:val="21"/>
                      <w:szCs w:val="21"/>
                    </w:rPr>
                    <w:t>环卫部门清运处理</w:t>
                  </w:r>
                </w:p>
              </w:tc>
              <w:tc>
                <w:tcPr>
                  <w:tcW w:w="2026" w:type="dxa"/>
                  <w:tcBorders>
                    <w:tl2br w:val="nil"/>
                    <w:tr2bl w:val="nil"/>
                  </w:tcBorders>
                  <w:vAlign w:val="center"/>
                </w:tcPr>
                <w:p>
                  <w:pPr>
                    <w:pStyle w:val="66"/>
                    <w:rPr>
                      <w:rFonts w:ascii="Times New Roman" w:hAnsi="Times New Roman" w:eastAsia="宋体"/>
                      <w:color w:val="auto"/>
                      <w:kern w:val="18"/>
                      <w:sz w:val="21"/>
                      <w:szCs w:val="21"/>
                    </w:rPr>
                  </w:pPr>
                  <w:r>
                    <w:rPr>
                      <w:rFonts w:hint="eastAsia" w:ascii="Times New Roman" w:hAnsi="Times New Roman" w:eastAsia="宋体"/>
                      <w:color w:val="auto"/>
                      <w:kern w:val="18"/>
                      <w:sz w:val="21"/>
                      <w:szCs w:val="21"/>
                    </w:rPr>
                    <w:t>（每年)</w:t>
                  </w:r>
                </w:p>
              </w:tc>
              <w:tc>
                <w:tcPr>
                  <w:tcW w:w="2587" w:type="dxa"/>
                  <w:tcBorders>
                    <w:tl2br w:val="nil"/>
                    <w:tr2bl w:val="nil"/>
                  </w:tcBorders>
                  <w:vAlign w:val="center"/>
                </w:tcPr>
                <w:p>
                  <w:pPr>
                    <w:pStyle w:val="66"/>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bl>
          <w:p>
            <w:pPr>
              <w:pStyle w:val="65"/>
              <w:rPr>
                <w:color w:val="auto"/>
                <w:sz w:val="21"/>
                <w:szCs w:val="21"/>
              </w:rPr>
            </w:pPr>
          </w:p>
          <w:p>
            <w:pPr>
              <w:pStyle w:val="15"/>
              <w:ind w:firstLine="0" w:firstLineChars="0"/>
              <w:rPr>
                <w:rFonts w:hint="eastAsia"/>
                <w:color w:val="auto"/>
                <w:lang w:val="en-US" w:eastAsia="zh-CN"/>
              </w:rPr>
            </w:pPr>
          </w:p>
        </w:tc>
      </w:tr>
    </w:tbl>
    <w:p>
      <w:pPr>
        <w:pStyle w:val="29"/>
        <w:ind w:left="67"/>
        <w:rPr>
          <w:color w:val="auto"/>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31"/>
        <w:keepNext/>
        <w:keepLines w:val="0"/>
        <w:pageBreakBefore w:val="0"/>
        <w:widowControl/>
        <w:numPr>
          <w:ilvl w:val="0"/>
          <w:numId w:val="3"/>
        </w:numPr>
        <w:kinsoku/>
        <w:wordWrap/>
        <w:overflowPunct/>
        <w:topLinePunct w:val="0"/>
        <w:autoSpaceDE/>
        <w:autoSpaceDN/>
        <w:bidi w:val="0"/>
        <w:adjustRightInd/>
        <w:snapToGrid/>
        <w:ind w:left="0" w:firstLine="0"/>
        <w:textAlignment w:val="auto"/>
        <w:rPr>
          <w:color w:val="auto"/>
        </w:rPr>
      </w:pPr>
      <w:bookmarkStart w:id="53" w:name="_Toc7136"/>
      <w:bookmarkStart w:id="54" w:name="_Toc9597"/>
      <w:bookmarkStart w:id="55" w:name="_Toc32343"/>
      <w:bookmarkStart w:id="56" w:name="_Toc27498"/>
      <w:r>
        <w:rPr>
          <w:rFonts w:hint="eastAsia"/>
          <w:color w:val="auto"/>
        </w:rPr>
        <w:t>环境保护措施监督检查清单</w:t>
      </w:r>
      <w:bookmarkEnd w:id="53"/>
      <w:bookmarkEnd w:id="54"/>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28" w:type="dxa"/>
          <w:left w:w="57" w:type="dxa"/>
          <w:bottom w:w="28" w:type="dxa"/>
          <w:right w:w="57" w:type="dxa"/>
        </w:tblCellMar>
      </w:tblPr>
      <w:tblGrid>
        <w:gridCol w:w="1246"/>
        <w:gridCol w:w="1063"/>
        <w:gridCol w:w="1536"/>
        <w:gridCol w:w="2059"/>
        <w:gridCol w:w="305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1134" w:hRule="atLeast"/>
          <w:jc w:val="center"/>
        </w:trPr>
        <w:tc>
          <w:tcPr>
            <w:tcW w:w="696"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p>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p>
          <w:p>
            <w:pPr>
              <w:pStyle w:val="43"/>
              <w:keepNext w:val="0"/>
              <w:keepLines w:val="0"/>
              <w:pageBreakBefore w:val="0"/>
              <w:widowControl/>
              <w:kinsoku/>
              <w:wordWrap/>
              <w:overflowPunct w:val="0"/>
              <w:topLinePunct w:val="0"/>
              <w:autoSpaceDE w:val="0"/>
              <w:autoSpaceDN w:val="0"/>
              <w:bidi w:val="0"/>
              <w:adjustRightInd w:val="0"/>
              <w:snapToGrid w:val="0"/>
              <w:spacing w:before="157" w:beforeLines="50"/>
              <w:jc w:val="center"/>
              <w:textAlignment w:val="baseline"/>
              <mc:AlternateContent>
                <mc:Choice Requires="wpsCustomData">
                  <wpsCustomData:diagonalParaType/>
                </mc:Choice>
              </mc:AlternateContent>
              <w:rPr>
                <w:rFonts w:ascii="Times New Roman" w:hAnsi="Times New Roman" w:eastAsia="宋体"/>
                <w:b/>
                <w:color w:val="auto"/>
                <w:sz w:val="24"/>
                <w:szCs w:val="21"/>
              </w:rPr>
            </w:pPr>
            <w:r>
              <w:rPr>
                <w:rFonts w:hint="eastAsia" w:ascii="Times New Roman" w:hAnsi="Times New Roman" w:eastAsia="宋体"/>
                <w:b/>
                <w:color w:val="auto"/>
                <w:sz w:val="24"/>
                <w:szCs w:val="21"/>
              </w:rPr>
              <w:t>内容</w:t>
            </w:r>
          </w:p>
          <w:p>
            <w:pPr>
              <w:pStyle w:val="43"/>
              <w:keepNext w:val="0"/>
              <w:keepLines w:val="0"/>
              <w:pageBreakBefore w:val="0"/>
              <w:widowControl/>
              <w:kinsoku/>
              <w:wordWrap/>
              <w:overflowPunct w:val="0"/>
              <w:topLinePunct w:val="0"/>
              <w:autoSpaceDE w:val="0"/>
              <w:autoSpaceDN w:val="0"/>
              <w:bidi w:val="0"/>
              <w:adjustRightInd w:val="0"/>
              <w:snapToGrid w:val="0"/>
              <w:spacing w:before="157" w:beforeLines="50"/>
              <w:jc w:val="center"/>
              <w:textAlignment w:val="baseline"/>
              <w:rPr>
                <w:rFonts w:ascii="Times New Roman" w:hAnsi="Times New Roman" w:eastAsia="宋体"/>
                <w:b/>
                <w:color w:val="auto"/>
                <w:sz w:val="24"/>
                <w:szCs w:val="21"/>
              </w:rPr>
            </w:pPr>
            <w:r>
              <w:rPr>
                <w:rFonts w:hint="eastAsia" w:ascii="Times New Roman" w:hAnsi="Times New Roman" w:eastAsia="宋体"/>
                <w:b/>
                <w:color w:val="auto"/>
                <w:sz w:val="24"/>
                <w:szCs w:val="21"/>
              </w:rPr>
              <w:t>要素</w:t>
            </w:r>
          </w:p>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p>
        </w:tc>
        <w:tc>
          <w:tcPr>
            <w:tcW w:w="593" w:type="pct"/>
            <w:tcBorders>
              <w:tl2br w:val="nil"/>
              <w:tr2bl w:val="nil"/>
            </w:tcBorders>
            <w:vAlign w:val="center"/>
          </w:tcPr>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排放口(编号、</w:t>
            </w:r>
          </w:p>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名称）/污染源</w:t>
            </w:r>
          </w:p>
        </w:tc>
        <w:tc>
          <w:tcPr>
            <w:tcW w:w="857" w:type="pct"/>
            <w:tcBorders>
              <w:tl2br w:val="nil"/>
              <w:tr2bl w:val="nil"/>
            </w:tcBorders>
            <w:vAlign w:val="center"/>
          </w:tcPr>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污染物项目</w:t>
            </w:r>
          </w:p>
        </w:tc>
        <w:tc>
          <w:tcPr>
            <w:tcW w:w="1149" w:type="pct"/>
            <w:tcBorders>
              <w:tl2br w:val="nil"/>
              <w:tr2bl w:val="nil"/>
            </w:tcBorders>
            <w:vAlign w:val="center"/>
          </w:tcPr>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环境保护措施</w:t>
            </w:r>
          </w:p>
        </w:tc>
        <w:tc>
          <w:tcPr>
            <w:tcW w:w="1703" w:type="pct"/>
            <w:tcBorders>
              <w:tl2br w:val="nil"/>
              <w:tr2bl w:val="nil"/>
            </w:tcBorders>
            <w:vAlign w:val="center"/>
          </w:tcPr>
          <w:p>
            <w:pPr>
              <w:pStyle w:val="43"/>
              <w:keepNext w:val="0"/>
              <w:keepLines w:val="0"/>
              <w:pageBreakBefore w:val="0"/>
              <w:kinsoku/>
              <w:wordWrap/>
              <w:topLinePunct w:val="0"/>
              <w:bidi w:val="0"/>
              <w:adjustRightInd w:val="0"/>
              <w:snapToGrid w:val="0"/>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执行标准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425" w:hRule="atLeast"/>
          <w:jc w:val="center"/>
        </w:trPr>
        <w:tc>
          <w:tcPr>
            <w:tcW w:w="696" w:type="pct"/>
            <w:vMerge w:val="restar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大气环境</w:t>
            </w:r>
          </w:p>
        </w:tc>
        <w:tc>
          <w:tcPr>
            <w:tcW w:w="59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食堂</w:t>
            </w:r>
          </w:p>
        </w:tc>
        <w:tc>
          <w:tcPr>
            <w:tcW w:w="857"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油烟</w:t>
            </w:r>
          </w:p>
        </w:tc>
        <w:tc>
          <w:tcPr>
            <w:tcW w:w="1149"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油烟净化器（效率不低于60%）+专用烟道排放</w:t>
            </w:r>
          </w:p>
        </w:tc>
        <w:tc>
          <w:tcPr>
            <w:tcW w:w="170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《饮食业油烟排放标准（试行）》（GB18483-2001）表2</w:t>
            </w:r>
            <w:r>
              <w:rPr>
                <w:rFonts w:hint="eastAsia" w:ascii="Times New Roman" w:hAnsi="Times New Roman" w:eastAsia="宋体"/>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425" w:hRule="atLeast"/>
          <w:jc w:val="center"/>
        </w:trPr>
        <w:tc>
          <w:tcPr>
            <w:tcW w:w="696" w:type="pct"/>
            <w:vMerge w:val="continue"/>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p>
        </w:tc>
        <w:tc>
          <w:tcPr>
            <w:tcW w:w="59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污水处理站恶臭</w:t>
            </w:r>
          </w:p>
        </w:tc>
        <w:tc>
          <w:tcPr>
            <w:tcW w:w="857"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氨气、硫化氢和臭气浓度等</w:t>
            </w:r>
          </w:p>
        </w:tc>
        <w:tc>
          <w:tcPr>
            <w:tcW w:w="1149"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rPr>
              <w:t>地埋式一体化设备</w:t>
            </w:r>
            <w:r>
              <w:rPr>
                <w:rFonts w:hint="eastAsia" w:ascii="Times New Roman" w:hAnsi="Times New Roman" w:eastAsia="宋体"/>
                <w:color w:val="auto"/>
                <w:sz w:val="21"/>
                <w:szCs w:val="21"/>
              </w:rPr>
              <w:t>、周边绿化</w:t>
            </w:r>
          </w:p>
        </w:tc>
        <w:tc>
          <w:tcPr>
            <w:tcW w:w="170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《医疗机构水污染物排放标准》（GB18466-2005）表3中相关标准要求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931" w:hRule="atLeast"/>
          <w:jc w:val="center"/>
        </w:trPr>
        <w:tc>
          <w:tcPr>
            <w:tcW w:w="696"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地表水环境</w:t>
            </w:r>
          </w:p>
        </w:tc>
        <w:tc>
          <w:tcPr>
            <w:tcW w:w="59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废水总排放口</w:t>
            </w:r>
          </w:p>
        </w:tc>
        <w:tc>
          <w:tcPr>
            <w:tcW w:w="857"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COD</w:t>
            </w:r>
            <w:r>
              <w:rPr>
                <w:rFonts w:hint="eastAsia" w:ascii="Times New Roman" w:hAnsi="Times New Roman" w:eastAsia="宋体"/>
                <w:color w:val="auto"/>
                <w:sz w:val="21"/>
                <w:szCs w:val="21"/>
              </w:rPr>
              <w:t>cr</w:t>
            </w: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r>
              <w:rPr>
                <w:rFonts w:ascii="Times New Roman" w:hAnsi="Times New Roman" w:eastAsia="宋体"/>
                <w:color w:val="auto"/>
                <w:sz w:val="21"/>
                <w:szCs w:val="21"/>
              </w:rPr>
              <w:t>、SS、NH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r>
              <w:rPr>
                <w:rFonts w:hint="eastAsia" w:ascii="Times New Roman" w:hAnsi="Times New Roman" w:eastAsia="宋体"/>
                <w:color w:val="auto"/>
                <w:sz w:val="21"/>
                <w:szCs w:val="21"/>
              </w:rPr>
              <w:t>、动植物油、总余氯、</w:t>
            </w:r>
            <w:r>
              <w:rPr>
                <w:rFonts w:hint="eastAsia" w:ascii="Times New Roman" w:hAnsi="Times New Roman" w:eastAsia="宋体"/>
                <w:color w:val="auto"/>
                <w:sz w:val="21"/>
                <w:szCs w:val="21"/>
                <w:lang w:val="en-US" w:eastAsia="zh-CN"/>
              </w:rPr>
              <w:t>阴离子表面活性剂、</w:t>
            </w:r>
            <w:r>
              <w:rPr>
                <w:rFonts w:hint="eastAsia" w:ascii="Times New Roman" w:hAnsi="Times New Roman" w:eastAsia="宋体"/>
                <w:color w:val="auto"/>
                <w:sz w:val="21"/>
                <w:szCs w:val="21"/>
              </w:rPr>
              <w:t>粪大肠菌群等</w:t>
            </w:r>
          </w:p>
        </w:tc>
        <w:tc>
          <w:tcPr>
            <w:tcW w:w="1149"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项目废水经自建污水处理站处理后排入温泉镇污水处理厂进一步处理</w:t>
            </w:r>
          </w:p>
        </w:tc>
        <w:tc>
          <w:tcPr>
            <w:tcW w:w="170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废水排放执行《医疗机构水污染物排放标准》（GB18466-2005）表2</w:t>
            </w:r>
            <w:r>
              <w:rPr>
                <w:rFonts w:hint="eastAsia" w:ascii="Times New Roman" w:hAnsi="Times New Roman" w:eastAsia="宋体"/>
                <w:color w:val="auto"/>
                <w:sz w:val="21"/>
                <w:szCs w:val="21"/>
                <w:lang w:val="en-US" w:eastAsia="zh-CN"/>
              </w:rPr>
              <w:t>中</w:t>
            </w:r>
            <w:r>
              <w:rPr>
                <w:rFonts w:ascii="Times New Roman" w:hAnsi="Times New Roman" w:eastAsia="宋体"/>
                <w:color w:val="auto"/>
                <w:sz w:val="21"/>
                <w:szCs w:val="21"/>
              </w:rPr>
              <w:t>预处理标准及</w:t>
            </w:r>
            <w:r>
              <w:rPr>
                <w:rFonts w:hint="eastAsia" w:ascii="Times New Roman" w:hAnsi="Times New Roman" w:eastAsia="宋体"/>
                <w:color w:val="auto"/>
                <w:sz w:val="21"/>
                <w:szCs w:val="21"/>
              </w:rPr>
              <w:t>温泉镇污水处理厂</w:t>
            </w:r>
            <w:r>
              <w:rPr>
                <w:rFonts w:ascii="Times New Roman" w:hAnsi="Times New Roman" w:eastAsia="宋体"/>
                <w:color w:val="auto"/>
                <w:sz w:val="21"/>
                <w:szCs w:val="21"/>
              </w:rPr>
              <w:t>接管标准（从严执行）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425" w:hRule="atLeast"/>
          <w:jc w:val="center"/>
        </w:trPr>
        <w:tc>
          <w:tcPr>
            <w:tcW w:w="696"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声环境</w:t>
            </w:r>
          </w:p>
        </w:tc>
        <w:tc>
          <w:tcPr>
            <w:tcW w:w="59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污水处理风机、</w:t>
            </w:r>
            <w:r>
              <w:rPr>
                <w:rFonts w:ascii="Times New Roman" w:hAnsi="Times New Roman" w:eastAsia="宋体"/>
                <w:color w:val="auto"/>
                <w:sz w:val="21"/>
                <w:szCs w:val="21"/>
              </w:rPr>
              <w:t>设备等</w:t>
            </w:r>
          </w:p>
        </w:tc>
        <w:tc>
          <w:tcPr>
            <w:tcW w:w="857"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1149"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合理布局，</w:t>
            </w:r>
            <w:r>
              <w:rPr>
                <w:rFonts w:hint="eastAsia" w:ascii="Times New Roman" w:hAnsi="Times New Roman" w:eastAsia="宋体"/>
                <w:color w:val="auto"/>
                <w:sz w:val="21"/>
                <w:szCs w:val="21"/>
              </w:rPr>
              <w:t>利用墙壁、距离等基础方式削减噪声</w:t>
            </w:r>
          </w:p>
        </w:tc>
        <w:tc>
          <w:tcPr>
            <w:tcW w:w="1703"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《工业企业厂界环境噪声排放标准》（GB12348-2008）中2类功能区噪声排放限值标准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1099" w:hRule="atLeast"/>
          <w:jc w:val="center"/>
        </w:trPr>
        <w:tc>
          <w:tcPr>
            <w:tcW w:w="696"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固体废物</w:t>
            </w:r>
          </w:p>
        </w:tc>
        <w:tc>
          <w:tcPr>
            <w:tcW w:w="430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①医疗废物、污泥进行分类管理、分类收集；交由资质单位进行处置；</w:t>
            </w:r>
          </w:p>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②废包装材料收集后由废旧资源回收单位回收利用；</w:t>
            </w:r>
          </w:p>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③生活垃圾交当地环卫部门清运处理，符合“减量化、资源化、无害化”原则。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1547" w:hRule="atLeast"/>
          <w:jc w:val="center"/>
        </w:trPr>
        <w:tc>
          <w:tcPr>
            <w:tcW w:w="696"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土壤及地下水污染防治措施</w:t>
            </w:r>
          </w:p>
        </w:tc>
        <w:tc>
          <w:tcPr>
            <w:tcW w:w="430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对污水处理站、医疗废物暂存间划分为重点防渗区，采用重点防渗措施；可回收物品间划为一般防渗区，其余建筑划为简单防渗区。严格按照国家相关规范要求，对医废储存及转运、污水储存及处理构筑物采取相应的措施，防止和降低污染物的跑、冒、滴、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1620" w:hRule="atLeast"/>
          <w:jc w:val="center"/>
        </w:trPr>
        <w:tc>
          <w:tcPr>
            <w:tcW w:w="696"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环境风险</w:t>
            </w:r>
          </w:p>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防范措施</w:t>
            </w:r>
          </w:p>
        </w:tc>
        <w:tc>
          <w:tcPr>
            <w:tcW w:w="430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①</w:t>
            </w:r>
            <w:r>
              <w:rPr>
                <w:rFonts w:ascii="Times New Roman" w:hAnsi="Times New Roman" w:eastAsia="宋体"/>
                <w:color w:val="auto"/>
                <w:sz w:val="21"/>
                <w:szCs w:val="21"/>
              </w:rPr>
              <w:t>设专人管理</w:t>
            </w:r>
            <w:r>
              <w:rPr>
                <w:rFonts w:hint="eastAsia" w:ascii="Times New Roman" w:hAnsi="Times New Roman" w:eastAsia="宋体"/>
                <w:color w:val="auto"/>
                <w:sz w:val="21"/>
                <w:szCs w:val="21"/>
              </w:rPr>
              <w:t>次氯酸钠发生器</w:t>
            </w:r>
            <w:r>
              <w:rPr>
                <w:rFonts w:ascii="Times New Roman" w:hAnsi="Times New Roman" w:eastAsia="宋体"/>
                <w:color w:val="auto"/>
                <w:sz w:val="21"/>
                <w:szCs w:val="21"/>
              </w:rPr>
              <w:t>，加强</w:t>
            </w:r>
            <w:r>
              <w:rPr>
                <w:rFonts w:hint="eastAsia" w:ascii="Times New Roman" w:hAnsi="Times New Roman" w:eastAsia="宋体"/>
                <w:color w:val="auto"/>
                <w:sz w:val="21"/>
                <w:szCs w:val="21"/>
              </w:rPr>
              <w:t>次氯酸钠发生器</w:t>
            </w:r>
            <w:r>
              <w:rPr>
                <w:rFonts w:ascii="Times New Roman" w:hAnsi="Times New Roman" w:eastAsia="宋体"/>
                <w:color w:val="auto"/>
                <w:sz w:val="21"/>
                <w:szCs w:val="21"/>
              </w:rPr>
              <w:t>保养维护</w:t>
            </w:r>
            <w:r>
              <w:rPr>
                <w:rFonts w:hint="eastAsia" w:ascii="Times New Roman" w:hAnsi="Times New Roman" w:eastAsia="宋体"/>
                <w:color w:val="auto"/>
                <w:sz w:val="21"/>
                <w:szCs w:val="21"/>
              </w:rPr>
              <w:t>，</w:t>
            </w:r>
            <w:r>
              <w:rPr>
                <w:rFonts w:ascii="Times New Roman" w:hAnsi="Times New Roman" w:eastAsia="宋体"/>
                <w:color w:val="auto"/>
                <w:sz w:val="21"/>
                <w:szCs w:val="21"/>
              </w:rPr>
              <w:t>并定期巡查。</w:t>
            </w:r>
          </w:p>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②</w:t>
            </w:r>
            <w:r>
              <w:rPr>
                <w:rFonts w:ascii="Times New Roman" w:hAnsi="Times New Roman" w:eastAsia="宋体"/>
                <w:color w:val="auto"/>
                <w:sz w:val="21"/>
                <w:szCs w:val="21"/>
              </w:rPr>
              <w:t>根据《医院污水处理工程技术规范》（HJ2029-2013）中要求</w:t>
            </w:r>
            <w:r>
              <w:rPr>
                <w:rFonts w:hint="eastAsia" w:ascii="Times New Roman" w:hAnsi="Times New Roman" w:eastAsia="宋体"/>
                <w:color w:val="auto"/>
                <w:sz w:val="21"/>
                <w:szCs w:val="21"/>
              </w:rPr>
              <w:t>，设置一座5m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的事故应急池</w:t>
            </w:r>
            <w:r>
              <w:rPr>
                <w:rFonts w:hint="eastAsia" w:ascii="Times New Roman" w:hAnsi="Times New Roman" w:eastAsia="宋体"/>
                <w:color w:val="auto"/>
                <w:sz w:val="21"/>
                <w:szCs w:val="21"/>
              </w:rPr>
              <w:t>，制定污水处理站突发环境风险应急预案，并定期开展演练。</w:t>
            </w:r>
          </w:p>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③</w:t>
            </w:r>
            <w:r>
              <w:rPr>
                <w:rFonts w:ascii="Times New Roman" w:hAnsi="Times New Roman" w:eastAsia="宋体"/>
                <w:color w:val="auto"/>
                <w:sz w:val="21"/>
                <w:szCs w:val="21"/>
              </w:rPr>
              <w:t>设立健全的医院突发环境事故应急组织机构，定期组织应急演练。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57" w:type="dxa"/>
            <w:bottom w:w="28" w:type="dxa"/>
            <w:right w:w="57" w:type="dxa"/>
          </w:tblCellMar>
        </w:tblPrEx>
        <w:trPr>
          <w:trHeight w:val="1809" w:hRule="atLeast"/>
          <w:jc w:val="center"/>
        </w:trPr>
        <w:tc>
          <w:tcPr>
            <w:tcW w:w="696" w:type="pct"/>
            <w:tcBorders>
              <w:tl2br w:val="nil"/>
              <w:tr2bl w:val="nil"/>
            </w:tcBorders>
            <w:vAlign w:val="center"/>
          </w:tcPr>
          <w:p>
            <w:pPr>
              <w:pStyle w:val="44"/>
              <w:keepNext w:val="0"/>
              <w:keepLines w:val="0"/>
              <w:pageBreakBefore w:val="0"/>
              <w:kinsoku/>
              <w:wordWrap/>
              <w:topLinePunct w:val="0"/>
              <w:bidi w:val="0"/>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其他环境管理要求</w:t>
            </w:r>
          </w:p>
        </w:tc>
        <w:tc>
          <w:tcPr>
            <w:tcW w:w="430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建设单位</w:t>
            </w:r>
            <w:r>
              <w:rPr>
                <w:rFonts w:ascii="Times New Roman" w:hAnsi="Times New Roman" w:eastAsia="宋体"/>
                <w:color w:val="auto"/>
                <w:sz w:val="21"/>
                <w:szCs w:val="21"/>
              </w:rPr>
              <w:t>应</w:t>
            </w:r>
            <w:r>
              <w:rPr>
                <w:rFonts w:hint="eastAsia" w:ascii="Times New Roman" w:hAnsi="Times New Roman" w:eastAsia="宋体"/>
                <w:color w:val="auto"/>
                <w:sz w:val="21"/>
                <w:szCs w:val="21"/>
              </w:rPr>
              <w:t>严格</w:t>
            </w:r>
            <w:r>
              <w:rPr>
                <w:rFonts w:ascii="Times New Roman" w:hAnsi="Times New Roman" w:eastAsia="宋体"/>
                <w:color w:val="auto"/>
                <w:sz w:val="21"/>
                <w:szCs w:val="21"/>
              </w:rPr>
              <w:t>落实环保“</w:t>
            </w:r>
            <w:r>
              <w:rPr>
                <w:rFonts w:hint="eastAsia" w:ascii="Times New Roman" w:hAnsi="Times New Roman" w:eastAsia="宋体"/>
                <w:color w:val="auto"/>
                <w:sz w:val="21"/>
                <w:szCs w:val="21"/>
              </w:rPr>
              <w:t>三同时</w:t>
            </w:r>
            <w:r>
              <w:rPr>
                <w:rFonts w:ascii="Times New Roman" w:hAnsi="Times New Roman" w:eastAsia="宋体"/>
                <w:color w:val="auto"/>
                <w:sz w:val="21"/>
                <w:szCs w:val="21"/>
              </w:rPr>
              <w:t>”</w:t>
            </w:r>
            <w:r>
              <w:rPr>
                <w:rFonts w:hint="eastAsia" w:ascii="Times New Roman" w:hAnsi="Times New Roman" w:eastAsia="宋体"/>
                <w:color w:val="auto"/>
                <w:sz w:val="21"/>
                <w:szCs w:val="21"/>
              </w:rPr>
              <w:t>制度</w:t>
            </w:r>
            <w:r>
              <w:rPr>
                <w:rFonts w:ascii="Times New Roman" w:hAnsi="Times New Roman" w:eastAsia="宋体"/>
                <w:color w:val="auto"/>
                <w:sz w:val="21"/>
                <w:szCs w:val="21"/>
              </w:rPr>
              <w:t>；</w:t>
            </w:r>
            <w:r>
              <w:rPr>
                <w:rFonts w:hint="eastAsia" w:ascii="Times New Roman" w:hAnsi="Times New Roman" w:eastAsia="宋体"/>
                <w:color w:val="auto"/>
                <w:sz w:val="21"/>
                <w:szCs w:val="21"/>
              </w:rPr>
              <w:t>项目建设</w:t>
            </w:r>
            <w:r>
              <w:rPr>
                <w:rFonts w:ascii="Times New Roman" w:hAnsi="Times New Roman" w:eastAsia="宋体"/>
                <w:color w:val="auto"/>
                <w:sz w:val="21"/>
                <w:szCs w:val="21"/>
              </w:rPr>
              <w:t>性质、</w:t>
            </w:r>
            <w:r>
              <w:rPr>
                <w:rFonts w:hint="eastAsia" w:ascii="Times New Roman" w:hAnsi="Times New Roman" w:eastAsia="宋体"/>
                <w:color w:val="auto"/>
                <w:sz w:val="21"/>
                <w:szCs w:val="21"/>
              </w:rPr>
              <w:t>规模</w:t>
            </w:r>
            <w:r>
              <w:rPr>
                <w:rFonts w:ascii="Times New Roman" w:hAnsi="Times New Roman" w:eastAsia="宋体"/>
                <w:color w:val="auto"/>
                <w:sz w:val="21"/>
                <w:szCs w:val="21"/>
              </w:rPr>
              <w:t>、</w:t>
            </w:r>
            <w:r>
              <w:rPr>
                <w:rFonts w:hint="eastAsia" w:ascii="Times New Roman" w:hAnsi="Times New Roman" w:eastAsia="宋体"/>
                <w:color w:val="auto"/>
                <w:sz w:val="21"/>
                <w:szCs w:val="21"/>
              </w:rPr>
              <w:t>地点</w:t>
            </w:r>
            <w:r>
              <w:rPr>
                <w:rFonts w:ascii="Times New Roman" w:hAnsi="Times New Roman" w:eastAsia="宋体"/>
                <w:color w:val="auto"/>
                <w:sz w:val="21"/>
                <w:szCs w:val="21"/>
              </w:rPr>
              <w:t>、生产工艺、环保措施</w:t>
            </w:r>
            <w:r>
              <w:rPr>
                <w:rFonts w:hint="eastAsia" w:ascii="Times New Roman" w:hAnsi="Times New Roman" w:eastAsia="宋体"/>
                <w:color w:val="auto"/>
                <w:sz w:val="21"/>
                <w:szCs w:val="21"/>
              </w:rPr>
              <w:t>等有</w:t>
            </w:r>
            <w:r>
              <w:rPr>
                <w:rFonts w:ascii="Times New Roman" w:hAnsi="Times New Roman" w:eastAsia="宋体"/>
                <w:color w:val="auto"/>
                <w:sz w:val="21"/>
                <w:szCs w:val="21"/>
              </w:rPr>
              <w:t>重大</w:t>
            </w:r>
            <w:r>
              <w:rPr>
                <w:rFonts w:hint="eastAsia" w:ascii="Times New Roman" w:hAnsi="Times New Roman" w:eastAsia="宋体"/>
                <w:color w:val="auto"/>
                <w:sz w:val="21"/>
                <w:szCs w:val="21"/>
              </w:rPr>
              <w:t>变动时，建设单位应及时另行报批，必要时重新进行环境影响评价；建设单位</w:t>
            </w:r>
            <w:r>
              <w:rPr>
                <w:rFonts w:ascii="Times New Roman" w:hAnsi="Times New Roman" w:eastAsia="宋体"/>
                <w:color w:val="auto"/>
                <w:sz w:val="21"/>
                <w:szCs w:val="21"/>
              </w:rPr>
              <w:t>应在本项目投入生产前根据《排污许可管理办法(试行)》(环境保护部令第48号)和《排污许可管理条例》等要求</w:t>
            </w:r>
            <w:r>
              <w:rPr>
                <w:rFonts w:hint="eastAsia" w:ascii="Times New Roman" w:hAnsi="Times New Roman" w:eastAsia="宋体"/>
                <w:color w:val="auto"/>
                <w:sz w:val="21"/>
                <w:szCs w:val="21"/>
              </w:rPr>
              <w:t>办理或更新</w:t>
            </w:r>
            <w:r>
              <w:rPr>
                <w:rFonts w:ascii="Times New Roman" w:hAnsi="Times New Roman" w:eastAsia="宋体"/>
                <w:color w:val="auto"/>
                <w:sz w:val="21"/>
                <w:szCs w:val="21"/>
              </w:rPr>
              <w:t>排污许可证</w:t>
            </w:r>
            <w:r>
              <w:rPr>
                <w:rFonts w:hint="eastAsia" w:ascii="Times New Roman" w:hAnsi="Times New Roman" w:eastAsia="宋体"/>
                <w:color w:val="auto"/>
                <w:sz w:val="21"/>
                <w:szCs w:val="21"/>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rPr>
            </w:pPr>
          </w:p>
        </w:tc>
      </w:tr>
    </w:tbl>
    <w:p>
      <w:pPr>
        <w:pStyle w:val="31"/>
        <w:keepNext/>
        <w:keepLines w:val="0"/>
        <w:pageBreakBefore w:val="0"/>
        <w:widowControl/>
        <w:numPr>
          <w:ilvl w:val="0"/>
          <w:numId w:val="3"/>
        </w:numPr>
        <w:kinsoku/>
        <w:wordWrap/>
        <w:overflowPunct/>
        <w:topLinePunct w:val="0"/>
        <w:autoSpaceDE/>
        <w:autoSpaceDN/>
        <w:bidi w:val="0"/>
        <w:adjustRightInd/>
        <w:snapToGrid/>
        <w:ind w:left="0" w:leftChars="0" w:firstLine="0" w:firstLineChars="0"/>
        <w:textAlignment w:val="auto"/>
        <w:rPr>
          <w:color w:val="auto"/>
        </w:rPr>
      </w:pPr>
      <w:r>
        <w:rPr>
          <w:rFonts w:hint="eastAsia"/>
          <w:color w:val="auto"/>
        </w:rPr>
        <w:t>结论</w:t>
      </w:r>
      <w:bookmarkEnd w:id="55"/>
      <w:bookmarkEnd w:id="56"/>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450" w:hRule="atLeast"/>
        </w:trPr>
        <w:tc>
          <w:tcPr>
            <w:tcW w:w="9060" w:type="dxa"/>
            <w:tcBorders>
              <w:tl2br w:val="nil"/>
              <w:tr2bl w:val="nil"/>
            </w:tcBorders>
            <w:vAlign w:val="top"/>
          </w:tcPr>
          <w:p>
            <w:pPr>
              <w:spacing w:line="360" w:lineRule="auto"/>
              <w:ind w:firstLine="480" w:firstLineChars="200"/>
              <w:jc w:val="both"/>
              <w:rPr>
                <w:rFonts w:cs="宋体"/>
                <w:color w:val="auto"/>
                <w:sz w:val="24"/>
                <w:szCs w:val="21"/>
              </w:rPr>
            </w:pPr>
            <w:r>
              <w:rPr>
                <w:rFonts w:hint="eastAsia" w:cs="宋体"/>
                <w:color w:val="auto"/>
                <w:sz w:val="24"/>
                <w:szCs w:val="21"/>
              </w:rPr>
              <w:t>本项目符合国家和江西省有关产业、环境保护的政策和法规；项目选址合理，</w:t>
            </w:r>
            <w:r>
              <w:rPr>
                <w:rFonts w:hint="eastAsia"/>
                <w:color w:val="auto"/>
                <w:sz w:val="24"/>
              </w:rPr>
              <w:t>符合“三线一单”要求，</w:t>
            </w:r>
            <w:r>
              <w:rPr>
                <w:rFonts w:hint="eastAsia" w:cs="宋体"/>
                <w:color w:val="auto"/>
                <w:sz w:val="24"/>
                <w:szCs w:val="21"/>
              </w:rPr>
              <w:t>所在区域环境质量现状总体良好；</w:t>
            </w:r>
            <w:r>
              <w:rPr>
                <w:color w:val="auto"/>
                <w:sz w:val="24"/>
              </w:rPr>
              <w:t>项目污染物在达标排放情况下对周围环境影响较小，</w:t>
            </w:r>
            <w:r>
              <w:rPr>
                <w:rFonts w:hint="eastAsia"/>
                <w:color w:val="auto"/>
                <w:sz w:val="24"/>
              </w:rPr>
              <w:t>在建设单位</w:t>
            </w:r>
            <w:r>
              <w:rPr>
                <w:color w:val="auto"/>
                <w:sz w:val="24"/>
              </w:rPr>
              <w:t>认真落实评价提出的各项污染防治对策，加强对污染物的治理工作，做到环保工作专人分管，责任到人，加强对各类污染源的管理，落实环保治理所需要的资金，</w:t>
            </w:r>
            <w:r>
              <w:rPr>
                <w:rFonts w:hint="eastAsia"/>
                <w:color w:val="auto"/>
                <w:sz w:val="24"/>
              </w:rPr>
              <w:t>严格执行环境保护“三同时”制度的前提下，从环保的角度来看，</w:t>
            </w:r>
            <w:r>
              <w:rPr>
                <w:rFonts w:hint="eastAsia" w:cs="宋体"/>
                <w:color w:val="auto"/>
                <w:sz w:val="24"/>
                <w:szCs w:val="21"/>
              </w:rPr>
              <w:t>温泉镇中心卫生院</w:t>
            </w:r>
            <w:r>
              <w:rPr>
                <w:rFonts w:cs="宋体"/>
                <w:color w:val="auto"/>
                <w:sz w:val="24"/>
                <w:szCs w:val="21"/>
                <w:lang w:val="zh-CN"/>
              </w:rPr>
              <w:t>建设</w:t>
            </w:r>
            <w:r>
              <w:rPr>
                <w:rFonts w:hint="eastAsia" w:cs="宋体"/>
                <w:color w:val="auto"/>
                <w:sz w:val="24"/>
                <w:szCs w:val="21"/>
              </w:rPr>
              <w:t>项目</w:t>
            </w:r>
            <w:r>
              <w:rPr>
                <w:rFonts w:hint="eastAsia"/>
                <w:color w:val="auto"/>
                <w:sz w:val="24"/>
              </w:rPr>
              <w:t>的建设是可行的。</w:t>
            </w:r>
          </w:p>
          <w:p>
            <w:pPr>
              <w:pStyle w:val="29"/>
              <w:spacing w:after="0" w:line="360" w:lineRule="auto"/>
              <w:ind w:left="0" w:leftChars="0" w:firstLine="481" w:firstLineChars="200"/>
              <w:jc w:val="both"/>
              <w:rPr>
                <w:color w:val="auto"/>
                <w:sz w:val="30"/>
                <w:szCs w:val="30"/>
              </w:rPr>
            </w:pPr>
            <w:r>
              <w:rPr>
                <w:rFonts w:hint="eastAsia"/>
                <w:b/>
                <w:bCs/>
                <w:color w:val="auto"/>
                <w:szCs w:val="24"/>
              </w:rPr>
              <w:t>注：项目基础资料均由建设单位提供，并对其准确性和有效性负责。建设单位未来如需增加本报告表所涉及之外的污染源或对其功能进行调整，则应按要求向有关环保部门进行申报，并按污染控制目标采取相应的污染治理措施。</w:t>
            </w:r>
          </w:p>
        </w:tc>
      </w:tr>
    </w:tbl>
    <w:p>
      <w:pPr>
        <w:pStyle w:val="29"/>
        <w:ind w:left="67" w:firstLine="0"/>
        <w:rPr>
          <w:color w:val="auto"/>
          <w:sz w:val="30"/>
          <w:szCs w:val="30"/>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textAlignment w:val="auto"/>
        <w:outlineLvl w:val="0"/>
        <w:rPr>
          <w:snapToGrid w:val="0"/>
          <w:color w:val="auto"/>
          <w:sz w:val="32"/>
          <w:szCs w:val="32"/>
        </w:rPr>
      </w:pPr>
      <w:bookmarkStart w:id="57" w:name="_Toc16264"/>
      <w:bookmarkStart w:id="58" w:name="_Toc21400"/>
      <w:r>
        <w:rPr>
          <w:snapToGrid w:val="0"/>
          <w:color w:val="auto"/>
          <w:sz w:val="32"/>
          <w:szCs w:val="32"/>
        </w:rPr>
        <w:t>附表</w:t>
      </w:r>
      <w:bookmarkEnd w:id="57"/>
      <w:bookmarkEnd w:id="58"/>
    </w:p>
    <w:p>
      <w:pPr>
        <w:keepNext w:val="0"/>
        <w:keepLines w:val="0"/>
        <w:pageBreakBefore w:val="0"/>
        <w:widowControl w:val="0"/>
        <w:kinsoku/>
        <w:wordWrap/>
        <w:overflowPunct/>
        <w:topLinePunct w:val="0"/>
        <w:autoSpaceDE/>
        <w:autoSpaceDN/>
        <w:bidi w:val="0"/>
        <w:adjustRightInd/>
        <w:snapToGrid/>
        <w:jc w:val="center"/>
        <w:textAlignment w:val="auto"/>
        <w:outlineLvl w:val="0"/>
        <w:rPr>
          <w:b/>
          <w:bCs/>
          <w:color w:val="auto"/>
          <w:sz w:val="28"/>
          <w:szCs w:val="28"/>
        </w:rPr>
      </w:pPr>
      <w:bookmarkStart w:id="59" w:name="_Toc18462"/>
      <w:bookmarkStart w:id="60" w:name="_Toc26030"/>
      <w:r>
        <w:rPr>
          <w:b/>
          <w:bCs/>
          <w:color w:val="auto"/>
          <w:sz w:val="28"/>
          <w:szCs w:val="28"/>
        </w:rPr>
        <w:t>建设项目污染物排放量汇总表</w:t>
      </w:r>
      <w:r>
        <w:rPr>
          <w:rFonts w:hint="eastAsia"/>
          <w:b/>
          <w:bCs/>
          <w:color w:val="auto"/>
          <w:sz w:val="28"/>
          <w:szCs w:val="28"/>
        </w:rPr>
        <w:t xml:space="preserve"> </w:t>
      </w:r>
      <w:r>
        <w:rPr>
          <w:b/>
          <w:bCs/>
          <w:color w:val="auto"/>
          <w:sz w:val="28"/>
          <w:szCs w:val="28"/>
        </w:rPr>
        <w:t xml:space="preserve"> </w:t>
      </w:r>
      <w:r>
        <w:rPr>
          <w:rFonts w:hint="eastAsia"/>
          <w:b/>
          <w:bCs/>
          <w:color w:val="auto"/>
          <w:sz w:val="28"/>
          <w:szCs w:val="28"/>
        </w:rPr>
        <w:t>（单位：</w:t>
      </w:r>
      <w:r>
        <w:rPr>
          <w:b/>
          <w:bCs/>
          <w:color w:val="auto"/>
          <w:sz w:val="28"/>
          <w:szCs w:val="28"/>
        </w:rPr>
        <w:t>t/a</w:t>
      </w:r>
      <w:r>
        <w:rPr>
          <w:rFonts w:hint="eastAsia"/>
          <w:b/>
          <w:bCs/>
          <w:color w:val="auto"/>
          <w:sz w:val="28"/>
          <w:szCs w:val="28"/>
        </w:rPr>
        <w:t>）</w:t>
      </w:r>
      <w:bookmarkEnd w:id="59"/>
      <w:bookmarkEnd w:id="60"/>
    </w:p>
    <w:tbl>
      <w:tblPr>
        <w:tblStyle w:val="23"/>
        <w:tblW w:w="14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9"/>
        <w:gridCol w:w="1770"/>
        <w:gridCol w:w="1437"/>
        <w:gridCol w:w="1276"/>
        <w:gridCol w:w="1701"/>
        <w:gridCol w:w="1559"/>
        <w:gridCol w:w="1761"/>
        <w:gridCol w:w="1621"/>
        <w:gridCol w:w="16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项目</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分类</w:t>
            </w:r>
          </w:p>
        </w:tc>
        <w:tc>
          <w:tcPr>
            <w:tcW w:w="1770"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437"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①</w:t>
            </w:r>
            <w:r>
              <w:rPr>
                <w:rFonts w:ascii="Times New Roman"/>
                <w:snapToGrid w:val="0"/>
                <w:color w:val="auto"/>
                <w:spacing w:val="-6"/>
                <w:kern w:val="21"/>
                <w:szCs w:val="21"/>
              </w:rPr>
              <w:fldChar w:fldCharType="end"/>
            </w:r>
          </w:p>
        </w:tc>
        <w:tc>
          <w:tcPr>
            <w:tcW w:w="1276"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snapToGrid w:val="0"/>
                <w:color w:val="auto"/>
                <w:spacing w:val="-6"/>
                <w:kern w:val="21"/>
                <w:szCs w:val="21"/>
              </w:rPr>
              <w:fldChar w:fldCharType="end"/>
            </w:r>
          </w:p>
        </w:tc>
        <w:tc>
          <w:tcPr>
            <w:tcW w:w="1701"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③</w:t>
            </w:r>
            <w:r>
              <w:rPr>
                <w:rFonts w:ascii="Times New Roman"/>
                <w:snapToGrid w:val="0"/>
                <w:color w:val="auto"/>
                <w:spacing w:val="-6"/>
                <w:kern w:val="21"/>
                <w:szCs w:val="21"/>
              </w:rPr>
              <w:fldChar w:fldCharType="end"/>
            </w:r>
          </w:p>
        </w:tc>
        <w:tc>
          <w:tcPr>
            <w:tcW w:w="1559"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④</w:t>
            </w:r>
            <w:r>
              <w:rPr>
                <w:rFonts w:ascii="Times New Roman"/>
                <w:snapToGrid w:val="0"/>
                <w:color w:val="auto"/>
                <w:spacing w:val="-6"/>
                <w:kern w:val="21"/>
                <w:szCs w:val="21"/>
              </w:rPr>
              <w:fldChar w:fldCharType="end"/>
            </w:r>
          </w:p>
        </w:tc>
        <w:tc>
          <w:tcPr>
            <w:tcW w:w="1761"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pPr>
              <w:pStyle w:val="53"/>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kern w:val="2"/>
                <w:szCs w:val="21"/>
              </w:rPr>
              <w:t>⑤</w:t>
            </w:r>
            <w:r>
              <w:rPr>
                <w:rFonts w:ascii="Times New Roman"/>
                <w:snapToGrid w:val="0"/>
                <w:color w:val="auto"/>
                <w:spacing w:val="-16"/>
                <w:kern w:val="21"/>
                <w:szCs w:val="21"/>
              </w:rPr>
              <w:fldChar w:fldCharType="end"/>
            </w:r>
          </w:p>
        </w:tc>
        <w:tc>
          <w:tcPr>
            <w:tcW w:w="1621"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pPr>
              <w:pStyle w:val="53"/>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kern w:val="2"/>
                <w:szCs w:val="21"/>
              </w:rPr>
              <w:t>⑥</w:t>
            </w:r>
            <w:r>
              <w:rPr>
                <w:rFonts w:ascii="Times New Roman"/>
                <w:snapToGrid w:val="0"/>
                <w:color w:val="auto"/>
                <w:spacing w:val="-16"/>
                <w:kern w:val="21"/>
                <w:szCs w:val="21"/>
              </w:rPr>
              <w:fldChar w:fldCharType="end"/>
            </w:r>
          </w:p>
        </w:tc>
        <w:tc>
          <w:tcPr>
            <w:tcW w:w="1618" w:type="dxa"/>
            <w:tcBorders>
              <w:tl2br w:val="nil"/>
              <w:tr2bl w:val="nil"/>
            </w:tcBorders>
            <w:tcMar>
              <w:left w:w="28" w:type="dxa"/>
              <w:right w:w="28" w:type="dxa"/>
            </w:tcMar>
            <w:vAlign w:val="center"/>
          </w:tcPr>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pPr>
              <w:pStyle w:val="53"/>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⑦</w:t>
            </w:r>
            <w:r>
              <w:rPr>
                <w:rFonts w:ascii="Times New Roman"/>
                <w:snapToGrid w:val="0"/>
                <w:color w:val="auto"/>
                <w:spacing w:val="-6"/>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restart"/>
            <w:tcBorders>
              <w:tl2br w:val="nil"/>
              <w:tr2bl w:val="nil"/>
            </w:tcBorders>
            <w:vAlign w:val="center"/>
          </w:tcPr>
          <w:p>
            <w:pPr>
              <w:pStyle w:val="53"/>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770" w:type="dxa"/>
            <w:tcBorders>
              <w:tl2br w:val="nil"/>
              <w:tr2bl w:val="nil"/>
            </w:tcBorders>
            <w:vAlign w:val="center"/>
          </w:tcPr>
          <w:p>
            <w:pPr>
              <w:widowControl/>
              <w:adjustRightInd w:val="0"/>
              <w:snapToGrid w:val="0"/>
              <w:jc w:val="center"/>
              <w:rPr>
                <w:color w:val="auto"/>
                <w:kern w:val="0"/>
                <w:szCs w:val="21"/>
              </w:rPr>
            </w:pPr>
            <w:r>
              <w:rPr>
                <w:rFonts w:hint="eastAsia"/>
                <w:color w:val="auto"/>
                <w:kern w:val="0"/>
                <w:szCs w:val="21"/>
              </w:rPr>
              <w:t>食堂</w:t>
            </w:r>
            <w:r>
              <w:rPr>
                <w:color w:val="auto"/>
                <w:kern w:val="0"/>
                <w:szCs w:val="21"/>
              </w:rPr>
              <w:t>油烟</w:t>
            </w:r>
          </w:p>
        </w:tc>
        <w:tc>
          <w:tcPr>
            <w:tcW w:w="1437" w:type="dxa"/>
            <w:tcBorders>
              <w:tl2br w:val="nil"/>
              <w:tr2bl w:val="nil"/>
            </w:tcBorders>
            <w:vAlign w:val="center"/>
          </w:tcPr>
          <w:p>
            <w:pPr>
              <w:adjustRightInd w:val="0"/>
              <w:snapToGrid w:val="0"/>
              <w:jc w:val="center"/>
              <w:rPr>
                <w:color w:val="auto"/>
                <w:szCs w:val="21"/>
              </w:rPr>
            </w:pPr>
          </w:p>
        </w:tc>
        <w:tc>
          <w:tcPr>
            <w:tcW w:w="1276" w:type="dxa"/>
            <w:tcBorders>
              <w:tl2br w:val="nil"/>
              <w:tr2bl w:val="nil"/>
            </w:tcBorders>
            <w:vAlign w:val="center"/>
          </w:tcPr>
          <w:p>
            <w:pPr>
              <w:adjustRightInd w:val="0"/>
              <w:snapToGrid w:val="0"/>
              <w:jc w:val="center"/>
              <w:rPr>
                <w:color w:val="auto"/>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adjustRightInd w:val="0"/>
              <w:snapToGrid w:val="0"/>
              <w:jc w:val="center"/>
              <w:rPr>
                <w:color w:val="auto"/>
                <w:szCs w:val="21"/>
              </w:rPr>
            </w:pPr>
            <w:r>
              <w:rPr>
                <w:rFonts w:hint="eastAsia"/>
                <w:color w:val="auto"/>
                <w:szCs w:val="21"/>
              </w:rPr>
              <w:t>3.6</w:t>
            </w:r>
            <w:r>
              <w:rPr>
                <w:rFonts w:hint="eastAsia"/>
                <w:color w:val="auto"/>
                <w:kern w:val="0"/>
                <w:szCs w:val="21"/>
                <w:lang w:bidi="ar"/>
              </w:rPr>
              <w:t>kg/a</w:t>
            </w:r>
          </w:p>
        </w:tc>
        <w:tc>
          <w:tcPr>
            <w:tcW w:w="1761" w:type="dxa"/>
            <w:tcBorders>
              <w:tl2br w:val="nil"/>
              <w:tr2bl w:val="nil"/>
            </w:tcBorders>
            <w:vAlign w:val="center"/>
          </w:tcPr>
          <w:p>
            <w:pPr>
              <w:adjustRightInd w:val="0"/>
              <w:snapToGrid w:val="0"/>
              <w:jc w:val="center"/>
              <w:rPr>
                <w:color w:val="auto"/>
                <w:szCs w:val="21"/>
              </w:rPr>
            </w:pPr>
          </w:p>
        </w:tc>
        <w:tc>
          <w:tcPr>
            <w:tcW w:w="1621" w:type="dxa"/>
            <w:tcBorders>
              <w:tl2br w:val="nil"/>
              <w:tr2bl w:val="nil"/>
            </w:tcBorders>
            <w:vAlign w:val="center"/>
          </w:tcPr>
          <w:p>
            <w:pPr>
              <w:adjustRightInd w:val="0"/>
              <w:snapToGrid w:val="0"/>
              <w:jc w:val="center"/>
              <w:rPr>
                <w:color w:val="auto"/>
                <w:szCs w:val="21"/>
              </w:rPr>
            </w:pPr>
            <w:r>
              <w:rPr>
                <w:rFonts w:hint="eastAsia"/>
                <w:color w:val="auto"/>
                <w:szCs w:val="21"/>
              </w:rPr>
              <w:t>3.6</w:t>
            </w:r>
            <w:r>
              <w:rPr>
                <w:rFonts w:hint="eastAsia"/>
                <w:color w:val="auto"/>
                <w:kern w:val="0"/>
                <w:szCs w:val="21"/>
                <w:lang w:bidi="ar"/>
              </w:rPr>
              <w:t>kg/a</w:t>
            </w:r>
          </w:p>
        </w:tc>
        <w:tc>
          <w:tcPr>
            <w:tcW w:w="1618" w:type="dxa"/>
            <w:tcBorders>
              <w:tl2br w:val="nil"/>
              <w:tr2bl w:val="nil"/>
            </w:tcBorders>
            <w:vAlign w:val="center"/>
          </w:tcPr>
          <w:p>
            <w:pPr>
              <w:adjustRightInd w:val="0"/>
              <w:snapToGrid w:val="0"/>
              <w:jc w:val="center"/>
              <w:rPr>
                <w:color w:val="auto"/>
                <w:szCs w:val="21"/>
              </w:rPr>
            </w:pPr>
            <w:r>
              <w:rPr>
                <w:rFonts w:hint="eastAsia"/>
                <w:color w:val="auto"/>
                <w:szCs w:val="21"/>
              </w:rPr>
              <w:t>+3.6</w:t>
            </w:r>
            <w:r>
              <w:rPr>
                <w:rFonts w:hint="eastAsia"/>
                <w:color w:val="auto"/>
                <w:kern w:val="0"/>
                <w:szCs w:val="21"/>
                <w:lang w:bidi="ar"/>
              </w:rPr>
              <w:t>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textAlignment w:val="center"/>
              <w:rPr>
                <w:color w:val="auto"/>
                <w:kern w:val="0"/>
                <w:szCs w:val="21"/>
                <w:lang w:bidi="ar"/>
              </w:rPr>
            </w:pPr>
            <w:r>
              <w:rPr>
                <w:color w:val="auto"/>
                <w:kern w:val="0"/>
                <w:szCs w:val="21"/>
                <w:lang w:bidi="ar"/>
              </w:rPr>
              <w:t>氨</w:t>
            </w:r>
          </w:p>
        </w:tc>
        <w:tc>
          <w:tcPr>
            <w:tcW w:w="1437" w:type="dxa"/>
            <w:tcBorders>
              <w:tl2br w:val="nil"/>
              <w:tr2bl w:val="nil"/>
            </w:tcBorders>
            <w:vAlign w:val="center"/>
          </w:tcPr>
          <w:p>
            <w:pPr>
              <w:adjustRightInd w:val="0"/>
              <w:snapToGrid w:val="0"/>
              <w:jc w:val="center"/>
              <w:rPr>
                <w:color w:val="auto"/>
                <w:szCs w:val="21"/>
              </w:rPr>
            </w:pPr>
          </w:p>
        </w:tc>
        <w:tc>
          <w:tcPr>
            <w:tcW w:w="1276" w:type="dxa"/>
            <w:tcBorders>
              <w:tl2br w:val="nil"/>
              <w:tr2bl w:val="nil"/>
            </w:tcBorders>
            <w:vAlign w:val="center"/>
          </w:tcPr>
          <w:p>
            <w:pPr>
              <w:adjustRightInd w:val="0"/>
              <w:snapToGrid w:val="0"/>
              <w:jc w:val="center"/>
              <w:rPr>
                <w:color w:val="auto"/>
                <w:szCs w:val="21"/>
              </w:rPr>
            </w:pPr>
          </w:p>
        </w:tc>
        <w:tc>
          <w:tcPr>
            <w:tcW w:w="1701" w:type="dxa"/>
            <w:tcBorders>
              <w:tl2br w:val="nil"/>
              <w:tr2bl w:val="nil"/>
            </w:tcBorders>
            <w:shd w:val="clear" w:color="auto" w:fill="auto"/>
            <w:vAlign w:val="center"/>
          </w:tcPr>
          <w:p>
            <w:pPr>
              <w:jc w:val="center"/>
              <w:rPr>
                <w:color w:val="auto"/>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0.69kg/a</w:t>
            </w:r>
          </w:p>
        </w:tc>
        <w:tc>
          <w:tcPr>
            <w:tcW w:w="1761" w:type="dxa"/>
            <w:tcBorders>
              <w:tl2br w:val="nil"/>
              <w:tr2bl w:val="nil"/>
            </w:tcBorders>
            <w:vAlign w:val="center"/>
          </w:tcPr>
          <w:p>
            <w:pPr>
              <w:adjustRightInd w:val="0"/>
              <w:snapToGrid w:val="0"/>
              <w:jc w:val="center"/>
              <w:rPr>
                <w:color w:val="auto"/>
                <w:szCs w:val="21"/>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0.69kg/a</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+0.69kg/a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textAlignment w:val="center"/>
              <w:rPr>
                <w:color w:val="auto"/>
                <w:kern w:val="0"/>
                <w:szCs w:val="21"/>
                <w:lang w:bidi="ar"/>
              </w:rPr>
            </w:pPr>
            <w:r>
              <w:rPr>
                <w:color w:val="auto"/>
                <w:kern w:val="0"/>
                <w:szCs w:val="21"/>
                <w:lang w:bidi="ar"/>
              </w:rPr>
              <w:t>硫化氢</w:t>
            </w:r>
          </w:p>
        </w:tc>
        <w:tc>
          <w:tcPr>
            <w:tcW w:w="1437" w:type="dxa"/>
            <w:tcBorders>
              <w:tl2br w:val="nil"/>
              <w:tr2bl w:val="nil"/>
            </w:tcBorders>
            <w:vAlign w:val="center"/>
          </w:tcPr>
          <w:p>
            <w:pPr>
              <w:adjustRightInd w:val="0"/>
              <w:snapToGrid w:val="0"/>
              <w:jc w:val="center"/>
              <w:rPr>
                <w:color w:val="auto"/>
                <w:szCs w:val="21"/>
              </w:rPr>
            </w:pPr>
          </w:p>
        </w:tc>
        <w:tc>
          <w:tcPr>
            <w:tcW w:w="1276" w:type="dxa"/>
            <w:tcBorders>
              <w:tl2br w:val="nil"/>
              <w:tr2bl w:val="nil"/>
            </w:tcBorders>
            <w:vAlign w:val="center"/>
          </w:tcPr>
          <w:p>
            <w:pPr>
              <w:adjustRightInd w:val="0"/>
              <w:snapToGrid w:val="0"/>
              <w:jc w:val="center"/>
              <w:rPr>
                <w:color w:val="auto"/>
                <w:szCs w:val="21"/>
              </w:rPr>
            </w:pPr>
          </w:p>
        </w:tc>
        <w:tc>
          <w:tcPr>
            <w:tcW w:w="1701" w:type="dxa"/>
            <w:tcBorders>
              <w:tl2br w:val="nil"/>
              <w:tr2bl w:val="nil"/>
            </w:tcBorders>
            <w:shd w:val="clear" w:color="auto" w:fill="auto"/>
            <w:vAlign w:val="center"/>
          </w:tcPr>
          <w:p>
            <w:pPr>
              <w:jc w:val="center"/>
              <w:rPr>
                <w:color w:val="auto"/>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0.0264kg/a</w:t>
            </w:r>
          </w:p>
        </w:tc>
        <w:tc>
          <w:tcPr>
            <w:tcW w:w="1761" w:type="dxa"/>
            <w:tcBorders>
              <w:tl2br w:val="nil"/>
              <w:tr2bl w:val="nil"/>
            </w:tcBorders>
            <w:vAlign w:val="center"/>
          </w:tcPr>
          <w:p>
            <w:pPr>
              <w:adjustRightInd w:val="0"/>
              <w:snapToGrid w:val="0"/>
              <w:jc w:val="center"/>
              <w:rPr>
                <w:color w:val="auto"/>
                <w:szCs w:val="21"/>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0.0264kg/a</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+0.0264kg/a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restart"/>
            <w:tcBorders>
              <w:tl2br w:val="nil"/>
              <w:tr2bl w:val="nil"/>
            </w:tcBorders>
            <w:vAlign w:val="center"/>
          </w:tcPr>
          <w:p>
            <w:pPr>
              <w:pStyle w:val="53"/>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770" w:type="dxa"/>
            <w:tcBorders>
              <w:tl2br w:val="nil"/>
              <w:tr2bl w:val="nil"/>
            </w:tcBorders>
            <w:vAlign w:val="center"/>
          </w:tcPr>
          <w:p>
            <w:pPr>
              <w:widowControl/>
              <w:adjustRightInd w:val="0"/>
              <w:snapToGrid w:val="0"/>
              <w:jc w:val="center"/>
              <w:rPr>
                <w:color w:val="auto"/>
                <w:kern w:val="0"/>
                <w:szCs w:val="21"/>
              </w:rPr>
            </w:pPr>
            <w:r>
              <w:rPr>
                <w:color w:val="auto"/>
                <w:kern w:val="0"/>
                <w:szCs w:val="21"/>
              </w:rPr>
              <w:t>COD</w:t>
            </w:r>
            <w:r>
              <w:rPr>
                <w:color w:val="auto"/>
                <w:kern w:val="0"/>
                <w:szCs w:val="21"/>
                <w:vertAlign w:val="subscript"/>
              </w:rPr>
              <w:t>cr</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0.157</w:t>
            </w:r>
          </w:p>
        </w:tc>
        <w:tc>
          <w:tcPr>
            <w:tcW w:w="1761" w:type="dxa"/>
            <w:tcBorders>
              <w:tl2br w:val="nil"/>
              <w:tr2bl w:val="nil"/>
            </w:tcBorders>
            <w:vAlign w:val="center"/>
          </w:tcPr>
          <w:p>
            <w:pPr>
              <w:widowControl/>
              <w:adjustRightInd w:val="0"/>
              <w:snapToGrid w:val="0"/>
              <w:jc w:val="center"/>
              <w:rPr>
                <w:color w:val="auto"/>
                <w:kern w:val="0"/>
                <w:szCs w:val="21"/>
                <w:lang w:bidi="ar"/>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0.157</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color w:val="auto"/>
                <w:kern w:val="0"/>
                <w:szCs w:val="21"/>
                <w:lang w:bidi="ar"/>
              </w:rPr>
              <w:t>0.157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color w:val="auto"/>
                <w:kern w:val="0"/>
                <w:szCs w:val="21"/>
              </w:rPr>
            </w:pPr>
            <w:r>
              <w:rPr>
                <w:color w:val="auto"/>
                <w:kern w:val="0"/>
                <w:szCs w:val="21"/>
              </w:rPr>
              <w:t>BOD</w:t>
            </w:r>
            <w:r>
              <w:rPr>
                <w:color w:val="auto"/>
                <w:kern w:val="0"/>
                <w:szCs w:val="21"/>
                <w:vertAlign w:val="subscript"/>
              </w:rPr>
              <w:t>5</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0.0314</w:t>
            </w:r>
          </w:p>
        </w:tc>
        <w:tc>
          <w:tcPr>
            <w:tcW w:w="1761" w:type="dxa"/>
            <w:tcBorders>
              <w:tl2br w:val="nil"/>
              <w:tr2bl w:val="nil"/>
            </w:tcBorders>
            <w:vAlign w:val="center"/>
          </w:tcPr>
          <w:p>
            <w:pPr>
              <w:widowControl/>
              <w:adjustRightInd w:val="0"/>
              <w:snapToGrid w:val="0"/>
              <w:jc w:val="center"/>
              <w:rPr>
                <w:color w:val="auto"/>
                <w:kern w:val="0"/>
                <w:szCs w:val="21"/>
                <w:lang w:bidi="ar"/>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0.0314</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color w:val="auto"/>
                <w:kern w:val="0"/>
                <w:szCs w:val="21"/>
                <w:lang w:bidi="ar"/>
              </w:rPr>
              <w:t>0.0314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color w:val="auto"/>
                <w:kern w:val="0"/>
                <w:szCs w:val="21"/>
              </w:rPr>
            </w:pPr>
            <w:r>
              <w:rPr>
                <w:color w:val="auto"/>
                <w:kern w:val="0"/>
                <w:szCs w:val="21"/>
              </w:rPr>
              <w:t>SS</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0.0314</w:t>
            </w:r>
          </w:p>
        </w:tc>
        <w:tc>
          <w:tcPr>
            <w:tcW w:w="1761" w:type="dxa"/>
            <w:tcBorders>
              <w:tl2br w:val="nil"/>
              <w:tr2bl w:val="nil"/>
            </w:tcBorders>
            <w:vAlign w:val="center"/>
          </w:tcPr>
          <w:p>
            <w:pPr>
              <w:widowControl/>
              <w:adjustRightInd w:val="0"/>
              <w:snapToGrid w:val="0"/>
              <w:jc w:val="center"/>
              <w:rPr>
                <w:color w:val="auto"/>
                <w:kern w:val="0"/>
                <w:szCs w:val="21"/>
                <w:lang w:bidi="ar"/>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0.0314</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color w:val="auto"/>
                <w:kern w:val="0"/>
                <w:szCs w:val="21"/>
                <w:lang w:bidi="ar"/>
              </w:rPr>
              <w:t>0.0314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color w:val="auto"/>
                <w:kern w:val="0"/>
                <w:szCs w:val="21"/>
              </w:rPr>
            </w:pPr>
            <w:r>
              <w:rPr>
                <w:color w:val="auto"/>
                <w:kern w:val="0"/>
                <w:szCs w:val="21"/>
              </w:rPr>
              <w:t>氨氮</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0.0157</w:t>
            </w:r>
          </w:p>
        </w:tc>
        <w:tc>
          <w:tcPr>
            <w:tcW w:w="1761" w:type="dxa"/>
            <w:tcBorders>
              <w:tl2br w:val="nil"/>
              <w:tr2bl w:val="nil"/>
            </w:tcBorders>
            <w:vAlign w:val="center"/>
          </w:tcPr>
          <w:p>
            <w:pPr>
              <w:widowControl/>
              <w:adjustRightInd w:val="0"/>
              <w:snapToGrid w:val="0"/>
              <w:jc w:val="center"/>
              <w:rPr>
                <w:color w:val="auto"/>
                <w:kern w:val="0"/>
                <w:szCs w:val="21"/>
                <w:lang w:bidi="ar"/>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0.0157</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color w:val="auto"/>
                <w:kern w:val="0"/>
                <w:szCs w:val="21"/>
                <w:lang w:bidi="ar"/>
              </w:rPr>
              <w:t>0.0157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color w:val="auto"/>
                <w:kern w:val="0"/>
                <w:szCs w:val="21"/>
              </w:rPr>
            </w:pPr>
            <w:r>
              <w:rPr>
                <w:rFonts w:hint="eastAsia"/>
                <w:color w:val="auto"/>
                <w:kern w:val="0"/>
                <w:szCs w:val="21"/>
              </w:rPr>
              <w:t>T</w:t>
            </w:r>
            <w:r>
              <w:rPr>
                <w:color w:val="auto"/>
                <w:kern w:val="0"/>
                <w:szCs w:val="21"/>
              </w:rPr>
              <w:t>P</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0.00157</w:t>
            </w:r>
          </w:p>
        </w:tc>
        <w:tc>
          <w:tcPr>
            <w:tcW w:w="1761" w:type="dxa"/>
            <w:tcBorders>
              <w:tl2br w:val="nil"/>
              <w:tr2bl w:val="nil"/>
            </w:tcBorders>
            <w:vAlign w:val="center"/>
          </w:tcPr>
          <w:p>
            <w:pPr>
              <w:widowControl/>
              <w:adjustRightInd w:val="0"/>
              <w:snapToGrid w:val="0"/>
              <w:jc w:val="center"/>
              <w:rPr>
                <w:color w:val="auto"/>
                <w:kern w:val="0"/>
                <w:szCs w:val="21"/>
                <w:lang w:bidi="ar"/>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0.00157</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color w:val="auto"/>
                <w:kern w:val="0"/>
                <w:szCs w:val="21"/>
                <w:lang w:bidi="ar"/>
              </w:rPr>
              <w:t>0.00157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color w:val="auto"/>
                <w:kern w:val="0"/>
                <w:szCs w:val="21"/>
              </w:rPr>
            </w:pPr>
            <w:r>
              <w:rPr>
                <w:rFonts w:hint="eastAsia"/>
                <w:color w:val="auto"/>
                <w:kern w:val="0"/>
                <w:szCs w:val="21"/>
              </w:rPr>
              <w:t>T</w:t>
            </w:r>
            <w:r>
              <w:rPr>
                <w:color w:val="auto"/>
                <w:kern w:val="0"/>
                <w:szCs w:val="21"/>
              </w:rPr>
              <w:t>N</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0.0471</w:t>
            </w:r>
          </w:p>
        </w:tc>
        <w:tc>
          <w:tcPr>
            <w:tcW w:w="1761" w:type="dxa"/>
            <w:tcBorders>
              <w:tl2br w:val="nil"/>
              <w:tr2bl w:val="nil"/>
            </w:tcBorders>
            <w:vAlign w:val="center"/>
          </w:tcPr>
          <w:p>
            <w:pPr>
              <w:widowControl/>
              <w:adjustRightInd w:val="0"/>
              <w:snapToGrid w:val="0"/>
              <w:jc w:val="center"/>
              <w:rPr>
                <w:color w:val="auto"/>
                <w:kern w:val="0"/>
                <w:szCs w:val="21"/>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0.0471</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color w:val="auto"/>
                <w:kern w:val="0"/>
                <w:szCs w:val="21"/>
                <w:lang w:bidi="ar"/>
              </w:rPr>
              <w:t>0.0471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color w:val="auto"/>
                <w:kern w:val="0"/>
                <w:szCs w:val="21"/>
              </w:rPr>
            </w:pPr>
            <w:r>
              <w:rPr>
                <w:iCs/>
                <w:color w:val="auto"/>
                <w:szCs w:val="21"/>
              </w:rPr>
              <w:t>粪大肠菌群</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bCs/>
                <w:color w:val="auto"/>
                <w:szCs w:val="21"/>
              </w:rPr>
              <w:t>3.2×10</w:t>
            </w:r>
            <w:r>
              <w:rPr>
                <w:rFonts w:hint="eastAsia"/>
                <w:bCs/>
                <w:color w:val="auto"/>
                <w:szCs w:val="21"/>
                <w:vertAlign w:val="superscript"/>
              </w:rPr>
              <w:t>9</w:t>
            </w:r>
            <w:r>
              <w:rPr>
                <w:rFonts w:hint="eastAsia"/>
                <w:bCs/>
                <w:color w:val="auto"/>
                <w:szCs w:val="21"/>
              </w:rPr>
              <w:t>MPN</w:t>
            </w:r>
          </w:p>
        </w:tc>
        <w:tc>
          <w:tcPr>
            <w:tcW w:w="1761" w:type="dxa"/>
            <w:tcBorders>
              <w:tl2br w:val="nil"/>
              <w:tr2bl w:val="nil"/>
            </w:tcBorders>
            <w:vAlign w:val="center"/>
          </w:tcPr>
          <w:p>
            <w:pPr>
              <w:widowControl/>
              <w:adjustRightInd w:val="0"/>
              <w:snapToGrid w:val="0"/>
              <w:jc w:val="center"/>
              <w:rPr>
                <w:color w:val="auto"/>
                <w:kern w:val="0"/>
                <w:szCs w:val="21"/>
              </w:rPr>
            </w:pPr>
          </w:p>
        </w:tc>
        <w:tc>
          <w:tcPr>
            <w:tcW w:w="1621"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bCs/>
                <w:color w:val="auto"/>
                <w:szCs w:val="21"/>
              </w:rPr>
              <w:t>3.2×10</w:t>
            </w:r>
            <w:r>
              <w:rPr>
                <w:rFonts w:hint="eastAsia"/>
                <w:bCs/>
                <w:color w:val="auto"/>
                <w:szCs w:val="21"/>
                <w:vertAlign w:val="superscript"/>
              </w:rPr>
              <w:t>9</w:t>
            </w:r>
            <w:r>
              <w:rPr>
                <w:rFonts w:hint="eastAsia"/>
                <w:bCs/>
                <w:color w:val="auto"/>
                <w:szCs w:val="21"/>
              </w:rPr>
              <w:t>MPN</w:t>
            </w:r>
          </w:p>
        </w:tc>
        <w:tc>
          <w:tcPr>
            <w:tcW w:w="1618" w:type="dxa"/>
            <w:tcBorders>
              <w:tl2br w:val="nil"/>
              <w:tr2bl w:val="nil"/>
            </w:tcBorders>
            <w:vAlign w:val="center"/>
          </w:tcPr>
          <w:p>
            <w:pPr>
              <w:widowControl/>
              <w:adjustRightInd w:val="0"/>
              <w:snapToGrid w:val="0"/>
              <w:jc w:val="center"/>
              <w:textAlignment w:val="center"/>
              <w:rPr>
                <w:color w:val="auto"/>
                <w:kern w:val="0"/>
                <w:szCs w:val="21"/>
                <w:lang w:bidi="ar"/>
              </w:rPr>
            </w:pPr>
            <w:r>
              <w:rPr>
                <w:rFonts w:hint="eastAsia"/>
                <w:color w:val="auto"/>
                <w:szCs w:val="21"/>
              </w:rPr>
              <w:t>+</w:t>
            </w:r>
            <w:r>
              <w:rPr>
                <w:rFonts w:hint="eastAsia"/>
                <w:bCs/>
                <w:color w:val="auto"/>
                <w:szCs w:val="21"/>
              </w:rPr>
              <w:t>3.2×10</w:t>
            </w:r>
            <w:r>
              <w:rPr>
                <w:rFonts w:hint="eastAsia"/>
                <w:bCs/>
                <w:color w:val="auto"/>
                <w:szCs w:val="21"/>
                <w:vertAlign w:val="superscript"/>
              </w:rPr>
              <w:t>9</w:t>
            </w:r>
            <w:r>
              <w:rPr>
                <w:rFonts w:hint="eastAsia"/>
                <w:bCs/>
                <w:color w:val="auto"/>
                <w:szCs w:val="21"/>
              </w:rPr>
              <w:t>MPN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widowControl/>
              <w:adjustRightInd w:val="0"/>
              <w:snapToGrid w:val="0"/>
              <w:jc w:val="center"/>
              <w:rPr>
                <w:rFonts w:hint="default" w:eastAsia="宋体"/>
                <w:iCs/>
                <w:color w:val="auto"/>
                <w:szCs w:val="21"/>
                <w:lang w:val="en-US" w:eastAsia="zh-CN"/>
              </w:rPr>
            </w:pPr>
            <w:r>
              <w:rPr>
                <w:rFonts w:hint="eastAsia"/>
                <w:iCs/>
                <w:color w:val="auto"/>
                <w:szCs w:val="21"/>
                <w:lang w:val="en-US" w:eastAsia="zh-CN"/>
              </w:rPr>
              <w:t>LAS</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textAlignment w:val="center"/>
              <w:rPr>
                <w:rFonts w:hint="default" w:eastAsia="宋体"/>
                <w:bCs/>
                <w:color w:val="auto"/>
                <w:szCs w:val="21"/>
                <w:lang w:val="en-US" w:eastAsia="zh-CN"/>
              </w:rPr>
            </w:pPr>
            <w:r>
              <w:rPr>
                <w:rFonts w:hint="eastAsia"/>
                <w:bCs/>
                <w:color w:val="auto"/>
                <w:szCs w:val="21"/>
                <w:lang w:val="en-US" w:eastAsia="zh-CN"/>
              </w:rPr>
              <w:t>0.0015</w:t>
            </w:r>
          </w:p>
        </w:tc>
        <w:tc>
          <w:tcPr>
            <w:tcW w:w="1761" w:type="dxa"/>
            <w:tcBorders>
              <w:tl2br w:val="nil"/>
              <w:tr2bl w:val="nil"/>
            </w:tcBorders>
            <w:vAlign w:val="center"/>
          </w:tcPr>
          <w:p>
            <w:pPr>
              <w:widowControl/>
              <w:adjustRightInd w:val="0"/>
              <w:snapToGrid w:val="0"/>
              <w:jc w:val="center"/>
              <w:rPr>
                <w:color w:val="auto"/>
                <w:kern w:val="0"/>
                <w:szCs w:val="21"/>
              </w:rPr>
            </w:pPr>
          </w:p>
        </w:tc>
        <w:tc>
          <w:tcPr>
            <w:tcW w:w="1621" w:type="dxa"/>
            <w:tcBorders>
              <w:tl2br w:val="nil"/>
              <w:tr2bl w:val="nil"/>
            </w:tcBorders>
            <w:vAlign w:val="center"/>
          </w:tcPr>
          <w:p>
            <w:pPr>
              <w:widowControl/>
              <w:adjustRightInd w:val="0"/>
              <w:snapToGrid w:val="0"/>
              <w:jc w:val="center"/>
              <w:textAlignment w:val="center"/>
              <w:rPr>
                <w:rFonts w:hint="default" w:eastAsia="宋体"/>
                <w:bCs/>
                <w:color w:val="auto"/>
                <w:szCs w:val="21"/>
                <w:lang w:val="en-US" w:eastAsia="zh-CN"/>
              </w:rPr>
            </w:pPr>
            <w:r>
              <w:rPr>
                <w:rFonts w:hint="eastAsia"/>
                <w:bCs/>
                <w:color w:val="auto"/>
                <w:szCs w:val="21"/>
                <w:lang w:val="en-US" w:eastAsia="zh-CN"/>
              </w:rPr>
              <w:t>0.0015</w:t>
            </w:r>
          </w:p>
        </w:tc>
        <w:tc>
          <w:tcPr>
            <w:tcW w:w="1618" w:type="dxa"/>
            <w:tcBorders>
              <w:tl2br w:val="nil"/>
              <w:tr2bl w:val="nil"/>
            </w:tcBorders>
            <w:vAlign w:val="center"/>
          </w:tcPr>
          <w:p>
            <w:pPr>
              <w:widowControl/>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restart"/>
            <w:tcBorders>
              <w:tl2br w:val="nil"/>
              <w:tr2bl w:val="nil"/>
            </w:tcBorders>
            <w:vAlign w:val="center"/>
          </w:tcPr>
          <w:p>
            <w:pPr>
              <w:pStyle w:val="5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rPr>
              <w:t>医疗</w:t>
            </w:r>
            <w:r>
              <w:rPr>
                <w:rFonts w:ascii="Times New Roman"/>
                <w:snapToGrid w:val="0"/>
                <w:color w:val="auto"/>
                <w:kern w:val="21"/>
                <w:szCs w:val="21"/>
              </w:rPr>
              <w:t>废物</w:t>
            </w:r>
          </w:p>
        </w:tc>
        <w:tc>
          <w:tcPr>
            <w:tcW w:w="1770" w:type="dxa"/>
            <w:tcBorders>
              <w:tl2br w:val="nil"/>
              <w:tr2bl w:val="nil"/>
            </w:tcBorders>
            <w:vAlign w:val="center"/>
          </w:tcPr>
          <w:p>
            <w:pPr>
              <w:pStyle w:val="53"/>
              <w:spacing w:beforeLines="0" w:afterLines="0" w:line="240" w:lineRule="auto"/>
              <w:rPr>
                <w:rFonts w:ascii="Times New Roman"/>
                <w:snapToGrid w:val="0"/>
                <w:color w:val="auto"/>
                <w:kern w:val="21"/>
                <w:szCs w:val="21"/>
              </w:rPr>
            </w:pPr>
            <w:r>
              <w:rPr>
                <w:rFonts w:ascii="Times New Roman"/>
                <w:snapToGrid w:val="0"/>
                <w:color w:val="auto"/>
                <w:kern w:val="21"/>
                <w:szCs w:val="21"/>
              </w:rPr>
              <w:t>生活垃圾</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rPr>
                <w:color w:val="auto"/>
                <w:kern w:val="0"/>
                <w:szCs w:val="21"/>
              </w:rPr>
            </w:pPr>
            <w:r>
              <w:rPr>
                <w:rFonts w:hint="eastAsia"/>
                <w:snapToGrid w:val="0"/>
                <w:color w:val="auto"/>
                <w:kern w:val="21"/>
                <w:szCs w:val="21"/>
              </w:rPr>
              <w:t>16.06</w:t>
            </w:r>
          </w:p>
        </w:tc>
        <w:tc>
          <w:tcPr>
            <w:tcW w:w="1761" w:type="dxa"/>
            <w:tcBorders>
              <w:tl2br w:val="nil"/>
              <w:tr2bl w:val="nil"/>
            </w:tcBorders>
            <w:vAlign w:val="center"/>
          </w:tcPr>
          <w:p>
            <w:pPr>
              <w:widowControl/>
              <w:adjustRightInd w:val="0"/>
              <w:snapToGrid w:val="0"/>
              <w:jc w:val="center"/>
              <w:rPr>
                <w:snapToGrid w:val="0"/>
                <w:color w:val="auto"/>
                <w:kern w:val="21"/>
                <w:szCs w:val="21"/>
              </w:rPr>
            </w:pPr>
          </w:p>
        </w:tc>
        <w:tc>
          <w:tcPr>
            <w:tcW w:w="1621" w:type="dxa"/>
            <w:tcBorders>
              <w:tl2br w:val="nil"/>
              <w:tr2bl w:val="nil"/>
            </w:tcBorders>
            <w:vAlign w:val="center"/>
          </w:tcPr>
          <w:p>
            <w:pPr>
              <w:widowControl/>
              <w:adjustRightInd w:val="0"/>
              <w:snapToGrid w:val="0"/>
              <w:jc w:val="center"/>
              <w:rPr>
                <w:snapToGrid w:val="0"/>
                <w:color w:val="auto"/>
                <w:kern w:val="21"/>
                <w:szCs w:val="21"/>
              </w:rPr>
            </w:pPr>
            <w:r>
              <w:rPr>
                <w:rFonts w:hint="eastAsia"/>
                <w:snapToGrid w:val="0"/>
                <w:color w:val="auto"/>
                <w:kern w:val="21"/>
                <w:szCs w:val="21"/>
              </w:rPr>
              <w:t>16.06</w:t>
            </w:r>
          </w:p>
        </w:tc>
        <w:tc>
          <w:tcPr>
            <w:tcW w:w="1618" w:type="dxa"/>
            <w:tcBorders>
              <w:tl2br w:val="nil"/>
              <w:tr2bl w:val="nil"/>
            </w:tcBorders>
            <w:vAlign w:val="center"/>
          </w:tcPr>
          <w:p>
            <w:pPr>
              <w:widowControl/>
              <w:adjustRightInd w:val="0"/>
              <w:snapToGrid w:val="0"/>
              <w:jc w:val="center"/>
              <w:rPr>
                <w:color w:val="auto"/>
                <w:kern w:val="0"/>
                <w:szCs w:val="21"/>
              </w:rPr>
            </w:pPr>
            <w:r>
              <w:rPr>
                <w:rFonts w:hint="eastAsia"/>
                <w:color w:val="auto"/>
                <w:szCs w:val="21"/>
              </w:rPr>
              <w:t>+</w:t>
            </w:r>
            <w:r>
              <w:rPr>
                <w:rFonts w:hint="eastAsia"/>
                <w:snapToGrid w:val="0"/>
                <w:color w:val="auto"/>
                <w:kern w:val="21"/>
                <w:szCs w:val="21"/>
              </w:rPr>
              <w:t>16.06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pStyle w:val="53"/>
              <w:spacing w:beforeLines="0" w:afterLines="0" w:line="240" w:lineRule="auto"/>
              <w:jc w:val="both"/>
              <w:rPr>
                <w:rFonts w:ascii="Times New Roman"/>
                <w:snapToGrid w:val="0"/>
                <w:color w:val="auto"/>
                <w:kern w:val="21"/>
                <w:szCs w:val="21"/>
              </w:rPr>
            </w:pPr>
            <w:r>
              <w:rPr>
                <w:rFonts w:hint="eastAsia" w:ascii="Times New Roman"/>
                <w:snapToGrid w:val="0"/>
                <w:color w:val="auto"/>
                <w:kern w:val="21"/>
                <w:szCs w:val="21"/>
                <w:lang w:val="en-US"/>
              </w:rPr>
              <w:t>未污染</w:t>
            </w:r>
            <w:r>
              <w:rPr>
                <w:rFonts w:ascii="Times New Roman"/>
                <w:snapToGrid w:val="0"/>
                <w:color w:val="auto"/>
                <w:kern w:val="21"/>
                <w:szCs w:val="21"/>
              </w:rPr>
              <w:t>输液瓶袋</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rPr>
                <w:bCs/>
                <w:color w:val="auto"/>
                <w:szCs w:val="21"/>
              </w:rPr>
            </w:pPr>
            <w:r>
              <w:rPr>
                <w:rFonts w:hint="eastAsia"/>
                <w:bCs/>
                <w:color w:val="auto"/>
                <w:szCs w:val="21"/>
              </w:rPr>
              <w:t>0.1</w:t>
            </w:r>
          </w:p>
        </w:tc>
        <w:tc>
          <w:tcPr>
            <w:tcW w:w="1761" w:type="dxa"/>
            <w:tcBorders>
              <w:tl2br w:val="nil"/>
              <w:tr2bl w:val="nil"/>
            </w:tcBorders>
            <w:vAlign w:val="center"/>
          </w:tcPr>
          <w:p>
            <w:pPr>
              <w:widowControl/>
              <w:adjustRightInd w:val="0"/>
              <w:snapToGrid w:val="0"/>
              <w:jc w:val="center"/>
              <w:rPr>
                <w:snapToGrid w:val="0"/>
                <w:color w:val="auto"/>
                <w:kern w:val="21"/>
                <w:szCs w:val="21"/>
              </w:rPr>
            </w:pPr>
          </w:p>
        </w:tc>
        <w:tc>
          <w:tcPr>
            <w:tcW w:w="1621" w:type="dxa"/>
            <w:tcBorders>
              <w:tl2br w:val="nil"/>
              <w:tr2bl w:val="nil"/>
            </w:tcBorders>
            <w:vAlign w:val="center"/>
          </w:tcPr>
          <w:p>
            <w:pPr>
              <w:widowControl/>
              <w:adjustRightInd w:val="0"/>
              <w:snapToGrid w:val="0"/>
              <w:jc w:val="center"/>
              <w:rPr>
                <w:bCs/>
                <w:color w:val="auto"/>
                <w:szCs w:val="21"/>
              </w:rPr>
            </w:pPr>
            <w:r>
              <w:rPr>
                <w:rFonts w:hint="eastAsia"/>
                <w:bCs/>
                <w:color w:val="auto"/>
                <w:szCs w:val="21"/>
              </w:rPr>
              <w:t>0.1</w:t>
            </w:r>
          </w:p>
        </w:tc>
        <w:tc>
          <w:tcPr>
            <w:tcW w:w="1618" w:type="dxa"/>
            <w:tcBorders>
              <w:tl2br w:val="nil"/>
              <w:tr2bl w:val="nil"/>
            </w:tcBorders>
            <w:vAlign w:val="center"/>
          </w:tcPr>
          <w:p>
            <w:pPr>
              <w:widowControl/>
              <w:adjustRightInd w:val="0"/>
              <w:snapToGrid w:val="0"/>
              <w:jc w:val="center"/>
              <w:rPr>
                <w:bCs/>
                <w:color w:val="auto"/>
                <w:szCs w:val="21"/>
              </w:rPr>
            </w:pPr>
            <w:r>
              <w:rPr>
                <w:rFonts w:hint="eastAsia"/>
                <w:color w:val="auto"/>
                <w:szCs w:val="21"/>
              </w:rPr>
              <w:t>+</w:t>
            </w:r>
            <w:r>
              <w:rPr>
                <w:rFonts w:hint="eastAsia"/>
                <w:bCs/>
                <w:color w:val="auto"/>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pStyle w:val="53"/>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药品包装盒</w:t>
            </w:r>
          </w:p>
        </w:tc>
        <w:tc>
          <w:tcPr>
            <w:tcW w:w="1437" w:type="dxa"/>
            <w:tcBorders>
              <w:tl2br w:val="nil"/>
              <w:tr2bl w:val="nil"/>
            </w:tcBorders>
            <w:vAlign w:val="center"/>
          </w:tcPr>
          <w:p>
            <w:pPr>
              <w:widowControl/>
              <w:adjustRightInd w:val="0"/>
              <w:snapToGrid w:val="0"/>
              <w:jc w:val="center"/>
              <w:rPr>
                <w:color w:val="auto"/>
                <w:kern w:val="0"/>
                <w:szCs w:val="21"/>
              </w:rPr>
            </w:pPr>
          </w:p>
        </w:tc>
        <w:tc>
          <w:tcPr>
            <w:tcW w:w="1276" w:type="dxa"/>
            <w:tcBorders>
              <w:tl2br w:val="nil"/>
              <w:tr2bl w:val="nil"/>
            </w:tcBorders>
            <w:vAlign w:val="center"/>
          </w:tcPr>
          <w:p>
            <w:pPr>
              <w:widowControl/>
              <w:adjustRightInd w:val="0"/>
              <w:snapToGrid w:val="0"/>
              <w:jc w:val="center"/>
              <w:rPr>
                <w:color w:val="auto"/>
                <w:kern w:val="0"/>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rPr>
                <w:bCs/>
                <w:color w:val="auto"/>
                <w:szCs w:val="21"/>
              </w:rPr>
            </w:pPr>
            <w:r>
              <w:rPr>
                <w:rFonts w:hint="eastAsia"/>
                <w:bCs/>
                <w:color w:val="auto"/>
                <w:szCs w:val="21"/>
              </w:rPr>
              <w:t>0.02</w:t>
            </w:r>
          </w:p>
        </w:tc>
        <w:tc>
          <w:tcPr>
            <w:tcW w:w="1761" w:type="dxa"/>
            <w:tcBorders>
              <w:tl2br w:val="nil"/>
              <w:tr2bl w:val="nil"/>
            </w:tcBorders>
            <w:vAlign w:val="center"/>
          </w:tcPr>
          <w:p>
            <w:pPr>
              <w:widowControl/>
              <w:adjustRightInd w:val="0"/>
              <w:snapToGrid w:val="0"/>
              <w:jc w:val="center"/>
              <w:rPr>
                <w:color w:val="auto"/>
                <w:szCs w:val="21"/>
              </w:rPr>
            </w:pPr>
          </w:p>
        </w:tc>
        <w:tc>
          <w:tcPr>
            <w:tcW w:w="1621" w:type="dxa"/>
            <w:tcBorders>
              <w:tl2br w:val="nil"/>
              <w:tr2bl w:val="nil"/>
            </w:tcBorders>
            <w:vAlign w:val="center"/>
          </w:tcPr>
          <w:p>
            <w:pPr>
              <w:widowControl/>
              <w:adjustRightInd w:val="0"/>
              <w:snapToGrid w:val="0"/>
              <w:jc w:val="center"/>
              <w:rPr>
                <w:bCs/>
                <w:color w:val="auto"/>
                <w:szCs w:val="21"/>
              </w:rPr>
            </w:pPr>
            <w:r>
              <w:rPr>
                <w:rFonts w:hint="eastAsia"/>
                <w:bCs/>
                <w:color w:val="auto"/>
                <w:szCs w:val="21"/>
              </w:rPr>
              <w:t>0.02</w:t>
            </w:r>
          </w:p>
        </w:tc>
        <w:tc>
          <w:tcPr>
            <w:tcW w:w="1618" w:type="dxa"/>
            <w:tcBorders>
              <w:tl2br w:val="nil"/>
              <w:tr2bl w:val="nil"/>
            </w:tcBorders>
            <w:vAlign w:val="center"/>
          </w:tcPr>
          <w:p>
            <w:pPr>
              <w:widowControl/>
              <w:adjustRightInd w:val="0"/>
              <w:snapToGrid w:val="0"/>
              <w:jc w:val="center"/>
              <w:rPr>
                <w:bCs/>
                <w:color w:val="auto"/>
                <w:szCs w:val="21"/>
              </w:rPr>
            </w:pPr>
            <w:r>
              <w:rPr>
                <w:rFonts w:hint="eastAsia"/>
                <w:color w:val="auto"/>
                <w:szCs w:val="21"/>
              </w:rPr>
              <w:t>+</w:t>
            </w:r>
            <w:r>
              <w:rPr>
                <w:rFonts w:hint="eastAsia"/>
                <w:bCs/>
                <w:color w:val="auto"/>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adjustRightInd w:val="0"/>
              <w:snapToGrid w:val="0"/>
              <w:jc w:val="center"/>
              <w:rPr>
                <w:color w:val="auto"/>
                <w:szCs w:val="21"/>
              </w:rPr>
            </w:pPr>
            <w:r>
              <w:rPr>
                <w:color w:val="auto"/>
                <w:szCs w:val="21"/>
              </w:rPr>
              <w:t>医疗废物</w:t>
            </w:r>
          </w:p>
        </w:tc>
        <w:tc>
          <w:tcPr>
            <w:tcW w:w="1437" w:type="dxa"/>
            <w:tcBorders>
              <w:tl2br w:val="nil"/>
              <w:tr2bl w:val="nil"/>
            </w:tcBorders>
            <w:vAlign w:val="center"/>
          </w:tcPr>
          <w:p>
            <w:pPr>
              <w:adjustRightInd w:val="0"/>
              <w:snapToGrid w:val="0"/>
              <w:jc w:val="center"/>
              <w:rPr>
                <w:color w:val="auto"/>
                <w:szCs w:val="21"/>
              </w:rPr>
            </w:pPr>
          </w:p>
        </w:tc>
        <w:tc>
          <w:tcPr>
            <w:tcW w:w="1276" w:type="dxa"/>
            <w:tcBorders>
              <w:tl2br w:val="nil"/>
              <w:tr2bl w:val="nil"/>
            </w:tcBorders>
            <w:vAlign w:val="center"/>
          </w:tcPr>
          <w:p>
            <w:pPr>
              <w:adjustRightInd w:val="0"/>
              <w:snapToGrid w:val="0"/>
              <w:jc w:val="center"/>
              <w:rPr>
                <w:color w:val="auto"/>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rPr>
                <w:color w:val="auto"/>
                <w:kern w:val="0"/>
                <w:szCs w:val="21"/>
              </w:rPr>
            </w:pPr>
            <w:r>
              <w:rPr>
                <w:rFonts w:hint="eastAsia"/>
                <w:snapToGrid w:val="0"/>
                <w:color w:val="auto"/>
                <w:kern w:val="21"/>
                <w:szCs w:val="21"/>
              </w:rPr>
              <w:t>4.372</w:t>
            </w:r>
          </w:p>
        </w:tc>
        <w:tc>
          <w:tcPr>
            <w:tcW w:w="1761" w:type="dxa"/>
            <w:tcBorders>
              <w:tl2br w:val="nil"/>
              <w:tr2bl w:val="nil"/>
            </w:tcBorders>
            <w:vAlign w:val="center"/>
          </w:tcPr>
          <w:p>
            <w:pPr>
              <w:adjustRightInd w:val="0"/>
              <w:snapToGrid w:val="0"/>
              <w:jc w:val="center"/>
              <w:rPr>
                <w:snapToGrid w:val="0"/>
                <w:color w:val="auto"/>
                <w:kern w:val="21"/>
                <w:szCs w:val="21"/>
              </w:rPr>
            </w:pPr>
          </w:p>
        </w:tc>
        <w:tc>
          <w:tcPr>
            <w:tcW w:w="1621" w:type="dxa"/>
            <w:tcBorders>
              <w:tl2br w:val="nil"/>
              <w:tr2bl w:val="nil"/>
            </w:tcBorders>
            <w:vAlign w:val="center"/>
          </w:tcPr>
          <w:p>
            <w:pPr>
              <w:widowControl/>
              <w:adjustRightInd w:val="0"/>
              <w:snapToGrid w:val="0"/>
              <w:jc w:val="center"/>
              <w:rPr>
                <w:snapToGrid w:val="0"/>
                <w:color w:val="auto"/>
                <w:kern w:val="21"/>
                <w:szCs w:val="21"/>
              </w:rPr>
            </w:pPr>
            <w:r>
              <w:rPr>
                <w:rFonts w:hint="eastAsia"/>
                <w:snapToGrid w:val="0"/>
                <w:color w:val="auto"/>
                <w:kern w:val="21"/>
                <w:szCs w:val="21"/>
              </w:rPr>
              <w:t>4.372</w:t>
            </w:r>
          </w:p>
        </w:tc>
        <w:tc>
          <w:tcPr>
            <w:tcW w:w="1618" w:type="dxa"/>
            <w:tcBorders>
              <w:tl2br w:val="nil"/>
              <w:tr2bl w:val="nil"/>
            </w:tcBorders>
            <w:vAlign w:val="center"/>
          </w:tcPr>
          <w:p>
            <w:pPr>
              <w:widowControl/>
              <w:adjustRightInd w:val="0"/>
              <w:snapToGrid w:val="0"/>
              <w:jc w:val="center"/>
              <w:rPr>
                <w:color w:val="auto"/>
                <w:kern w:val="0"/>
                <w:szCs w:val="21"/>
              </w:rPr>
            </w:pPr>
            <w:r>
              <w:rPr>
                <w:rFonts w:hint="eastAsia"/>
                <w:color w:val="auto"/>
                <w:szCs w:val="21"/>
              </w:rPr>
              <w:t>+</w:t>
            </w:r>
            <w:r>
              <w:rPr>
                <w:rFonts w:hint="eastAsia"/>
                <w:snapToGrid w:val="0"/>
                <w:color w:val="auto"/>
                <w:kern w:val="21"/>
                <w:szCs w:val="21"/>
              </w:rPr>
              <w:t>4.372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adjustRightInd w:val="0"/>
              <w:snapToGrid w:val="0"/>
              <w:jc w:val="center"/>
              <w:rPr>
                <w:color w:val="auto"/>
                <w:szCs w:val="21"/>
              </w:rPr>
            </w:pPr>
            <w:r>
              <w:rPr>
                <w:rFonts w:hint="eastAsia"/>
                <w:color w:val="auto"/>
                <w:szCs w:val="21"/>
              </w:rPr>
              <w:t>检验室废液</w:t>
            </w:r>
          </w:p>
        </w:tc>
        <w:tc>
          <w:tcPr>
            <w:tcW w:w="1437" w:type="dxa"/>
            <w:tcBorders>
              <w:tl2br w:val="nil"/>
              <w:tr2bl w:val="nil"/>
            </w:tcBorders>
            <w:vAlign w:val="center"/>
          </w:tcPr>
          <w:p>
            <w:pPr>
              <w:adjustRightInd w:val="0"/>
              <w:snapToGrid w:val="0"/>
              <w:jc w:val="center"/>
              <w:rPr>
                <w:color w:val="auto"/>
                <w:szCs w:val="21"/>
              </w:rPr>
            </w:pPr>
          </w:p>
        </w:tc>
        <w:tc>
          <w:tcPr>
            <w:tcW w:w="1276" w:type="dxa"/>
            <w:tcBorders>
              <w:tl2br w:val="nil"/>
              <w:tr2bl w:val="nil"/>
            </w:tcBorders>
            <w:vAlign w:val="center"/>
          </w:tcPr>
          <w:p>
            <w:pPr>
              <w:adjustRightInd w:val="0"/>
              <w:snapToGrid w:val="0"/>
              <w:jc w:val="center"/>
              <w:rPr>
                <w:color w:val="auto"/>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rPr>
                <w:snapToGrid w:val="0"/>
                <w:color w:val="auto"/>
                <w:kern w:val="21"/>
                <w:szCs w:val="21"/>
              </w:rPr>
            </w:pPr>
            <w:r>
              <w:rPr>
                <w:rFonts w:hint="eastAsia"/>
                <w:color w:val="auto"/>
              </w:rPr>
              <w:t>109.5m</w:t>
            </w:r>
            <w:r>
              <w:rPr>
                <w:rFonts w:hint="eastAsia"/>
                <w:color w:val="auto"/>
                <w:vertAlign w:val="superscript"/>
              </w:rPr>
              <w:t>3</w:t>
            </w:r>
            <w:r>
              <w:rPr>
                <w:rFonts w:hint="eastAsia"/>
                <w:color w:val="auto"/>
              </w:rPr>
              <w:t>/a</w:t>
            </w:r>
          </w:p>
        </w:tc>
        <w:tc>
          <w:tcPr>
            <w:tcW w:w="1761" w:type="dxa"/>
            <w:tcBorders>
              <w:tl2br w:val="nil"/>
              <w:tr2bl w:val="nil"/>
            </w:tcBorders>
            <w:vAlign w:val="center"/>
          </w:tcPr>
          <w:p>
            <w:pPr>
              <w:adjustRightInd w:val="0"/>
              <w:snapToGrid w:val="0"/>
              <w:jc w:val="center"/>
              <w:rPr>
                <w:snapToGrid w:val="0"/>
                <w:color w:val="auto"/>
                <w:kern w:val="21"/>
                <w:szCs w:val="21"/>
              </w:rPr>
            </w:pPr>
          </w:p>
        </w:tc>
        <w:tc>
          <w:tcPr>
            <w:tcW w:w="1621" w:type="dxa"/>
            <w:tcBorders>
              <w:tl2br w:val="nil"/>
              <w:tr2bl w:val="nil"/>
            </w:tcBorders>
            <w:vAlign w:val="center"/>
          </w:tcPr>
          <w:p>
            <w:pPr>
              <w:widowControl/>
              <w:adjustRightInd w:val="0"/>
              <w:snapToGrid w:val="0"/>
              <w:jc w:val="center"/>
              <w:rPr>
                <w:snapToGrid w:val="0"/>
                <w:color w:val="auto"/>
                <w:kern w:val="21"/>
                <w:szCs w:val="21"/>
              </w:rPr>
            </w:pPr>
            <w:r>
              <w:rPr>
                <w:rFonts w:hint="eastAsia"/>
                <w:color w:val="auto"/>
              </w:rPr>
              <w:t>109.5m</w:t>
            </w:r>
            <w:r>
              <w:rPr>
                <w:rFonts w:hint="eastAsia"/>
                <w:color w:val="auto"/>
                <w:vertAlign w:val="superscript"/>
              </w:rPr>
              <w:t>3</w:t>
            </w:r>
            <w:r>
              <w:rPr>
                <w:rFonts w:hint="eastAsia"/>
                <w:color w:val="auto"/>
              </w:rPr>
              <w:t>/a</w:t>
            </w:r>
          </w:p>
        </w:tc>
        <w:tc>
          <w:tcPr>
            <w:tcW w:w="1618" w:type="dxa"/>
            <w:tcBorders>
              <w:tl2br w:val="nil"/>
              <w:tr2bl w:val="nil"/>
            </w:tcBorders>
            <w:vAlign w:val="center"/>
          </w:tcPr>
          <w:p>
            <w:pPr>
              <w:widowControl/>
              <w:adjustRightInd w:val="0"/>
              <w:snapToGrid w:val="0"/>
              <w:jc w:val="center"/>
              <w:rPr>
                <w:color w:val="auto"/>
                <w:kern w:val="0"/>
                <w:szCs w:val="21"/>
                <w:lang w:bidi="ar"/>
              </w:rPr>
            </w:pPr>
            <w:r>
              <w:rPr>
                <w:rFonts w:hint="eastAsia"/>
                <w:color w:val="auto"/>
              </w:rPr>
              <w:t>109.5m</w:t>
            </w:r>
            <w:r>
              <w:rPr>
                <w:rFonts w:hint="eastAsia"/>
                <w:color w:val="auto"/>
                <w:vertAlign w:val="superscript"/>
              </w:rPr>
              <w:t>3</w:t>
            </w:r>
            <w:r>
              <w:rPr>
                <w:rFonts w:hint="eastAsia"/>
                <w:color w:val="auto"/>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9" w:type="dxa"/>
            <w:vMerge w:val="continue"/>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770" w:type="dxa"/>
            <w:tcBorders>
              <w:tl2br w:val="nil"/>
              <w:tr2bl w:val="nil"/>
            </w:tcBorders>
            <w:vAlign w:val="center"/>
          </w:tcPr>
          <w:p>
            <w:pPr>
              <w:adjustRightInd w:val="0"/>
              <w:snapToGrid w:val="0"/>
              <w:jc w:val="center"/>
              <w:rPr>
                <w:color w:val="auto"/>
                <w:szCs w:val="21"/>
              </w:rPr>
            </w:pPr>
            <w:r>
              <w:rPr>
                <w:rFonts w:hint="eastAsia"/>
                <w:color w:val="auto"/>
                <w:szCs w:val="21"/>
              </w:rPr>
              <w:t>水处理</w:t>
            </w:r>
            <w:r>
              <w:rPr>
                <w:color w:val="auto"/>
                <w:szCs w:val="21"/>
              </w:rPr>
              <w:t>污泥</w:t>
            </w:r>
          </w:p>
        </w:tc>
        <w:tc>
          <w:tcPr>
            <w:tcW w:w="1437" w:type="dxa"/>
            <w:tcBorders>
              <w:tl2br w:val="nil"/>
              <w:tr2bl w:val="nil"/>
            </w:tcBorders>
            <w:vAlign w:val="center"/>
          </w:tcPr>
          <w:p>
            <w:pPr>
              <w:adjustRightInd w:val="0"/>
              <w:snapToGrid w:val="0"/>
              <w:jc w:val="center"/>
              <w:rPr>
                <w:color w:val="auto"/>
                <w:szCs w:val="21"/>
              </w:rPr>
            </w:pPr>
          </w:p>
        </w:tc>
        <w:tc>
          <w:tcPr>
            <w:tcW w:w="1276" w:type="dxa"/>
            <w:tcBorders>
              <w:tl2br w:val="nil"/>
              <w:tr2bl w:val="nil"/>
            </w:tcBorders>
            <w:vAlign w:val="center"/>
          </w:tcPr>
          <w:p>
            <w:pPr>
              <w:adjustRightInd w:val="0"/>
              <w:snapToGrid w:val="0"/>
              <w:jc w:val="center"/>
              <w:rPr>
                <w:color w:val="auto"/>
                <w:szCs w:val="21"/>
              </w:rPr>
            </w:pPr>
          </w:p>
        </w:tc>
        <w:tc>
          <w:tcPr>
            <w:tcW w:w="1701" w:type="dxa"/>
            <w:tcBorders>
              <w:tl2br w:val="nil"/>
              <w:tr2bl w:val="nil"/>
            </w:tcBorders>
            <w:vAlign w:val="center"/>
          </w:tcPr>
          <w:p>
            <w:pPr>
              <w:pStyle w:val="53"/>
              <w:spacing w:beforeLines="0" w:afterLines="0" w:line="240" w:lineRule="auto"/>
              <w:rPr>
                <w:rFonts w:ascii="Times New Roman"/>
                <w:snapToGrid w:val="0"/>
                <w:color w:val="auto"/>
                <w:kern w:val="21"/>
                <w:szCs w:val="21"/>
              </w:rPr>
            </w:pPr>
          </w:p>
        </w:tc>
        <w:tc>
          <w:tcPr>
            <w:tcW w:w="1559" w:type="dxa"/>
            <w:tcBorders>
              <w:tl2br w:val="nil"/>
              <w:tr2bl w:val="nil"/>
            </w:tcBorders>
            <w:vAlign w:val="center"/>
          </w:tcPr>
          <w:p>
            <w:pPr>
              <w:widowControl/>
              <w:adjustRightInd w:val="0"/>
              <w:snapToGrid w:val="0"/>
              <w:jc w:val="center"/>
              <w:rPr>
                <w:color w:val="auto"/>
                <w:kern w:val="0"/>
                <w:szCs w:val="21"/>
              </w:rPr>
            </w:pPr>
            <w:r>
              <w:rPr>
                <w:rFonts w:hint="eastAsia"/>
                <w:snapToGrid w:val="0"/>
                <w:color w:val="auto"/>
                <w:kern w:val="21"/>
                <w:szCs w:val="21"/>
              </w:rPr>
              <w:t>7.052</w:t>
            </w:r>
          </w:p>
        </w:tc>
        <w:tc>
          <w:tcPr>
            <w:tcW w:w="1761" w:type="dxa"/>
            <w:tcBorders>
              <w:tl2br w:val="nil"/>
              <w:tr2bl w:val="nil"/>
            </w:tcBorders>
            <w:vAlign w:val="center"/>
          </w:tcPr>
          <w:p>
            <w:pPr>
              <w:adjustRightInd w:val="0"/>
              <w:snapToGrid w:val="0"/>
              <w:jc w:val="center"/>
              <w:rPr>
                <w:snapToGrid w:val="0"/>
                <w:color w:val="auto"/>
                <w:kern w:val="21"/>
                <w:szCs w:val="21"/>
              </w:rPr>
            </w:pPr>
          </w:p>
        </w:tc>
        <w:tc>
          <w:tcPr>
            <w:tcW w:w="1621" w:type="dxa"/>
            <w:tcBorders>
              <w:tl2br w:val="nil"/>
              <w:tr2bl w:val="nil"/>
            </w:tcBorders>
            <w:vAlign w:val="center"/>
          </w:tcPr>
          <w:p>
            <w:pPr>
              <w:widowControl/>
              <w:adjustRightInd w:val="0"/>
              <w:snapToGrid w:val="0"/>
              <w:jc w:val="center"/>
              <w:rPr>
                <w:snapToGrid w:val="0"/>
                <w:color w:val="auto"/>
                <w:kern w:val="21"/>
                <w:szCs w:val="21"/>
              </w:rPr>
            </w:pPr>
            <w:r>
              <w:rPr>
                <w:rFonts w:hint="eastAsia"/>
                <w:snapToGrid w:val="0"/>
                <w:color w:val="auto"/>
                <w:kern w:val="21"/>
                <w:szCs w:val="21"/>
              </w:rPr>
              <w:t>7.052</w:t>
            </w:r>
          </w:p>
        </w:tc>
        <w:tc>
          <w:tcPr>
            <w:tcW w:w="1618" w:type="dxa"/>
            <w:tcBorders>
              <w:tl2br w:val="nil"/>
              <w:tr2bl w:val="nil"/>
            </w:tcBorders>
            <w:vAlign w:val="center"/>
          </w:tcPr>
          <w:p>
            <w:pPr>
              <w:widowControl/>
              <w:adjustRightInd w:val="0"/>
              <w:snapToGrid w:val="0"/>
              <w:jc w:val="center"/>
              <w:rPr>
                <w:color w:val="auto"/>
                <w:kern w:val="0"/>
                <w:szCs w:val="21"/>
              </w:rPr>
            </w:pPr>
            <w:r>
              <w:rPr>
                <w:rFonts w:hint="eastAsia"/>
                <w:color w:val="auto"/>
                <w:szCs w:val="21"/>
              </w:rPr>
              <w:t>+</w:t>
            </w:r>
            <w:r>
              <w:rPr>
                <w:rFonts w:hint="eastAsia"/>
                <w:snapToGrid w:val="0"/>
                <w:color w:val="auto"/>
                <w:kern w:val="21"/>
                <w:szCs w:val="21"/>
              </w:rPr>
              <w:t>7.052</w:t>
            </w:r>
          </w:p>
        </w:tc>
      </w:tr>
    </w:tbl>
    <w:p>
      <w:pPr>
        <w:pStyle w:val="53"/>
        <w:spacing w:before="192" w:beforeLines="80" w:after="24"/>
        <w:jc w:val="left"/>
        <w:rPr>
          <w:rFonts w:ascii="Times New Roman"/>
          <w:color w:val="auto"/>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ascii="Times New Roman"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①</w:t>
      </w:r>
      <w:r>
        <w:rPr>
          <w:rFonts w:ascii="Times New Roman"/>
          <w:snapToGrid w:val="0"/>
          <w:color w:val="auto"/>
          <w:spacing w:val="-6"/>
          <w:kern w:val="21"/>
          <w:szCs w:val="21"/>
        </w:rPr>
        <w:fldChar w:fldCharType="end"/>
      </w:r>
    </w:p>
    <w:p>
      <w:pPr>
        <w:pStyle w:val="29"/>
        <w:ind w:left="67" w:firstLine="0"/>
        <w:rPr>
          <w:color w:val="000000" w:themeColor="text1"/>
          <w:sz w:val="30"/>
          <w:szCs w:val="30"/>
          <w14:textFill>
            <w14:solidFill>
              <w14:schemeClr w14:val="tx1"/>
            </w14:solidFill>
          </w14:textFill>
        </w:rPr>
      </w:pPr>
    </w:p>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00007A87" w:usb1="80000000" w:usb2="00000008"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长城仿宋体">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新宋体">
    <w:altName w:val="方正书宋_GBK"/>
    <w:panose1 w:val="02010609030101010101"/>
    <w:charset w:val="86"/>
    <w:family w:val="modern"/>
    <w:pitch w:val="default"/>
    <w:sig w:usb0="00000000" w:usb1="0000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方正楷体_GBK">
    <w:panose1 w:val="02000000000000000000"/>
    <w:charset w:val="86"/>
    <w:family w:val="auto"/>
    <w:pitch w:val="default"/>
    <w:sig w:usb0="00000001" w:usb1="08000000" w:usb2="00000000" w:usb3="00000000" w:csb0="00040000" w:csb1="00000000"/>
  </w:font>
  <w:font w:name="MS UI Gothic">
    <w:altName w:val="方正书宋_GBK"/>
    <w:panose1 w:val="020B0600070205080204"/>
    <w:charset w:val="80"/>
    <w:family w:val="swiss"/>
    <w:pitch w:val="default"/>
    <w:sig w:usb0="00000000" w:usb1="00000000" w:usb2="08000012" w:usb3="00000000" w:csb0="4002009F" w:csb1="DFD70000"/>
  </w:font>
  <w:font w:name="Helvetica">
    <w:altName w:val="Liberation Sans"/>
    <w:panose1 w:val="020B0604020202030204"/>
    <w:charset w:val="00"/>
    <w:family w:val="auto"/>
    <w:pitch w:val="default"/>
    <w:sig w:usb0="00000000" w:usb1="00000000" w:usb2="00000000" w:usb3="00000000" w:csb0="00000093" w:csb1="00000000"/>
  </w:font>
  <w:font w:name="Liberation Sans">
    <w:panose1 w:val="020B0604020202020204"/>
    <w:charset w:val="00"/>
    <w:family w:val="auto"/>
    <w:pitch w:val="default"/>
    <w:sig w:usb0="A00002AF" w:usb1="500078FB" w:usb2="00000000" w:usb3="00000000" w:csb0="6000009F" w:csb1="DFD70000"/>
  </w:font>
  <w:font w:name="Bold">
    <w:altName w:val="微软雅黑"/>
    <w:panose1 w:val="00000000000000000000"/>
    <w:charset w:val="00"/>
    <w:family w:val="auto"/>
    <w:pitch w:val="default"/>
    <w:sig w:usb0="00000000" w:usb1="00000000" w:usb2="00000000" w:usb3="00000000" w:csb0="00040001" w:csb1="00000000"/>
  </w:font>
  <w:font w:name="TimesNewRomanPS-BoldMT">
    <w:altName w:val="微软雅黑"/>
    <w:panose1 w:val="00000000000000000000"/>
    <w:charset w:val="00"/>
    <w:family w:val="auto"/>
    <w:pitch w:val="default"/>
    <w:sig w:usb0="00000000" w:usb1="00000000" w:usb2="00000000" w:usb3="00000000" w:csb0="00040001" w:csb1="0000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7"/>
      </w:rPr>
    </w:pPr>
    <w:r>
      <w:fldChar w:fldCharType="begin"/>
    </w:r>
    <w:r>
      <w:rPr>
        <w:rStyle w:val="27"/>
      </w:rPr>
      <w:instrText xml:space="preserve">PAGE  </w:instrText>
    </w:r>
    <w:r>
      <w:fldChar w:fldCharType="separate"/>
    </w:r>
    <w:r>
      <w:rPr>
        <w:rStyle w:val="27"/>
      </w:rPr>
      <w:t>3</w: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3dcMKg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1861C4"/>
    <w:multiLevelType w:val="multilevel"/>
    <w:tmpl w:val="2E1861C4"/>
    <w:lvl w:ilvl="0" w:tentative="0">
      <w:start w:val="1"/>
      <w:numFmt w:val="chineseCounting"/>
      <w:pStyle w:val="31"/>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4535EF29"/>
    <w:multiLevelType w:val="singleLevel"/>
    <w:tmpl w:val="4535EF29"/>
    <w:lvl w:ilvl="0" w:tentative="0">
      <w:start w:val="1"/>
      <w:numFmt w:val="chineseCounting"/>
      <w:pStyle w:val="46"/>
      <w:suff w:val="nothing"/>
      <w:lvlText w:val="%1、"/>
      <w:lvlJc w:val="left"/>
      <w:pPr>
        <w:tabs>
          <w:tab w:val="left" w:pos="0"/>
        </w:tabs>
      </w:pPr>
      <w:rPr>
        <w:rFonts w:hint="eastAsia"/>
      </w:rPr>
    </w:lvl>
  </w:abstractNum>
  <w:abstractNum w:abstractNumId="2">
    <w:nsid w:val="5F70744B"/>
    <w:multiLevelType w:val="singleLevel"/>
    <w:tmpl w:val="5F70744B"/>
    <w:lvl w:ilvl="0" w:tentative="0">
      <w:start w:val="1"/>
      <w:numFmt w:val="chineseCounting"/>
      <w:suff w:val="nothing"/>
      <w:lvlText w:val="%1、"/>
      <w:lvlJc w:val="left"/>
      <w:pPr>
        <w:ind w:left="2310" w:firstLine="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wYzRmNTE3ZDFkOGNlNjEzM2ZhODc3MGE3MmUwMDIifQ=="/>
  </w:docVars>
  <w:rsids>
    <w:rsidRoot w:val="10FF4BCE"/>
    <w:rsid w:val="001B7993"/>
    <w:rsid w:val="0032058B"/>
    <w:rsid w:val="00B14F25"/>
    <w:rsid w:val="00CC0711"/>
    <w:rsid w:val="00E4544F"/>
    <w:rsid w:val="00F27441"/>
    <w:rsid w:val="015055BB"/>
    <w:rsid w:val="01761E20"/>
    <w:rsid w:val="01DD0AFC"/>
    <w:rsid w:val="02005B8D"/>
    <w:rsid w:val="036C5C5C"/>
    <w:rsid w:val="04564DC5"/>
    <w:rsid w:val="04F512AE"/>
    <w:rsid w:val="05031C1C"/>
    <w:rsid w:val="0544205D"/>
    <w:rsid w:val="05790131"/>
    <w:rsid w:val="06177146"/>
    <w:rsid w:val="06B331CE"/>
    <w:rsid w:val="07506B19"/>
    <w:rsid w:val="07AF1BE8"/>
    <w:rsid w:val="07F97307"/>
    <w:rsid w:val="08B140CE"/>
    <w:rsid w:val="0A03621B"/>
    <w:rsid w:val="0A5571CA"/>
    <w:rsid w:val="0B095AB3"/>
    <w:rsid w:val="0B510818"/>
    <w:rsid w:val="0B554854"/>
    <w:rsid w:val="0BB91287"/>
    <w:rsid w:val="0BFC73C5"/>
    <w:rsid w:val="0CD45C4C"/>
    <w:rsid w:val="0D366907"/>
    <w:rsid w:val="0E250E55"/>
    <w:rsid w:val="0FC4644C"/>
    <w:rsid w:val="0FCE1079"/>
    <w:rsid w:val="103F3D25"/>
    <w:rsid w:val="10FF4BCE"/>
    <w:rsid w:val="11146F5F"/>
    <w:rsid w:val="11A34B4E"/>
    <w:rsid w:val="11AB32A7"/>
    <w:rsid w:val="11AC53EA"/>
    <w:rsid w:val="12575356"/>
    <w:rsid w:val="128819B3"/>
    <w:rsid w:val="12B26B79"/>
    <w:rsid w:val="12D20E80"/>
    <w:rsid w:val="13BB1914"/>
    <w:rsid w:val="144B2E0A"/>
    <w:rsid w:val="15007C48"/>
    <w:rsid w:val="150A4901"/>
    <w:rsid w:val="15804BC3"/>
    <w:rsid w:val="15AE7982"/>
    <w:rsid w:val="15B758A1"/>
    <w:rsid w:val="16A563EE"/>
    <w:rsid w:val="1B2F50C2"/>
    <w:rsid w:val="1B4208FE"/>
    <w:rsid w:val="1B617245"/>
    <w:rsid w:val="1BA57132"/>
    <w:rsid w:val="1C420E24"/>
    <w:rsid w:val="1C572D49"/>
    <w:rsid w:val="1D3970C1"/>
    <w:rsid w:val="1E075E82"/>
    <w:rsid w:val="1E6C5D22"/>
    <w:rsid w:val="1F503858"/>
    <w:rsid w:val="2091237A"/>
    <w:rsid w:val="21CD73E2"/>
    <w:rsid w:val="22027DC5"/>
    <w:rsid w:val="224B5118"/>
    <w:rsid w:val="23520A80"/>
    <w:rsid w:val="23DA08D1"/>
    <w:rsid w:val="25007ACF"/>
    <w:rsid w:val="25C74149"/>
    <w:rsid w:val="2628108B"/>
    <w:rsid w:val="268C2AAA"/>
    <w:rsid w:val="26D606A9"/>
    <w:rsid w:val="27B8643F"/>
    <w:rsid w:val="27F76F67"/>
    <w:rsid w:val="286752DE"/>
    <w:rsid w:val="28717A06"/>
    <w:rsid w:val="288B3B53"/>
    <w:rsid w:val="28DB0387"/>
    <w:rsid w:val="28EA2628"/>
    <w:rsid w:val="291E240B"/>
    <w:rsid w:val="29D27900"/>
    <w:rsid w:val="2A5266D7"/>
    <w:rsid w:val="2ACB1BBD"/>
    <w:rsid w:val="2AE337D3"/>
    <w:rsid w:val="2B9C6133"/>
    <w:rsid w:val="2C4209CD"/>
    <w:rsid w:val="2D350074"/>
    <w:rsid w:val="2DB92430"/>
    <w:rsid w:val="2E905A1F"/>
    <w:rsid w:val="2ED6277B"/>
    <w:rsid w:val="2FE9188B"/>
    <w:rsid w:val="308415B4"/>
    <w:rsid w:val="318B24CE"/>
    <w:rsid w:val="31981FA5"/>
    <w:rsid w:val="31AB7A4D"/>
    <w:rsid w:val="320F1351"/>
    <w:rsid w:val="3268280F"/>
    <w:rsid w:val="32780CA4"/>
    <w:rsid w:val="33A65CE5"/>
    <w:rsid w:val="33FE3424"/>
    <w:rsid w:val="34FD7B87"/>
    <w:rsid w:val="35074561"/>
    <w:rsid w:val="350E2CCA"/>
    <w:rsid w:val="355B41A1"/>
    <w:rsid w:val="36A54032"/>
    <w:rsid w:val="375A306E"/>
    <w:rsid w:val="37E82428"/>
    <w:rsid w:val="388A594F"/>
    <w:rsid w:val="390A63CE"/>
    <w:rsid w:val="39137979"/>
    <w:rsid w:val="39CF6429"/>
    <w:rsid w:val="39F8119A"/>
    <w:rsid w:val="3A306308"/>
    <w:rsid w:val="3B3F3D8B"/>
    <w:rsid w:val="3B4B7951"/>
    <w:rsid w:val="3C442D83"/>
    <w:rsid w:val="3D22018A"/>
    <w:rsid w:val="3FCE631F"/>
    <w:rsid w:val="3FDB6D16"/>
    <w:rsid w:val="401F6C03"/>
    <w:rsid w:val="4037219F"/>
    <w:rsid w:val="40721429"/>
    <w:rsid w:val="40D45C40"/>
    <w:rsid w:val="40EC510F"/>
    <w:rsid w:val="41263FC1"/>
    <w:rsid w:val="426E3E72"/>
    <w:rsid w:val="42813BA5"/>
    <w:rsid w:val="42B80A2C"/>
    <w:rsid w:val="42CD3C79"/>
    <w:rsid w:val="43210EE4"/>
    <w:rsid w:val="435F4220"/>
    <w:rsid w:val="43972F54"/>
    <w:rsid w:val="44557097"/>
    <w:rsid w:val="4542194F"/>
    <w:rsid w:val="45BB48AE"/>
    <w:rsid w:val="45D65FB6"/>
    <w:rsid w:val="471C3E9C"/>
    <w:rsid w:val="47BC1D6B"/>
    <w:rsid w:val="48393D24"/>
    <w:rsid w:val="485964BB"/>
    <w:rsid w:val="48E94252"/>
    <w:rsid w:val="4A7E3557"/>
    <w:rsid w:val="4B517E8D"/>
    <w:rsid w:val="4B837F14"/>
    <w:rsid w:val="4CE93812"/>
    <w:rsid w:val="4D5D520F"/>
    <w:rsid w:val="4DA846DC"/>
    <w:rsid w:val="4EE07EA5"/>
    <w:rsid w:val="4F304989"/>
    <w:rsid w:val="4F5543EF"/>
    <w:rsid w:val="4FB37368"/>
    <w:rsid w:val="4FCB46B2"/>
    <w:rsid w:val="50DF6D06"/>
    <w:rsid w:val="50E7551B"/>
    <w:rsid w:val="50FB0FC7"/>
    <w:rsid w:val="519136D9"/>
    <w:rsid w:val="549F610D"/>
    <w:rsid w:val="55DC78AE"/>
    <w:rsid w:val="56FC02FD"/>
    <w:rsid w:val="57FE0D79"/>
    <w:rsid w:val="580E7831"/>
    <w:rsid w:val="591C7D2C"/>
    <w:rsid w:val="593F3A1A"/>
    <w:rsid w:val="5CA16EC6"/>
    <w:rsid w:val="5CB92E03"/>
    <w:rsid w:val="5CBB785C"/>
    <w:rsid w:val="5CD808BE"/>
    <w:rsid w:val="5D26561D"/>
    <w:rsid w:val="5D531F37"/>
    <w:rsid w:val="5DE11544"/>
    <w:rsid w:val="5E0D2339"/>
    <w:rsid w:val="5E2F22B0"/>
    <w:rsid w:val="5F17346F"/>
    <w:rsid w:val="5F423E67"/>
    <w:rsid w:val="5F9654CE"/>
    <w:rsid w:val="614442C4"/>
    <w:rsid w:val="62A80882"/>
    <w:rsid w:val="62AF7E63"/>
    <w:rsid w:val="62DD7453"/>
    <w:rsid w:val="63936E3D"/>
    <w:rsid w:val="64306D81"/>
    <w:rsid w:val="65896749"/>
    <w:rsid w:val="65C6174B"/>
    <w:rsid w:val="65E5173B"/>
    <w:rsid w:val="661324B7"/>
    <w:rsid w:val="66A27BCC"/>
    <w:rsid w:val="683230C8"/>
    <w:rsid w:val="68660FC4"/>
    <w:rsid w:val="68B0223F"/>
    <w:rsid w:val="690D7691"/>
    <w:rsid w:val="6A1C4030"/>
    <w:rsid w:val="6A7259FE"/>
    <w:rsid w:val="6B3D425E"/>
    <w:rsid w:val="6B5B2936"/>
    <w:rsid w:val="6BB71492"/>
    <w:rsid w:val="6BEA43F5"/>
    <w:rsid w:val="6D457932"/>
    <w:rsid w:val="6D5E495F"/>
    <w:rsid w:val="6ECD3B4B"/>
    <w:rsid w:val="6F3A7E3C"/>
    <w:rsid w:val="709561C1"/>
    <w:rsid w:val="70ED2282"/>
    <w:rsid w:val="70F5482A"/>
    <w:rsid w:val="713364AB"/>
    <w:rsid w:val="726843A1"/>
    <w:rsid w:val="73012015"/>
    <w:rsid w:val="73C17C15"/>
    <w:rsid w:val="73DB4AB7"/>
    <w:rsid w:val="74674019"/>
    <w:rsid w:val="77707769"/>
    <w:rsid w:val="793B7903"/>
    <w:rsid w:val="79D57D57"/>
    <w:rsid w:val="7A1E0F7C"/>
    <w:rsid w:val="7A805F15"/>
    <w:rsid w:val="7AF406B1"/>
    <w:rsid w:val="7CA659DB"/>
    <w:rsid w:val="7D690EE2"/>
    <w:rsid w:val="7E491F05"/>
    <w:rsid w:val="BDAF3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jc w:val="center"/>
      <w:outlineLvl w:val="0"/>
    </w:pPr>
    <w:rPr>
      <w:b/>
      <w:kern w:val="44"/>
      <w:sz w:val="30"/>
    </w:rPr>
  </w:style>
  <w:style w:type="paragraph" w:styleId="3">
    <w:name w:val="heading 2"/>
    <w:basedOn w:val="1"/>
    <w:next w:val="1"/>
    <w:qFormat/>
    <w:uiPriority w:val="1"/>
    <w:pPr>
      <w:numPr>
        <w:ilvl w:val="1"/>
        <w:numId w:val="1"/>
      </w:numPr>
      <w:outlineLvl w:val="1"/>
    </w:pPr>
    <w:rPr>
      <w:rFonts w:ascii="宋体" w:hAnsi="宋体" w:cs="宋体"/>
      <w:b/>
      <w:bCs/>
      <w:sz w:val="24"/>
      <w:lang w:val="zh-CN" w:bidi="zh-CN"/>
    </w:rPr>
  </w:style>
  <w:style w:type="paragraph" w:styleId="4">
    <w:name w:val="heading 3"/>
    <w:basedOn w:val="1"/>
    <w:next w:val="5"/>
    <w:qFormat/>
    <w:uiPriority w:val="0"/>
    <w:pPr>
      <w:keepNext/>
      <w:numPr>
        <w:ilvl w:val="2"/>
        <w:numId w:val="1"/>
      </w:numPr>
      <w:spacing w:line="280" w:lineRule="exact"/>
      <w:jc w:val="center"/>
      <w:outlineLvl w:val="2"/>
    </w:pPr>
    <w:rPr>
      <w:rFonts w:ascii="长城仿宋体" w:eastAsia="长城仿宋体"/>
      <w:b/>
      <w:bCs/>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rPr>
      <w:szCs w:val="20"/>
    </w:rPr>
  </w:style>
  <w:style w:type="paragraph" w:styleId="7">
    <w:name w:val="annotation text"/>
    <w:basedOn w:val="1"/>
    <w:qFormat/>
    <w:uiPriority w:val="0"/>
    <w:pPr>
      <w:jc w:val="left"/>
    </w:pPr>
  </w:style>
  <w:style w:type="paragraph" w:styleId="8">
    <w:name w:val="Body Text"/>
    <w:basedOn w:val="1"/>
    <w:next w:val="1"/>
    <w:qFormat/>
    <w:uiPriority w:val="0"/>
    <w:pPr>
      <w:widowControl/>
      <w:adjustRightInd w:val="0"/>
      <w:snapToGrid w:val="0"/>
      <w:spacing w:line="360" w:lineRule="auto"/>
      <w:ind w:firstLine="720" w:firstLineChars="200"/>
    </w:pPr>
    <w:rPr>
      <w:kern w:val="0"/>
      <w:szCs w:val="20"/>
    </w:rPr>
  </w:style>
  <w:style w:type="paragraph" w:styleId="9">
    <w:name w:val="Body Text Indent"/>
    <w:basedOn w:val="1"/>
    <w:next w:val="8"/>
    <w:qFormat/>
    <w:uiPriority w:val="0"/>
    <w:pPr>
      <w:spacing w:after="120"/>
      <w:ind w:left="420" w:leftChars="200"/>
    </w:pPr>
    <w:rPr>
      <w:kern w:val="0"/>
      <w:sz w:val="24"/>
      <w:szCs w:val="20"/>
    </w:rPr>
  </w:style>
  <w:style w:type="paragraph" w:styleId="10">
    <w:name w:val="toc 3"/>
    <w:basedOn w:val="1"/>
    <w:next w:val="1"/>
    <w:qFormat/>
    <w:uiPriority w:val="0"/>
    <w:pPr>
      <w:ind w:left="840" w:leftChars="400"/>
    </w:pPr>
  </w:style>
  <w:style w:type="paragraph" w:styleId="11">
    <w:name w:val="Plain Text"/>
    <w:basedOn w:val="1"/>
    <w:next w:val="1"/>
    <w:qFormat/>
    <w:uiPriority w:val="0"/>
    <w:rPr>
      <w:rFonts w:ascii="宋体" w:hAnsi="Courier New"/>
    </w:rPr>
  </w:style>
  <w:style w:type="paragraph" w:styleId="12">
    <w:name w:val="Body Text Indent 2"/>
    <w:basedOn w:val="1"/>
    <w:next w:val="1"/>
    <w:qFormat/>
    <w:uiPriority w:val="0"/>
    <w:pPr>
      <w:spacing w:after="120" w:line="480" w:lineRule="auto"/>
      <w:ind w:left="420" w:leftChars="200"/>
    </w:pPr>
  </w:style>
  <w:style w:type="paragraph" w:styleId="13">
    <w:name w:val="footer"/>
    <w:basedOn w:val="1"/>
    <w:next w:val="1"/>
    <w:qFormat/>
    <w:uiPriority w:val="99"/>
    <w:pPr>
      <w:tabs>
        <w:tab w:val="center" w:pos="4153"/>
        <w:tab w:val="right" w:pos="8306"/>
      </w:tabs>
      <w:snapToGrid w:val="0"/>
      <w:jc w:val="left"/>
    </w:pPr>
    <w:rPr>
      <w:kern w:val="0"/>
      <w:sz w:val="18"/>
      <w:szCs w:val="20"/>
    </w:rPr>
  </w:style>
  <w:style w:type="paragraph" w:styleId="14">
    <w:name w:val="header"/>
    <w:basedOn w:val="1"/>
    <w:next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5">
    <w:name w:val="样式5"/>
    <w:basedOn w:val="8"/>
    <w:qFormat/>
    <w:uiPriority w:val="0"/>
    <w:pPr>
      <w:spacing w:line="440" w:lineRule="exact"/>
      <w:ind w:firstLine="200"/>
    </w:pPr>
    <w:rPr>
      <w:rFonts w:ascii="Arial" w:hAnsi="Arial"/>
    </w:rPr>
  </w:style>
  <w:style w:type="paragraph" w:styleId="16">
    <w:name w:val="toc 1"/>
    <w:basedOn w:val="1"/>
    <w:next w:val="1"/>
    <w:qFormat/>
    <w:uiPriority w:val="0"/>
  </w:style>
  <w:style w:type="paragraph" w:styleId="17">
    <w:name w:val="List"/>
    <w:basedOn w:val="1"/>
    <w:qFormat/>
    <w:uiPriority w:val="0"/>
    <w:pPr>
      <w:widowControl/>
      <w:overflowPunct w:val="0"/>
      <w:autoSpaceDE w:val="0"/>
      <w:autoSpaceDN w:val="0"/>
      <w:adjustRightInd w:val="0"/>
      <w:spacing w:line="360" w:lineRule="auto"/>
      <w:jc w:val="center"/>
      <w:textAlignment w:val="baseline"/>
    </w:pPr>
    <w:rPr>
      <w:kern w:val="0"/>
      <w:lang w:val="en-GB"/>
    </w:rPr>
  </w:style>
  <w:style w:type="paragraph" w:styleId="18">
    <w:name w:val="table of figures"/>
    <w:basedOn w:val="1"/>
    <w:next w:val="1"/>
    <w:qFormat/>
    <w:uiPriority w:val="0"/>
    <w:pPr>
      <w:ind w:left="200" w:leftChars="200" w:hanging="200" w:hangingChars="200"/>
    </w:pPr>
  </w:style>
  <w:style w:type="paragraph" w:styleId="19">
    <w:name w:val="toc 2"/>
    <w:basedOn w:val="1"/>
    <w:next w:val="1"/>
    <w:qFormat/>
    <w:uiPriority w:val="0"/>
    <w:pPr>
      <w:ind w:left="420" w:leftChars="200"/>
    </w:pPr>
  </w:style>
  <w:style w:type="paragraph" w:styleId="20">
    <w:name w:val="Normal (Web)"/>
    <w:basedOn w:val="1"/>
    <w:qFormat/>
    <w:uiPriority w:val="0"/>
    <w:pPr>
      <w:spacing w:before="100" w:beforeAutospacing="1" w:after="100" w:afterAutospacing="1"/>
      <w:jc w:val="left"/>
    </w:pPr>
    <w:rPr>
      <w:kern w:val="0"/>
      <w:sz w:val="24"/>
    </w:rPr>
  </w:style>
  <w:style w:type="paragraph" w:styleId="21">
    <w:name w:val="Body Text First Indent"/>
    <w:basedOn w:val="8"/>
    <w:next w:val="1"/>
    <w:qFormat/>
    <w:uiPriority w:val="0"/>
    <w:pPr>
      <w:ind w:firstLine="420" w:firstLineChars="100"/>
    </w:pPr>
  </w:style>
  <w:style w:type="paragraph" w:styleId="22">
    <w:name w:val="Body Text First Indent 2"/>
    <w:basedOn w:val="9"/>
    <w:next w:val="21"/>
    <w:qFormat/>
    <w:uiPriority w:val="0"/>
    <w:pPr>
      <w:ind w:firstLine="420" w:firstLineChars="200"/>
    </w:pPr>
    <w:rPr>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qFormat/>
    <w:uiPriority w:val="0"/>
  </w:style>
  <w:style w:type="paragraph" w:customStyle="1" w:styleId="28">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customStyle="1" w:styleId="29">
    <w:name w:val="样式 正文文本缩进 + 行距: 1.5 倍行距"/>
    <w:basedOn w:val="9"/>
    <w:qFormat/>
    <w:uiPriority w:val="99"/>
    <w:pPr>
      <w:ind w:left="90" w:leftChars="32" w:firstLine="560"/>
    </w:pPr>
    <w:rPr>
      <w:rFonts w:cs="宋体"/>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标题一，黑体，小三"/>
    <w:qFormat/>
    <w:uiPriority w:val="0"/>
    <w:pPr>
      <w:keepNext/>
      <w:numPr>
        <w:ilvl w:val="0"/>
        <w:numId w:val="1"/>
      </w:numPr>
      <w:jc w:val="center"/>
      <w:outlineLvl w:val="0"/>
    </w:pPr>
    <w:rPr>
      <w:rFonts w:ascii="Times New Roman" w:hAnsi="Times New Roman" w:eastAsia="黑体" w:cs="黑体"/>
      <w:sz w:val="30"/>
      <w:szCs w:val="30"/>
      <w:lang w:val="en-US" w:eastAsia="zh-CN" w:bidi="ar-SA"/>
    </w:rPr>
  </w:style>
  <w:style w:type="character" w:customStyle="1" w:styleId="32">
    <w:name w:val="font11"/>
    <w:basedOn w:val="25"/>
    <w:qFormat/>
    <w:uiPriority w:val="0"/>
    <w:rPr>
      <w:rFonts w:hint="default" w:ascii="Wingdings" w:hAnsi="Wingdings" w:cs="Wingdings"/>
      <w:color w:val="000000"/>
      <w:sz w:val="22"/>
      <w:szCs w:val="22"/>
      <w:u w:val="none"/>
    </w:rPr>
  </w:style>
  <w:style w:type="character" w:customStyle="1" w:styleId="33">
    <w:name w:val="font01"/>
    <w:basedOn w:val="25"/>
    <w:qFormat/>
    <w:uiPriority w:val="0"/>
    <w:rPr>
      <w:rFonts w:hint="eastAsia" w:ascii="宋体" w:hAnsi="宋体" w:eastAsia="宋体" w:cs="宋体"/>
      <w:color w:val="000000"/>
      <w:sz w:val="22"/>
      <w:szCs w:val="22"/>
      <w:u w:val="none"/>
    </w:rPr>
  </w:style>
  <w:style w:type="character" w:customStyle="1" w:styleId="34">
    <w:name w:val="font31"/>
    <w:basedOn w:val="25"/>
    <w:qFormat/>
    <w:uiPriority w:val="0"/>
    <w:rPr>
      <w:rFonts w:hint="default" w:ascii="Wingdings" w:hAnsi="Wingdings" w:cs="Wingdings"/>
      <w:color w:val="000000"/>
      <w:sz w:val="22"/>
      <w:szCs w:val="22"/>
      <w:u w:val="none"/>
    </w:rPr>
  </w:style>
  <w:style w:type="paragraph" w:customStyle="1" w:styleId="35">
    <w:name w:val="Default"/>
    <w:basedOn w:val="36"/>
    <w:next w:val="13"/>
    <w:qFormat/>
    <w:uiPriority w:val="0"/>
    <w:pPr>
      <w:autoSpaceDE w:val="0"/>
      <w:autoSpaceDN w:val="0"/>
      <w:adjustRightInd w:val="0"/>
    </w:pPr>
    <w:rPr>
      <w:rFonts w:ascii="宋体" w:hAnsi="Calibri" w:cs="宋体"/>
      <w:sz w:val="24"/>
    </w:rPr>
  </w:style>
  <w:style w:type="paragraph" w:customStyle="1" w:styleId="3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table" w:customStyle="1" w:styleId="37">
    <w:name w:val="Table Normal"/>
    <w:unhideWhenUsed/>
    <w:qFormat/>
    <w:uiPriority w:val="0"/>
    <w:tblPr>
      <w:tblCellMar>
        <w:top w:w="0" w:type="dxa"/>
        <w:left w:w="0" w:type="dxa"/>
        <w:bottom w:w="0" w:type="dxa"/>
        <w:right w:w="0" w:type="dxa"/>
      </w:tblCellMar>
    </w:tblPr>
  </w:style>
  <w:style w:type="character" w:customStyle="1" w:styleId="38">
    <w:name w:val="font21"/>
    <w:basedOn w:val="25"/>
    <w:qFormat/>
    <w:uiPriority w:val="0"/>
    <w:rPr>
      <w:rFonts w:hint="eastAsia" w:ascii="宋体" w:hAnsi="宋体" w:eastAsia="宋体" w:cs="宋体"/>
      <w:color w:val="000000"/>
      <w:sz w:val="22"/>
      <w:szCs w:val="22"/>
      <w:u w:val="none"/>
    </w:rPr>
  </w:style>
  <w:style w:type="paragraph" w:customStyle="1" w:styleId="39">
    <w:name w:val="常用表格样式"/>
    <w:basedOn w:val="40"/>
    <w:next w:val="40"/>
    <w:qFormat/>
    <w:uiPriority w:val="0"/>
    <w:pPr>
      <w:jc w:val="center"/>
    </w:pPr>
    <w:rPr>
      <w:kern w:val="0"/>
      <w:sz w:val="18"/>
    </w:rPr>
  </w:style>
  <w:style w:type="paragraph" w:customStyle="1" w:styleId="40">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41">
    <w:name w:val="Table Paragraph"/>
    <w:basedOn w:val="1"/>
    <w:qFormat/>
    <w:uiPriority w:val="1"/>
    <w:pPr>
      <w:jc w:val="left"/>
    </w:pPr>
    <w:rPr>
      <w:rFonts w:ascii="Calibri" w:hAnsi="Calibri"/>
      <w:kern w:val="0"/>
      <w:sz w:val="22"/>
      <w:szCs w:val="22"/>
      <w:lang w:eastAsia="en-US"/>
    </w:rPr>
  </w:style>
  <w:style w:type="paragraph" w:customStyle="1" w:styleId="42">
    <w:name w:val="D正文"/>
    <w:basedOn w:val="1"/>
    <w:qFormat/>
    <w:uiPriority w:val="0"/>
    <w:pPr>
      <w:spacing w:line="360" w:lineRule="auto"/>
      <w:ind w:firstLine="480" w:firstLineChars="200"/>
    </w:pPr>
    <w:rPr>
      <w:color w:val="000000"/>
      <w:sz w:val="24"/>
    </w:rPr>
  </w:style>
  <w:style w:type="paragraph" w:customStyle="1" w:styleId="43">
    <w:name w:val="表头"/>
    <w:basedOn w:val="17"/>
    <w:next w:val="1"/>
    <w:qFormat/>
    <w:uiPriority w:val="0"/>
    <w:pPr>
      <w:spacing w:line="240" w:lineRule="auto"/>
    </w:pPr>
    <w:rPr>
      <w:b/>
    </w:rPr>
  </w:style>
  <w:style w:type="paragraph" w:customStyle="1" w:styleId="44">
    <w:name w:val="表格样式"/>
    <w:basedOn w:val="1"/>
    <w:qFormat/>
    <w:uiPriority w:val="0"/>
    <w:pPr>
      <w:jc w:val="center"/>
    </w:pPr>
  </w:style>
  <w:style w:type="paragraph" w:customStyle="1" w:styleId="45">
    <w:name w:val="样式 标题 2"/>
    <w:basedOn w:val="3"/>
    <w:qFormat/>
    <w:uiPriority w:val="0"/>
    <w:pPr>
      <w:spacing w:before="50" w:after="50"/>
    </w:pPr>
  </w:style>
  <w:style w:type="paragraph" w:customStyle="1" w:styleId="46">
    <w:name w:val="一级标题"/>
    <w:qFormat/>
    <w:uiPriority w:val="0"/>
    <w:pPr>
      <w:numPr>
        <w:ilvl w:val="0"/>
        <w:numId w:val="2"/>
      </w:numPr>
      <w:jc w:val="center"/>
    </w:pPr>
    <w:rPr>
      <w:rFonts w:ascii="Times New Roman" w:hAnsi="Times New Roman" w:eastAsia="宋体" w:cs="Times New Roman"/>
      <w:b/>
      <w:bCs/>
      <w:sz w:val="30"/>
      <w:szCs w:val="30"/>
      <w:lang w:val="en-US" w:eastAsia="zh-CN" w:bidi="ar-SA"/>
    </w:rPr>
  </w:style>
  <w:style w:type="paragraph" w:customStyle="1" w:styleId="47">
    <w:name w:val="正文（无网格）"/>
    <w:basedOn w:val="1"/>
    <w:qFormat/>
    <w:uiPriority w:val="0"/>
    <w:pPr>
      <w:adjustRightInd w:val="0"/>
      <w:snapToGrid w:val="0"/>
      <w:spacing w:line="360" w:lineRule="auto"/>
      <w:ind w:firstLine="480" w:firstLineChars="200"/>
    </w:pPr>
    <w:rPr>
      <w:rFonts w:cs="宋体"/>
      <w:sz w:val="24"/>
    </w:rPr>
  </w:style>
  <w:style w:type="paragraph" w:customStyle="1" w:styleId="48">
    <w:name w:val="宋体小四"/>
    <w:qFormat/>
    <w:uiPriority w:val="0"/>
    <w:pPr>
      <w:spacing w:line="360" w:lineRule="auto"/>
      <w:ind w:firstLine="600" w:firstLineChars="200"/>
      <w:jc w:val="both"/>
    </w:pPr>
    <w:rPr>
      <w:rFonts w:ascii="Times New Roman" w:hAnsi="Times New Roman" w:eastAsia="宋体" w:cs="Times New Roman"/>
      <w:sz w:val="24"/>
      <w:lang w:val="en-US" w:eastAsia="zh-CN" w:bidi="ar-SA"/>
    </w:rPr>
  </w:style>
  <w:style w:type="paragraph" w:customStyle="1" w:styleId="49">
    <w:name w:val="样式 样式 左侧:  2 字符 + 左侧:  0.85 厘米 首行缩进:  2 字符1"/>
    <w:basedOn w:val="1"/>
    <w:qFormat/>
    <w:uiPriority w:val="0"/>
    <w:pPr>
      <w:ind w:left="482" w:firstLine="200" w:firstLineChars="200"/>
    </w:pPr>
    <w:rPr>
      <w:rFonts w:cs="宋体"/>
      <w:szCs w:val="20"/>
    </w:rPr>
  </w:style>
  <w:style w:type="paragraph" w:customStyle="1" w:styleId="50">
    <w:name w:val="表格正文无缩进杨帆"/>
    <w:basedOn w:val="1"/>
    <w:qFormat/>
    <w:uiPriority w:val="0"/>
    <w:pPr>
      <w:spacing w:line="360" w:lineRule="auto"/>
      <w:jc w:val="center"/>
    </w:pPr>
  </w:style>
  <w:style w:type="paragraph" w:customStyle="1" w:styleId="51">
    <w:name w:val="段落 Char"/>
    <w:basedOn w:val="1"/>
    <w:qFormat/>
    <w:uiPriority w:val="0"/>
    <w:pPr>
      <w:topLinePunct/>
      <w:snapToGrid w:val="0"/>
      <w:spacing w:line="360" w:lineRule="auto"/>
      <w:ind w:firstLine="200" w:firstLineChars="200"/>
    </w:pPr>
    <w:rPr>
      <w:kern w:val="0"/>
      <w:sz w:val="24"/>
      <w:szCs w:val="20"/>
    </w:rPr>
  </w:style>
  <w:style w:type="paragraph" w:customStyle="1" w:styleId="52">
    <w:name w:val="环评报告表新版-正文"/>
    <w:basedOn w:val="1"/>
    <w:qFormat/>
    <w:uiPriority w:val="0"/>
    <w:pPr>
      <w:autoSpaceDE w:val="0"/>
      <w:autoSpaceDN w:val="0"/>
      <w:adjustRightInd w:val="0"/>
      <w:snapToGrid w:val="0"/>
      <w:spacing w:line="360" w:lineRule="exact"/>
      <w:ind w:firstLine="200" w:firstLineChars="200"/>
    </w:pPr>
    <w:rPr>
      <w:rFonts w:cs="宋体"/>
      <w:kern w:val="0"/>
      <w:sz w:val="24"/>
      <w:szCs w:val="21"/>
    </w:rPr>
  </w:style>
  <w:style w:type="paragraph" w:customStyle="1" w:styleId="53">
    <w:name w:val="表格"/>
    <w:basedOn w:val="17"/>
    <w:next w:val="5"/>
    <w:qFormat/>
    <w:uiPriority w:val="0"/>
    <w:pPr>
      <w:tabs>
        <w:tab w:val="left" w:pos="8020"/>
      </w:tabs>
      <w:snapToGrid w:val="0"/>
      <w:spacing w:beforeLines="10" w:afterLines="10" w:line="259" w:lineRule="auto"/>
    </w:pPr>
    <w:rPr>
      <w:rFonts w:ascii="宋体"/>
      <w:szCs w:val="20"/>
    </w:rPr>
  </w:style>
  <w:style w:type="paragraph" w:customStyle="1" w:styleId="54">
    <w:name w:val="表格文字"/>
    <w:basedOn w:val="1"/>
    <w:next w:val="1"/>
    <w:qFormat/>
    <w:uiPriority w:val="0"/>
    <w:pPr>
      <w:jc w:val="center"/>
    </w:pPr>
  </w:style>
  <w:style w:type="paragraph" w:customStyle="1" w:styleId="55">
    <w:name w:val="表格内容"/>
    <w:basedOn w:val="11"/>
    <w:qFormat/>
    <w:uiPriority w:val="0"/>
    <w:pPr>
      <w:adjustRightInd w:val="0"/>
      <w:jc w:val="center"/>
    </w:pPr>
    <w:rPr>
      <w:w w:val="90"/>
    </w:rPr>
  </w:style>
  <w:style w:type="paragraph" w:customStyle="1" w:styleId="56">
    <w:name w:val="Heading #2|1"/>
    <w:basedOn w:val="1"/>
    <w:qFormat/>
    <w:uiPriority w:val="0"/>
    <w:pPr>
      <w:spacing w:line="469" w:lineRule="exact"/>
      <w:ind w:firstLine="490"/>
      <w:outlineLvl w:val="1"/>
    </w:pPr>
    <w:rPr>
      <w:rFonts w:ascii="宋体" w:hAnsi="宋体" w:cs="宋体"/>
      <w:b/>
      <w:bCs/>
      <w:lang w:val="zh-TW" w:eastAsia="zh-TW" w:bidi="zh-TW"/>
    </w:rPr>
  </w:style>
  <w:style w:type="paragraph" w:customStyle="1" w:styleId="57">
    <w:name w:val="表格内正文"/>
    <w:basedOn w:val="1"/>
    <w:next w:val="58"/>
    <w:qFormat/>
    <w:uiPriority w:val="0"/>
    <w:pPr>
      <w:spacing w:line="360" w:lineRule="auto"/>
      <w:ind w:firstLine="499"/>
    </w:pPr>
    <w:rPr>
      <w:rFonts w:ascii="宋体" w:hAnsi="宋体"/>
      <w:spacing w:val="4"/>
      <w:kern w:val="18"/>
      <w:sz w:val="24"/>
    </w:rPr>
  </w:style>
  <w:style w:type="paragraph" w:customStyle="1" w:styleId="58">
    <w:name w:val="A 正文"/>
    <w:basedOn w:val="1"/>
    <w:qFormat/>
    <w:uiPriority w:val="0"/>
    <w:pPr>
      <w:spacing w:line="360" w:lineRule="auto"/>
      <w:ind w:firstLine="200" w:firstLineChars="200"/>
    </w:pPr>
    <w:rPr>
      <w:sz w:val="24"/>
    </w:rPr>
  </w:style>
  <w:style w:type="paragraph" w:customStyle="1" w:styleId="59">
    <w:name w:val="德正表格"/>
    <w:basedOn w:val="1"/>
    <w:unhideWhenUsed/>
    <w:qFormat/>
    <w:uiPriority w:val="0"/>
    <w:pPr>
      <w:adjustRightInd w:val="0"/>
      <w:snapToGrid w:val="0"/>
      <w:jc w:val="center"/>
    </w:pPr>
    <w:rPr>
      <w:rFonts w:hint="eastAsia"/>
    </w:rPr>
  </w:style>
  <w:style w:type="paragraph" w:customStyle="1" w:styleId="60">
    <w:name w:val="lgg正文123"/>
    <w:basedOn w:val="1"/>
    <w:qFormat/>
    <w:uiPriority w:val="0"/>
    <w:pPr>
      <w:adjustRightInd w:val="0"/>
      <w:snapToGrid w:val="0"/>
      <w:spacing w:line="360" w:lineRule="auto"/>
      <w:ind w:firstLine="200" w:firstLineChars="200"/>
    </w:pPr>
    <w:rPr>
      <w:kern w:val="18"/>
      <w:sz w:val="24"/>
    </w:rPr>
  </w:style>
  <w:style w:type="paragraph" w:customStyle="1" w:styleId="61">
    <w:name w:val="新表格"/>
    <w:basedOn w:val="1"/>
    <w:qFormat/>
    <w:uiPriority w:val="0"/>
    <w:pPr>
      <w:spacing w:line="288" w:lineRule="auto"/>
      <w:jc w:val="center"/>
    </w:pPr>
    <w:rPr>
      <w:kern w:val="0"/>
      <w:lang w:eastAsia="en-US"/>
    </w:rPr>
  </w:style>
  <w:style w:type="paragraph" w:customStyle="1" w:styleId="62">
    <w:name w:val="样式6"/>
    <w:basedOn w:val="1"/>
    <w:next w:val="5"/>
    <w:qFormat/>
    <w:uiPriority w:val="0"/>
    <w:pPr>
      <w:keepNext/>
      <w:adjustRightInd w:val="0"/>
      <w:snapToGrid w:val="0"/>
      <w:spacing w:line="360" w:lineRule="auto"/>
      <w:ind w:firstLine="496" w:firstLineChars="200"/>
      <w:jc w:val="left"/>
      <w:outlineLvl w:val="2"/>
    </w:pPr>
    <w:rPr>
      <w:rFonts w:hint="eastAsia"/>
      <w:spacing w:val="4"/>
      <w:kern w:val="18"/>
      <w:sz w:val="24"/>
    </w:rPr>
  </w:style>
  <w:style w:type="paragraph" w:customStyle="1" w:styleId="63">
    <w:name w:val="Body text|1"/>
    <w:basedOn w:val="1"/>
    <w:qFormat/>
    <w:uiPriority w:val="0"/>
    <w:pPr>
      <w:spacing w:line="413" w:lineRule="auto"/>
      <w:ind w:firstLine="400"/>
    </w:pPr>
    <w:rPr>
      <w:rFonts w:ascii="宋体" w:hAnsi="宋体" w:cs="宋体"/>
      <w:lang w:val="zh-TW" w:eastAsia="zh-TW" w:bidi="zh-TW"/>
    </w:rPr>
  </w:style>
  <w:style w:type="paragraph" w:customStyle="1" w:styleId="64">
    <w:name w:val="魏秀珍   正文"/>
    <w:basedOn w:val="5"/>
    <w:qFormat/>
    <w:uiPriority w:val="0"/>
    <w:pPr>
      <w:spacing w:line="360" w:lineRule="auto"/>
      <w:ind w:firstLine="480"/>
    </w:pPr>
    <w:rPr>
      <w:kern w:val="21"/>
      <w:sz w:val="24"/>
      <w:lang w:val="en-GB"/>
    </w:rPr>
  </w:style>
  <w:style w:type="paragraph" w:customStyle="1" w:styleId="65">
    <w:name w:val="BT"/>
    <w:basedOn w:val="1"/>
    <w:qFormat/>
    <w:uiPriority w:val="0"/>
    <w:pPr>
      <w:adjustRightInd w:val="0"/>
      <w:snapToGrid w:val="0"/>
      <w:jc w:val="center"/>
    </w:pPr>
    <w:rPr>
      <w:b/>
      <w:kern w:val="0"/>
      <w:sz w:val="24"/>
    </w:rPr>
  </w:style>
  <w:style w:type="paragraph" w:customStyle="1" w:styleId="66">
    <w:name w:val="BG"/>
    <w:basedOn w:val="1"/>
    <w:unhideWhenUsed/>
    <w:qFormat/>
    <w:uiPriority w:val="99"/>
    <w:pPr>
      <w:snapToGrid w:val="0"/>
      <w:jc w:val="center"/>
    </w:pPr>
  </w:style>
  <w:style w:type="paragraph" w:customStyle="1" w:styleId="67">
    <w:name w:val="F 正文"/>
    <w:basedOn w:val="1"/>
    <w:qFormat/>
    <w:uiPriority w:val="0"/>
    <w:pPr>
      <w:spacing w:line="360" w:lineRule="auto"/>
      <w:ind w:firstLine="720" w:firstLineChars="200"/>
    </w:pPr>
    <w:rPr>
      <w:sz w:val="24"/>
    </w:rPr>
  </w:style>
  <w:style w:type="paragraph" w:customStyle="1" w:styleId="68">
    <w:name w:val="Default1"/>
    <w:basedOn w:val="40"/>
    <w:next w:val="40"/>
    <w:qFormat/>
    <w:uiPriority w:val="0"/>
    <w:pPr>
      <w:autoSpaceDE w:val="0"/>
      <w:autoSpaceDN w:val="0"/>
      <w:adjustRightInd w:val="0"/>
    </w:pPr>
    <w:rPr>
      <w:rFonts w:cs="宋体"/>
      <w:color w:val="000000"/>
    </w:rPr>
  </w:style>
  <w:style w:type="paragraph" w:customStyle="1" w:styleId="69">
    <w:name w:val="正文首行缩进 21"/>
    <w:basedOn w:val="9"/>
    <w:next w:val="1"/>
    <w:qFormat/>
    <w:locked/>
    <w:uiPriority w:val="0"/>
    <w:pPr>
      <w:ind w:firstLine="420" w:firstLineChars="200"/>
    </w:pPr>
    <w:rPr>
      <w:kern w:val="2"/>
    </w:rPr>
  </w:style>
  <w:style w:type="paragraph" w:customStyle="1" w:styleId="70">
    <w:name w:val="【正文】"/>
    <w:basedOn w:val="1"/>
    <w:qFormat/>
    <w:uiPriority w:val="0"/>
    <w:pPr>
      <w:adjustRightInd w:val="0"/>
      <w:snapToGrid w:val="0"/>
      <w:spacing w:line="360" w:lineRule="auto"/>
      <w:ind w:firstLine="200" w:firstLineChars="200"/>
      <w:jc w:val="left"/>
    </w:pPr>
    <w:rPr>
      <w:kern w:val="0"/>
      <w:sz w:val="24"/>
      <w:szCs w:val="20"/>
    </w:rPr>
  </w:style>
  <w:style w:type="paragraph" w:customStyle="1" w:styleId="71">
    <w:name w:val="aa正文"/>
    <w:basedOn w:val="1"/>
    <w:qFormat/>
    <w:uiPriority w:val="0"/>
    <w:pPr>
      <w:spacing w:line="360" w:lineRule="auto"/>
      <w:ind w:firstLine="200" w:firstLineChars="200"/>
    </w:pPr>
    <w:rPr>
      <w:kern w:val="0"/>
      <w:sz w:val="24"/>
    </w:rPr>
  </w:style>
  <w:style w:type="paragraph" w:customStyle="1" w:styleId="72">
    <w:name w:val="+正文"/>
    <w:basedOn w:val="1"/>
    <w:qFormat/>
    <w:uiPriority w:val="0"/>
    <w:pPr>
      <w:spacing w:line="360" w:lineRule="auto"/>
      <w:ind w:firstLine="200" w:firstLineChars="200"/>
    </w:pPr>
    <w:rPr>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wmf"/><Relationship Id="rId32" Type="http://schemas.openxmlformats.org/officeDocument/2006/relationships/oleObject" Target="embeddings/oleObject4.bin"/><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customXml" Target="ink/ink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9-21T15:18:51"/>
    </inkml:context>
    <inkml:brush xml:id="br0">
      <inkml:brushProperty name="width" value="0.05292" units="cm"/>
      <inkml:brushProperty name="height" value="0.05292" units="cm"/>
      <inkml:brushProperty name="color" value="#000000"/>
    </inkml:brush>
  </inkml:definitions>
  <inkml:trace contextRef="#ctx0" brushRef="#br0">736 773318,'0'0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241</Words>
  <Characters>276</Characters>
  <Lines>515</Lines>
  <Paragraphs>145</Paragraphs>
  <TotalTime>126</TotalTime>
  <ScaleCrop>false</ScaleCrop>
  <LinksUpToDate>false</LinksUpToDate>
  <CharactersWithSpaces>346</CharactersWithSpaces>
  <Application>WPS Office_11.8.2.11806_F1E327BC-269C-435d-A152-05C5408002CA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2024-09-13T13:21:00Z</dcterms:created>
  <dc:creator>静水踏歌颂年华</dc:creator>
  <cp:lastModifiedBy>administrator</cp:lastModifiedBy>
  <dcterms:modified xsi:type="dcterms:W3CDTF">2025-04-18T17:17:49Z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2052-11.8.2.11806</vt:lpwstr>
  </property>
  <property fmtid="{D5CDD505-2E9C-101B-9397-08002B2CF9AE}" pid="3" name="ICV">
    <vt:lpwstr>71905438237D4274B039F04DDCB8DC02_13</vt:lpwstr>
  </property>
  <property fmtid="{D5CDD505-2E9C-101B-9397-08002B2CF9AE}" pid="4" name="KSOTemplateDocerSaveRecord">
    <vt:lpwstr>eyJoZGlkIjoiYTgwYzRmNTE3ZDFkOGNlNjEzM2ZhODc3MGE3MmUwMDIiLCJ1c2VySWQiOiIzNzIwODQ1NTcifQ==</vt:lpwstr>
  </property>
</Properties>
</file>