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4FCFF">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9"/>
          <w:rFonts w:hint="eastAsia" w:ascii="宋体" w:hAnsi="宋体" w:eastAsia="宋体" w:cs="宋体"/>
          <w:b/>
          <w:lang w:val="en-US" w:eastAsia="zh-CN"/>
        </w:rPr>
      </w:pPr>
      <w:r>
        <w:rPr>
          <w:rStyle w:val="9"/>
          <w:rFonts w:hint="eastAsia" w:ascii="宋体" w:hAnsi="宋体" w:eastAsia="宋体" w:cs="宋体"/>
          <w:b/>
          <w:lang w:val="en-US" w:eastAsia="zh-CN"/>
        </w:rPr>
        <w:t>关于江西捷报频传药业有限公司卫生材料生产项目环境影响报告表的批复</w:t>
      </w:r>
    </w:p>
    <w:p w14:paraId="50529B80">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9"/>
          <w:rFonts w:hint="eastAsia" w:ascii="宋体" w:hAnsi="宋体" w:eastAsia="宋体" w:cs="宋体"/>
          <w:b/>
          <w:lang w:val="en-US" w:eastAsia="zh-CN"/>
        </w:rPr>
      </w:pPr>
    </w:p>
    <w:p w14:paraId="38FB0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kern w:val="2"/>
          <w:sz w:val="32"/>
          <w:szCs w:val="32"/>
          <w:lang w:val="en-US" w:eastAsia="zh-CN" w:bidi="ar"/>
        </w:rPr>
      </w:pPr>
    </w:p>
    <w:p w14:paraId="582AF7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江西捷报频传药业有限公司：</w:t>
      </w:r>
      <w:bookmarkStart w:id="0" w:name="_GoBack"/>
      <w:bookmarkEnd w:id="0"/>
    </w:p>
    <w:p w14:paraId="3F6907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你公司报来的《江西捷报频传药业有限公司卫生材料生产项目环境影响报告表》（以下简称《报告表》）收悉，现批复如下：</w:t>
      </w:r>
    </w:p>
    <w:p w14:paraId="355805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一、项目基本情况及批复要求</w:t>
      </w:r>
    </w:p>
    <w:p w14:paraId="11B42C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本项目选址位于</w:t>
      </w:r>
      <w:r>
        <w:rPr>
          <w:rFonts w:hint="eastAsia" w:ascii="仿宋_GB2312" w:hAnsi="仿宋_GB2312" w:eastAsia="仿宋_GB2312" w:cs="仿宋_GB2312"/>
          <w:kern w:val="2"/>
          <w:sz w:val="32"/>
          <w:szCs w:val="32"/>
          <w:lang w:val="en-US" w:eastAsia="zh-CN" w:bidi="ar"/>
        </w:rPr>
        <w:t>江西庐山工业园区金鹿科技园</w:t>
      </w:r>
      <w:r>
        <w:rPr>
          <w:rFonts w:hint="default" w:ascii="仿宋_GB2312" w:hAnsi="仿宋_GB2312" w:eastAsia="仿宋_GB2312" w:cs="仿宋_GB2312"/>
          <w:kern w:val="2"/>
          <w:sz w:val="32"/>
          <w:szCs w:val="32"/>
          <w:lang w:val="en-US" w:eastAsia="zh-CN" w:bidi="ar"/>
        </w:rPr>
        <w:t>，中心地理坐标</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东经</w:t>
      </w:r>
      <w:r>
        <w:rPr>
          <w:rFonts w:hint="default" w:ascii="Times New Roman" w:hAnsi="Times New Roman" w:eastAsia="仿宋" w:cs="仿宋"/>
          <w:color w:val="auto"/>
          <w:sz w:val="32"/>
          <w:szCs w:val="32"/>
          <w:lang w:val="en-US" w:eastAsia="zh-CN"/>
        </w:rPr>
        <w:t>116°0</w:t>
      </w:r>
      <w:r>
        <w:rPr>
          <w:rFonts w:hint="eastAsia" w:ascii="Times New Roman" w:hAnsi="Times New Roman" w:eastAsia="仿宋" w:cs="仿宋"/>
          <w:color w:val="auto"/>
          <w:sz w:val="32"/>
          <w:szCs w:val="32"/>
          <w:lang w:val="en-US" w:eastAsia="zh-CN"/>
        </w:rPr>
        <w:t>2</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58.395</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北纬</w:t>
      </w:r>
      <w:r>
        <w:rPr>
          <w:rFonts w:hint="default" w:ascii="Times New Roman" w:hAnsi="Times New Roman" w:eastAsia="仿宋" w:cs="仿宋"/>
          <w:color w:val="auto"/>
          <w:sz w:val="32"/>
          <w:szCs w:val="32"/>
          <w:lang w:val="en-US" w:eastAsia="zh-CN"/>
        </w:rPr>
        <w:t>29°2</w:t>
      </w:r>
      <w:r>
        <w:rPr>
          <w:rFonts w:hint="eastAsia" w:ascii="Times New Roman" w:hAnsi="Times New Roman" w:eastAsia="仿宋" w:cs="仿宋"/>
          <w:color w:val="auto"/>
          <w:sz w:val="32"/>
          <w:szCs w:val="32"/>
          <w:lang w:val="en-US" w:eastAsia="zh-CN"/>
        </w:rPr>
        <w:t>8</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30.106</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项目</w:t>
      </w:r>
      <w:r>
        <w:rPr>
          <w:rFonts w:hint="default" w:ascii="仿宋_GB2312" w:hAnsi="仿宋_GB2312" w:eastAsia="仿宋_GB2312" w:cs="仿宋_GB2312"/>
          <w:kern w:val="2"/>
          <w:sz w:val="32"/>
          <w:szCs w:val="32"/>
          <w:lang w:val="en-US" w:eastAsia="zh-CN" w:bidi="ar"/>
        </w:rPr>
        <w:t>租赁金鹿科技园内3号楼</w:t>
      </w:r>
      <w:r>
        <w:rPr>
          <w:rFonts w:hint="eastAsia" w:ascii="仿宋_GB2312" w:hAnsi="仿宋_GB2312" w:eastAsia="仿宋_GB2312" w:cs="仿宋_GB2312"/>
          <w:kern w:val="2"/>
          <w:sz w:val="32"/>
          <w:szCs w:val="32"/>
          <w:lang w:val="en-US" w:eastAsia="zh-CN" w:bidi="ar"/>
        </w:rPr>
        <w:t>现有厂房</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建设</w:t>
      </w:r>
      <w:r>
        <w:rPr>
          <w:rFonts w:hint="default" w:ascii="仿宋_GB2312" w:hAnsi="仿宋_GB2312" w:eastAsia="仿宋_GB2312" w:cs="仿宋_GB2312"/>
          <w:kern w:val="2"/>
          <w:sz w:val="32"/>
          <w:szCs w:val="32"/>
          <w:lang w:val="en-US" w:eastAsia="zh-CN" w:bidi="ar"/>
        </w:rPr>
        <w:t>一个10万级的标准净化车间生产线</w:t>
      </w:r>
      <w:r>
        <w:rPr>
          <w:rFonts w:hint="eastAsia" w:ascii="仿宋_GB2312" w:hAnsi="仿宋_GB2312" w:eastAsia="仿宋_GB2312" w:cs="仿宋_GB2312"/>
          <w:kern w:val="2"/>
          <w:sz w:val="32"/>
          <w:szCs w:val="32"/>
          <w:lang w:val="en-US" w:eastAsia="zh-CN" w:bidi="ar"/>
        </w:rPr>
        <w:t>、原料及产品存储区等，外购海盐、聚丙烯酸钠、聚乙烯吡咯烷酮、无纺布、聚二甲基硅氧烷、六甲基二硅氧烷等原辅材料，经称料、配置、搅拌、灌装（涂布）、检验、灭菌包装（分切）等工序形成年产</w:t>
      </w:r>
      <w:r>
        <w:rPr>
          <w:rFonts w:hint="default" w:ascii="仿宋_GB2312" w:hAnsi="仿宋_GB2312" w:eastAsia="仿宋_GB2312" w:cs="仿宋_GB2312"/>
          <w:kern w:val="2"/>
          <w:sz w:val="32"/>
          <w:szCs w:val="32"/>
          <w:lang w:val="en-US" w:eastAsia="zh-CN" w:bidi="ar"/>
        </w:rPr>
        <w:t>6000万片退热贴、900万瓶生理性海水鼻腔喷雾剂</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300万</w:t>
      </w:r>
      <w:r>
        <w:rPr>
          <w:rFonts w:hint="eastAsia" w:ascii="仿宋_GB2312" w:hAnsi="仿宋_GB2312" w:eastAsia="仿宋_GB2312" w:cs="仿宋_GB2312"/>
          <w:kern w:val="2"/>
          <w:sz w:val="32"/>
          <w:szCs w:val="32"/>
          <w:lang w:val="en-US" w:eastAsia="zh-CN" w:bidi="ar"/>
        </w:rPr>
        <w:t>只</w:t>
      </w:r>
      <w:r>
        <w:rPr>
          <w:rFonts w:hint="default" w:ascii="仿宋_GB2312" w:hAnsi="仿宋_GB2312" w:eastAsia="仿宋_GB2312" w:cs="仿宋_GB2312"/>
          <w:kern w:val="2"/>
          <w:sz w:val="32"/>
          <w:szCs w:val="32"/>
          <w:lang w:val="en-US" w:eastAsia="zh-CN" w:bidi="ar"/>
        </w:rPr>
        <w:t>贴医用硅酮疤痕凝胶</w:t>
      </w:r>
      <w:r>
        <w:rPr>
          <w:rFonts w:hint="eastAsia" w:ascii="仿宋_GB2312" w:hAnsi="仿宋_GB2312" w:eastAsia="仿宋_GB2312" w:cs="仿宋_GB2312"/>
          <w:kern w:val="2"/>
          <w:sz w:val="32"/>
          <w:szCs w:val="32"/>
          <w:lang w:val="en-US" w:eastAsia="zh-CN" w:bidi="ar"/>
        </w:rPr>
        <w:t>、5000万</w:t>
      </w:r>
      <w:r>
        <w:rPr>
          <w:rFonts w:hint="default" w:ascii="仿宋_GB2312" w:hAnsi="仿宋_GB2312" w:eastAsia="仿宋_GB2312" w:cs="仿宋_GB2312"/>
          <w:kern w:val="2"/>
          <w:sz w:val="32"/>
          <w:szCs w:val="32"/>
          <w:lang w:val="en-US" w:eastAsia="zh-CN" w:bidi="ar"/>
        </w:rPr>
        <w:t>贴</w:t>
      </w:r>
      <w:r>
        <w:rPr>
          <w:rFonts w:hint="eastAsia" w:ascii="仿宋_GB2312" w:hAnsi="仿宋_GB2312" w:eastAsia="仿宋_GB2312" w:cs="仿宋_GB2312"/>
          <w:kern w:val="2"/>
          <w:sz w:val="32"/>
          <w:szCs w:val="32"/>
          <w:lang w:val="en-US" w:eastAsia="zh-CN" w:bidi="ar"/>
        </w:rPr>
        <w:t>穴位压力刺激贴、5000万</w:t>
      </w:r>
      <w:r>
        <w:rPr>
          <w:rFonts w:hint="default" w:ascii="仿宋_GB2312" w:hAnsi="仿宋_GB2312" w:eastAsia="仿宋_GB2312" w:cs="仿宋_GB2312"/>
          <w:kern w:val="2"/>
          <w:sz w:val="32"/>
          <w:szCs w:val="32"/>
          <w:lang w:val="en-US" w:eastAsia="zh-CN" w:bidi="ar"/>
        </w:rPr>
        <w:t>贴</w:t>
      </w:r>
      <w:r>
        <w:rPr>
          <w:rFonts w:hint="eastAsia" w:ascii="仿宋_GB2312" w:hAnsi="仿宋_GB2312" w:eastAsia="仿宋_GB2312" w:cs="仿宋_GB2312"/>
          <w:kern w:val="2"/>
          <w:sz w:val="32"/>
          <w:szCs w:val="32"/>
          <w:lang w:val="en-US" w:eastAsia="zh-CN" w:bidi="ar"/>
        </w:rPr>
        <w:t>通气鼻贴、500万片重组胶原蛋白贴、200万瓶壳聚糖止血粉、500万片医用透明质酸钠敷贴、5000万贴创口贴、2000万</w:t>
      </w:r>
      <w:r>
        <w:rPr>
          <w:rFonts w:hint="default" w:ascii="仿宋_GB2312" w:hAnsi="仿宋_GB2312" w:eastAsia="仿宋_GB2312" w:cs="仿宋_GB2312"/>
          <w:kern w:val="2"/>
          <w:sz w:val="32"/>
          <w:szCs w:val="32"/>
          <w:lang w:val="en-US" w:eastAsia="zh-CN" w:bidi="ar"/>
        </w:rPr>
        <w:t>贴</w:t>
      </w:r>
      <w:r>
        <w:rPr>
          <w:rFonts w:hint="eastAsia" w:ascii="仿宋_GB2312" w:hAnsi="仿宋_GB2312" w:eastAsia="仿宋_GB2312" w:cs="仿宋_GB2312"/>
          <w:kern w:val="2"/>
          <w:sz w:val="32"/>
          <w:szCs w:val="32"/>
          <w:lang w:val="en-US" w:eastAsia="zh-CN" w:bidi="ar"/>
        </w:rPr>
        <w:t>晕车贴、4000万</w:t>
      </w:r>
      <w:r>
        <w:rPr>
          <w:rFonts w:hint="default" w:ascii="仿宋_GB2312" w:hAnsi="仿宋_GB2312" w:eastAsia="仿宋_GB2312" w:cs="仿宋_GB2312"/>
          <w:kern w:val="2"/>
          <w:sz w:val="32"/>
          <w:szCs w:val="32"/>
          <w:lang w:val="en-US" w:eastAsia="zh-CN" w:bidi="ar"/>
        </w:rPr>
        <w:t>贴</w:t>
      </w:r>
      <w:r>
        <w:rPr>
          <w:rFonts w:hint="eastAsia" w:ascii="仿宋_GB2312" w:hAnsi="仿宋_GB2312" w:eastAsia="仿宋_GB2312" w:cs="仿宋_GB2312"/>
          <w:kern w:val="2"/>
          <w:sz w:val="32"/>
          <w:szCs w:val="32"/>
          <w:lang w:val="en-US" w:eastAsia="zh-CN" w:bidi="ar"/>
        </w:rPr>
        <w:t>三伏贴、2000万贴冰凉贴生产规模。项目总投资3000万元，其中环保投资59万元，约占总投资的1.97%。</w:t>
      </w:r>
    </w:p>
    <w:p w14:paraId="57DC50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公司</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074D30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306F99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05BDDF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（一）废水污染防治</w:t>
      </w:r>
    </w:p>
    <w:p w14:paraId="1A1F0B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按照“雨污分流、清污分流”原则，严格落实废水污染防治措施。纯水制备浓水及设备清洗废水经厂区自建污水处理设施</w:t>
      </w:r>
      <w:r>
        <w:rPr>
          <w:rFonts w:hint="default" w:ascii="仿宋_GB2312" w:hAnsi="仿宋_GB2312" w:eastAsia="仿宋_GB2312" w:cs="仿宋_GB2312"/>
          <w:kern w:val="2"/>
          <w:sz w:val="32"/>
          <w:szCs w:val="32"/>
          <w:lang w:val="en-US" w:eastAsia="zh-CN" w:bidi="ar"/>
        </w:rPr>
        <w:t>预处理</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生活</w:t>
      </w:r>
      <w:r>
        <w:rPr>
          <w:rFonts w:hint="default" w:ascii="仿宋_GB2312" w:hAnsi="仿宋_GB2312" w:eastAsia="仿宋_GB2312" w:cs="仿宋_GB2312"/>
          <w:kern w:val="2"/>
          <w:sz w:val="32"/>
          <w:szCs w:val="32"/>
          <w:lang w:val="en-GB" w:eastAsia="zh-CN" w:bidi="ar"/>
        </w:rPr>
        <w:t>污水</w:t>
      </w:r>
      <w:r>
        <w:rPr>
          <w:rFonts w:hint="eastAsia" w:ascii="仿宋_GB2312" w:hAnsi="仿宋_GB2312" w:eastAsia="仿宋_GB2312" w:cs="仿宋_GB2312"/>
          <w:kern w:val="2"/>
          <w:sz w:val="32"/>
          <w:szCs w:val="32"/>
          <w:lang w:val="en-US" w:eastAsia="zh-CN" w:bidi="ar"/>
        </w:rPr>
        <w:t>经</w:t>
      </w:r>
      <w:r>
        <w:rPr>
          <w:rFonts w:hint="default" w:ascii="仿宋_GB2312" w:hAnsi="仿宋_GB2312" w:eastAsia="仿宋_GB2312" w:cs="仿宋_GB2312"/>
          <w:kern w:val="2"/>
          <w:sz w:val="32"/>
          <w:szCs w:val="32"/>
          <w:lang w:val="en-GB" w:eastAsia="zh-CN" w:bidi="ar"/>
        </w:rPr>
        <w:t>隔油池+化粪池</w:t>
      </w:r>
      <w:r>
        <w:rPr>
          <w:rFonts w:hint="eastAsia" w:ascii="仿宋_GB2312" w:hAnsi="仿宋_GB2312" w:eastAsia="仿宋_GB2312" w:cs="仿宋_GB2312"/>
          <w:kern w:val="2"/>
          <w:sz w:val="32"/>
          <w:szCs w:val="32"/>
          <w:lang w:val="en-US" w:eastAsia="zh-CN" w:bidi="ar"/>
        </w:rPr>
        <w:t>预</w:t>
      </w:r>
      <w:r>
        <w:rPr>
          <w:rFonts w:hint="default" w:ascii="仿宋_GB2312" w:hAnsi="仿宋_GB2312" w:eastAsia="仿宋_GB2312" w:cs="仿宋_GB2312"/>
          <w:kern w:val="2"/>
          <w:sz w:val="32"/>
          <w:szCs w:val="32"/>
          <w:lang w:val="en-US" w:eastAsia="zh-CN" w:bidi="ar"/>
        </w:rPr>
        <w:t>处理</w:t>
      </w:r>
      <w:r>
        <w:rPr>
          <w:rFonts w:hint="eastAsia" w:ascii="仿宋_GB2312" w:hAnsi="仿宋_GB2312" w:eastAsia="仿宋_GB2312" w:cs="仿宋_GB2312"/>
          <w:kern w:val="2"/>
          <w:sz w:val="32"/>
          <w:szCs w:val="32"/>
          <w:lang w:val="en-US" w:eastAsia="zh-CN" w:bidi="ar"/>
        </w:rPr>
        <w:t>达接管标准后进</w:t>
      </w:r>
      <w:r>
        <w:rPr>
          <w:rFonts w:hint="default" w:ascii="仿宋_GB2312" w:hAnsi="仿宋_GB2312" w:eastAsia="仿宋_GB2312" w:cs="仿宋_GB2312"/>
          <w:kern w:val="2"/>
          <w:sz w:val="32"/>
          <w:szCs w:val="32"/>
          <w:lang w:val="en-US" w:eastAsia="zh-CN" w:bidi="ar"/>
        </w:rPr>
        <w:t>入园区污水管网，</w:t>
      </w:r>
      <w:r>
        <w:rPr>
          <w:rFonts w:hint="eastAsia" w:ascii="仿宋_GB2312" w:hAnsi="仿宋_GB2312" w:eastAsia="仿宋_GB2312" w:cs="仿宋_GB2312"/>
          <w:kern w:val="2"/>
          <w:sz w:val="32"/>
          <w:szCs w:val="32"/>
          <w:lang w:val="en-US" w:eastAsia="zh-CN" w:bidi="ar"/>
        </w:rPr>
        <w:t>一同排入庐山市工业污水处理厂进行深度处理，尾水处理达标后排入鄱阳湖。</w:t>
      </w:r>
    </w:p>
    <w:p w14:paraId="5028F7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（二）废气污染防治</w:t>
      </w:r>
    </w:p>
    <w:p w14:paraId="460868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严格落实废气污染防治措施，加强废气处理设施管理。项目废气主要为加料、投料搅拌粉尘、（灌装）涂布废气、制胶废气、喷码废气等。项目加料、投料搅拌粉尘经自然沉降后由人工及时清扫，少量未沉降的粉尘通过车间空气净化系统处理后无组织排放；有机废气等通过空气净化系统+二级活性炭吸附装置处理后达标排放。厂界颗粒物排放执行</w:t>
      </w:r>
      <w:r>
        <w:rPr>
          <w:rFonts w:hint="default" w:ascii="仿宋_GB2312" w:hAnsi="Times New Roman" w:eastAsia="仿宋_GB2312" w:cs="仿宋_GB2312"/>
          <w:kern w:val="2"/>
          <w:sz w:val="32"/>
          <w:szCs w:val="32"/>
          <w:lang w:val="en-US" w:eastAsia="zh-CN" w:bidi="ar"/>
        </w:rPr>
        <w:t>《大气污染物综合排放标准》（DB31/933-2015）排放限值</w:t>
      </w:r>
      <w:r>
        <w:rPr>
          <w:rFonts w:hint="eastAsia" w:ascii="仿宋_GB2312" w:hAnsi="Times New Roman" w:eastAsia="仿宋_GB2312" w:cs="仿宋_GB2312"/>
          <w:kern w:val="2"/>
          <w:sz w:val="32"/>
          <w:szCs w:val="32"/>
          <w:lang w:val="en-US" w:eastAsia="zh-CN" w:bidi="ar"/>
        </w:rPr>
        <w:t>标准；有机废气排放执行</w:t>
      </w:r>
      <w:r>
        <w:rPr>
          <w:rFonts w:hint="default" w:ascii="仿宋_GB2312" w:hAnsi="Times New Roman" w:eastAsia="仿宋_GB2312" w:cs="仿宋_GB2312"/>
          <w:kern w:val="2"/>
          <w:sz w:val="32"/>
          <w:szCs w:val="32"/>
          <w:lang w:val="en-US" w:eastAsia="zh-CN" w:bidi="ar"/>
        </w:rPr>
        <w:t>江西省地方标准《挥发性有机物排放标准第三部分：医药制造业》(DB36/1101.3-2019)中标准</w:t>
      </w:r>
      <w:r>
        <w:rPr>
          <w:rFonts w:hint="eastAsia" w:ascii="仿宋_GB2312" w:hAnsi="Times New Roman" w:eastAsia="仿宋_GB2312" w:cs="仿宋_GB2312"/>
          <w:kern w:val="2"/>
          <w:sz w:val="32"/>
          <w:szCs w:val="32"/>
          <w:lang w:val="en-US" w:eastAsia="zh-CN" w:bidi="ar"/>
        </w:rPr>
        <w:t>及《恶臭污染物排放标准》（GB14554-93）</w:t>
      </w:r>
      <w:r>
        <w:rPr>
          <w:rFonts w:hint="default" w:ascii="仿宋_GB2312" w:hAnsi="Times New Roman" w:eastAsia="仿宋_GB2312" w:cs="仿宋_GB2312"/>
          <w:kern w:val="2"/>
          <w:sz w:val="32"/>
          <w:szCs w:val="32"/>
          <w:lang w:val="en-US" w:eastAsia="zh-CN" w:bidi="ar"/>
        </w:rPr>
        <w:t>限值要求</w:t>
      </w:r>
      <w:r>
        <w:rPr>
          <w:rFonts w:hint="eastAsia" w:ascii="仿宋_GB2312" w:hAnsi="Times New Roman" w:eastAsia="仿宋_GB2312" w:cs="仿宋_GB2312"/>
          <w:kern w:val="2"/>
          <w:sz w:val="32"/>
          <w:szCs w:val="32"/>
          <w:lang w:val="en-US" w:eastAsia="zh-CN" w:bidi="ar"/>
        </w:rPr>
        <w:t>。</w:t>
      </w:r>
    </w:p>
    <w:p w14:paraId="26EABC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Times New Roman" w:eastAsia="仿宋_GB2312" w:cs="仿宋_GB2312"/>
          <w:kern w:val="2"/>
          <w:sz w:val="32"/>
          <w:szCs w:val="32"/>
          <w:lang w:val="en-US" w:eastAsia="zh-CN" w:bidi="ar"/>
        </w:rPr>
      </w:pPr>
    </w:p>
    <w:p w14:paraId="38745E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（三）噪声污染防治</w:t>
      </w:r>
    </w:p>
    <w:p w14:paraId="6CF5C1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通过优先选用低噪声设备，优化高噪声设备布局，采取隔声、减震、距离衰减等措施，确保厂界噪声满足《工业企业厂界环境噪声排放标准》(GB12348-2008)中3类标准要求。</w:t>
      </w:r>
    </w:p>
    <w:p w14:paraId="398DFC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（四）固废污染防治</w:t>
      </w:r>
    </w:p>
    <w:p w14:paraId="542BAF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严格落实固体废物污染防治措施。按照“减量化、资源化、</w:t>
      </w:r>
      <w:r>
        <w:rPr>
          <w:rFonts w:hint="eastAsia" w:ascii="仿宋_GB2312" w:hAnsi="仿宋_GB2312" w:eastAsia="仿宋_GB2312" w:cs="仿宋_GB2312"/>
          <w:kern w:val="2"/>
          <w:sz w:val="32"/>
          <w:szCs w:val="32"/>
          <w:lang w:val="en-US" w:eastAsia="zh-CN" w:bidi="ar"/>
        </w:rPr>
        <w:t>无害化”原则，对固体废物进行分类收集、处理和处置，并确保不造成二次污染。项目产生的废包装材料交由物资回收部门，纯水机耗材交由厂家回收处理，不合格品、边角料交由相关单位进行处理，生活垃圾分类收集后定期交由环卫处理。实验废液、废油墨桶、废热熔胶桶、废矿物油、废矿物油桶、废含油抹布、手套等暂存于危险废物暂存间内，定期交由资质单位处理。</w:t>
      </w:r>
      <w:r>
        <w:rPr>
          <w:rFonts w:hint="default" w:ascii="仿宋_GB2312" w:hAnsi="仿宋_GB2312" w:eastAsia="仿宋_GB2312" w:cs="仿宋_GB2312"/>
          <w:kern w:val="2"/>
          <w:sz w:val="32"/>
          <w:szCs w:val="32"/>
          <w:lang w:val="en-US" w:eastAsia="zh-CN" w:bidi="ar"/>
        </w:rPr>
        <w:t>一般固体废物执行《一般工业固体废物贮存和填埋污染控制标准》（GB18599-2020），危险废物执行《危险废物贮存污染控制标准》（GB18597-2023）。</w:t>
      </w:r>
    </w:p>
    <w:p w14:paraId="0CB9C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（五）清洁生产</w:t>
      </w:r>
    </w:p>
    <w:p w14:paraId="341D7B1E">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选择先进的生产工艺和设备，降低物耗、能耗，从源头上减少污染物产生和排放，禁止采用落后的、淘汰类的生产设备及生产工艺。项目在设计和建设中应对设备和管道采取防腐、防漏、密闭等措施，防止生产过程中的跑、冒、滴、漏。</w:t>
      </w:r>
    </w:p>
    <w:p w14:paraId="59A7F2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（六）污染物总量控制</w:t>
      </w:r>
    </w:p>
    <w:p w14:paraId="741B7A7C">
      <w:pPr>
        <w:keepNext w:val="0"/>
        <w:keepLines w:val="0"/>
        <w:pageBreakBefore w:val="0"/>
        <w:widowControl w:val="0"/>
        <w:kinsoku/>
        <w:wordWrap/>
        <w:overflowPunct/>
        <w:topLinePunct w:val="0"/>
        <w:autoSpaceDE/>
        <w:autoSpaceDN/>
        <w:bidi w:val="0"/>
        <w:spacing w:line="560" w:lineRule="exact"/>
        <w:ind w:left="0" w:leftChars="0" w:firstLine="6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项目总量控制指标</w:t>
      </w:r>
      <w:r>
        <w:rPr>
          <w:rFonts w:hint="eastAsia" w:ascii="仿宋_GB2312" w:hAnsi="仿宋_GB2312" w:eastAsia="仿宋_GB2312" w:cs="仿宋_GB2312"/>
          <w:color w:val="auto"/>
          <w:sz w:val="32"/>
          <w:szCs w:val="32"/>
        </w:rPr>
        <w:t>应满足我局核实确认的建设项目总量控制指标要求。</w:t>
      </w:r>
    </w:p>
    <w:p w14:paraId="65F54313">
      <w:pPr>
        <w:keepNext w:val="0"/>
        <w:keepLines w:val="0"/>
        <w:pageBreakBefore w:val="0"/>
        <w:widowControl/>
        <w:numPr>
          <w:ilvl w:val="0"/>
          <w:numId w:val="0"/>
        </w:numPr>
        <w:suppressLineNumbers w:val="0"/>
        <w:kinsoku/>
        <w:wordWrap/>
        <w:overflowPunct/>
        <w:topLinePunct w:val="0"/>
        <w:bidi w:val="0"/>
        <w:spacing w:line="56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（七）土壤和地下水污染防治</w:t>
      </w:r>
    </w:p>
    <w:p w14:paraId="4191C27F">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按照“源头控制、分区防治、污染监控、应急响应”的原则进行地下水污染防治。落实《报告表》中提出的地下水、土壤防治措施，并加强对防腐防渗设施的日常维护管理，防止环境污染，确保土壤和地下水环境质量满足规定标准。 </w:t>
      </w:r>
    </w:p>
    <w:p w14:paraId="6C68FB62">
      <w:pPr>
        <w:keepNext w:val="0"/>
        <w:keepLines w:val="0"/>
        <w:pageBreakBefore w:val="0"/>
        <w:widowControl/>
        <w:numPr>
          <w:ilvl w:val="0"/>
          <w:numId w:val="0"/>
        </w:numPr>
        <w:suppressLineNumbers w:val="0"/>
        <w:kinsoku/>
        <w:wordWrap/>
        <w:overflowPunct/>
        <w:topLinePunct w:val="0"/>
        <w:bidi w:val="0"/>
        <w:spacing w:line="56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（八）环境风险防范 </w:t>
      </w:r>
    </w:p>
    <w:p w14:paraId="62024303">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严格落实《报告表》提出的环境风险防控措施，健全厂区风险防控体系，按环评要求做好全厂防渗工作。制定全厂环境风险防控措施和突发环境事件应急预案，做好应急设施的检查维护。</w:t>
      </w:r>
    </w:p>
    <w:p w14:paraId="270145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66F9177F">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5D0AAB37">
      <w:pPr>
        <w:keepNext w:val="0"/>
        <w:keepLines w:val="0"/>
        <w:pageBreakBefore w:val="0"/>
        <w:widowControl w:val="0"/>
        <w:kinsoku/>
        <w:wordWrap/>
        <w:overflowPunct/>
        <w:topLinePunct w:val="0"/>
        <w:autoSpaceDE/>
        <w:autoSpaceDN/>
        <w:bidi w:val="0"/>
        <w:adjustRightInd w:val="0"/>
        <w:snapToGrid w:val="0"/>
        <w:spacing w:before="0" w:beforeAutospacing="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公司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4D26D6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2C5CB2B1">
      <w:pPr>
        <w:pStyle w:val="10"/>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48CED45F">
      <w:pPr>
        <w:pStyle w:val="10"/>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（二）你公司应对所提交材料的真实性负责，如存在瞒报、假报行为，须承担由此产生的一切后果。</w:t>
      </w:r>
    </w:p>
    <w:p w14:paraId="56E0C510">
      <w:pPr>
        <w:pStyle w:val="10"/>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（三）你公司应全面落实环保设备设施安全生产相关法律法规要求，并履行相关安全生产手续。</w:t>
      </w:r>
    </w:p>
    <w:p w14:paraId="68CB3832">
      <w:pPr>
        <w:pStyle w:val="10"/>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（四）本项目试生产前，应按有关规定申领排污许可证。</w:t>
      </w:r>
    </w:p>
    <w:p w14:paraId="37F6E9FB">
      <w:pPr>
        <w:pStyle w:val="10"/>
        <w:keepNext w:val="0"/>
        <w:keepLines w:val="0"/>
        <w:pageBreakBefore w:val="0"/>
        <w:widowControl w:val="0"/>
        <w:kinsoku/>
        <w:wordWrap/>
        <w:overflowPunct/>
        <w:topLinePunct w:val="0"/>
        <w:bidi w:val="0"/>
        <w:snapToGrid w:val="0"/>
        <w:spacing w:line="56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p>
    <w:p w14:paraId="173B25A6">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eastAsia="仿宋_GB2312"/>
          <w:color w:val="000000"/>
          <w:sz w:val="32"/>
          <w:szCs w:val="32"/>
          <w:lang w:val="en-US" w:eastAsia="zh-CN"/>
        </w:rPr>
      </w:pPr>
    </w:p>
    <w:p w14:paraId="753BDB82">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eastAsia="仿宋_GB2312"/>
          <w:color w:val="000000"/>
          <w:sz w:val="32"/>
          <w:szCs w:val="32"/>
          <w:lang w:val="en-US" w:eastAsia="zh-CN"/>
        </w:rPr>
      </w:pPr>
    </w:p>
    <w:p w14:paraId="47985480">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九江市庐山生态环境局</w:t>
      </w:r>
    </w:p>
    <w:p w14:paraId="02B33C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lang w:val="en-US"/>
        </w:rPr>
      </w:pPr>
      <w:r>
        <w:rPr>
          <w:rFonts w:hint="eastAsia" w:ascii="仿宋_GB2312" w:eastAsia="仿宋_GB2312"/>
          <w:color w:val="000000"/>
          <w:sz w:val="32"/>
          <w:szCs w:val="32"/>
          <w:lang w:val="en-US" w:eastAsia="zh-CN"/>
        </w:rPr>
        <w:t xml:space="preserve">                             2024年11月22日</w:t>
      </w:r>
    </w:p>
    <w:p w14:paraId="2CBBFB1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pPr>
    </w:p>
    <w:p w14:paraId="11953CDB">
      <w:pPr>
        <w:pStyle w:val="5"/>
        <w:keepNext w:val="0"/>
        <w:keepLines w:val="0"/>
        <w:pageBreakBefore w:val="0"/>
        <w:kinsoku/>
        <w:wordWrap/>
        <w:overflowPunct/>
        <w:topLinePunct w:val="0"/>
        <w:bidi w:val="0"/>
        <w:spacing w:after="0" w:line="560" w:lineRule="exact"/>
        <w:ind w:left="0" w:leftChars="0"/>
        <w:textAlignment w:val="auto"/>
        <w:rPr>
          <w:rFonts w:hint="eastAsia"/>
        </w:rPr>
      </w:pPr>
    </w:p>
    <w:p w14:paraId="0F179893">
      <w:pPr>
        <w:keepNext w:val="0"/>
        <w:keepLines w:val="0"/>
        <w:pageBreakBefore w:val="0"/>
        <w:kinsoku/>
        <w:wordWrap/>
        <w:overflowPunct/>
        <w:topLinePunct w:val="0"/>
        <w:bidi w:val="0"/>
        <w:spacing w:line="560" w:lineRule="exact"/>
        <w:ind w:left="0" w:leftChars="0"/>
        <w:textAlignment w:val="auto"/>
        <w:rPr>
          <w:rFonts w:hint="eastAsia"/>
        </w:rPr>
      </w:pPr>
    </w:p>
    <w:p w14:paraId="7F305DB2">
      <w:pPr>
        <w:rPr>
          <w:rFonts w:hint="eastAsia"/>
        </w:rPr>
      </w:pPr>
    </w:p>
    <w:p w14:paraId="43F4887C">
      <w:pPr>
        <w:rPr>
          <w:rFonts w:hint="eastAsia"/>
        </w:rPr>
      </w:pPr>
    </w:p>
    <w:p w14:paraId="42932C78">
      <w:pPr>
        <w:rPr>
          <w:rFonts w:hint="eastAsia"/>
        </w:rPr>
      </w:pPr>
    </w:p>
    <w:p w14:paraId="714FBF27">
      <w:pPr>
        <w:rPr>
          <w:rFonts w:hint="eastAsia"/>
        </w:rPr>
      </w:pPr>
    </w:p>
    <w:p w14:paraId="5BF8FD08">
      <w:pPr>
        <w:rPr>
          <w:rFonts w:hint="eastAsia"/>
        </w:rPr>
      </w:pPr>
    </w:p>
    <w:p w14:paraId="7A93E652">
      <w:pPr>
        <w:rPr>
          <w:rFonts w:hint="eastAsia"/>
        </w:rPr>
      </w:pPr>
    </w:p>
    <w:p w14:paraId="5682A81B">
      <w:pPr>
        <w:rPr>
          <w:rFonts w:hint="eastAsia"/>
        </w:rPr>
      </w:pPr>
    </w:p>
    <w:p w14:paraId="3357403C">
      <w:pPr>
        <w:rPr>
          <w:rFonts w:hint="eastAsia"/>
        </w:rPr>
      </w:pPr>
    </w:p>
    <w:p w14:paraId="76E56F8C">
      <w:pPr>
        <w:rPr>
          <w:rFonts w:hint="eastAsia"/>
        </w:rPr>
      </w:pPr>
    </w:p>
    <w:p w14:paraId="2E7466FA">
      <w:pPr>
        <w:rPr>
          <w:rFonts w:hint="eastAsia"/>
        </w:rPr>
      </w:pPr>
    </w:p>
    <w:p w14:paraId="4B6AAB04">
      <w:pPr>
        <w:rPr>
          <w:rFonts w:hint="eastAsia"/>
        </w:rPr>
      </w:pPr>
    </w:p>
    <w:p w14:paraId="53BF55B5">
      <w:pPr>
        <w:rPr>
          <w:rFonts w:hint="eastAsia"/>
        </w:rPr>
      </w:pPr>
    </w:p>
    <w:p w14:paraId="72820ADE">
      <w:pPr>
        <w:rPr>
          <w:rFonts w:hint="eastAsia"/>
        </w:rPr>
      </w:pPr>
    </w:p>
    <w:p w14:paraId="10C6831E">
      <w:pPr>
        <w:rPr>
          <w:rFonts w:hint="eastAsia"/>
        </w:rPr>
      </w:pPr>
    </w:p>
    <w:p w14:paraId="73B81EBF">
      <w:pPr>
        <w:rPr>
          <w:rFonts w:hint="eastAsia"/>
        </w:rPr>
      </w:pPr>
    </w:p>
    <w:p w14:paraId="647E2B1C">
      <w:pPr>
        <w:rPr>
          <w:rFonts w:hint="eastAsia"/>
        </w:rPr>
      </w:pPr>
    </w:p>
    <w:p w14:paraId="55E61D9B">
      <w:pPr>
        <w:rPr>
          <w:rFonts w:hint="eastAsia"/>
        </w:rPr>
      </w:pPr>
    </w:p>
    <w:p w14:paraId="3BE8837C">
      <w:pPr>
        <w:rPr>
          <w:rFonts w:hint="eastAsia"/>
        </w:rPr>
      </w:pPr>
    </w:p>
    <w:p w14:paraId="576E0983">
      <w:pPr>
        <w:rPr>
          <w:rFonts w:hint="eastAsia"/>
        </w:rPr>
      </w:pPr>
    </w:p>
    <w:p w14:paraId="01E76E97">
      <w:pPr>
        <w:rPr>
          <w:rFonts w:hint="eastAsia"/>
        </w:rPr>
      </w:pPr>
    </w:p>
    <w:tbl>
      <w:tblPr>
        <w:tblStyle w:val="6"/>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5"/>
      </w:tblGrid>
      <w:tr w14:paraId="17C8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715" w:type="dxa"/>
            <w:tcBorders>
              <w:top w:val="nil"/>
              <w:left w:val="nil"/>
              <w:bottom w:val="nil"/>
              <w:right w:val="nil"/>
            </w:tcBorders>
            <w:noWrap w:val="0"/>
            <w:vAlign w:val="center"/>
          </w:tcPr>
          <w:p w14:paraId="00B612F3">
            <w:pPr>
              <w:keepNext w:val="0"/>
              <w:keepLines w:val="0"/>
              <w:pageBreakBefore w:val="0"/>
              <w:kinsoku/>
              <w:wordWrap/>
              <w:overflowPunct/>
              <w:topLinePunct w:val="0"/>
              <w:bidi w:val="0"/>
              <w:spacing w:line="520" w:lineRule="exact"/>
              <w:textAlignment w:val="auto"/>
              <w:rPr>
                <w:rFonts w:hint="eastAsia" w:ascii="仿宋" w:hAnsi="仿宋" w:eastAsia="仿宋" w:cs="仿宋"/>
                <w:b w:val="0"/>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
              </w:rPr>
              <w:t xml:space="preserve"> </w:t>
            </w:r>
          </w:p>
        </w:tc>
      </w:tr>
    </w:tbl>
    <w:p w14:paraId="49F92C5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13DB2"/>
    <w:rsid w:val="26A44565"/>
    <w:rsid w:val="62BA726F"/>
    <w:rsid w:val="643E6EF4"/>
    <w:rsid w:val="65B854AC"/>
    <w:rsid w:val="6866553C"/>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styleId="4">
    <w:name w:val="Body Text Indent"/>
    <w:basedOn w:val="1"/>
    <w:next w:val="1"/>
    <w:qFormat/>
    <w:uiPriority w:val="0"/>
    <w:pPr>
      <w:spacing w:after="120"/>
      <w:ind w:left="420" w:leftChars="200"/>
    </w:pPr>
  </w:style>
  <w:style w:type="paragraph" w:styleId="5">
    <w:name w:val="Body Text First Indent 2"/>
    <w:basedOn w:val="4"/>
    <w:next w:val="1"/>
    <w:qFormat/>
    <w:uiPriority w:val="0"/>
    <w:pPr>
      <w:spacing w:after="120"/>
      <w:ind w:left="420" w:leftChars="200" w:firstLine="210" w:firstLineChars="200"/>
    </w:pPr>
    <w:rPr>
      <w:sz w:val="21"/>
    </w:rPr>
  </w:style>
  <w:style w:type="paragraph" w:customStyle="1" w:styleId="8">
    <w:name w:val="样式1"/>
    <w:basedOn w:val="2"/>
    <w:next w:val="1"/>
    <w:qFormat/>
    <w:uiPriority w:val="0"/>
    <w:rPr>
      <w:rFonts w:asciiTheme="minorAscii" w:hAnsiTheme="minorAscii"/>
    </w:rPr>
  </w:style>
  <w:style w:type="character" w:customStyle="1" w:styleId="9">
    <w:name w:val="标题 1 Char"/>
    <w:link w:val="2"/>
    <w:qFormat/>
    <w:uiPriority w:val="0"/>
    <w:rPr>
      <w:b/>
      <w:kern w:val="44"/>
      <w:sz w:val="44"/>
    </w:rPr>
  </w:style>
  <w:style w:type="paragraph" w:customStyle="1" w:styleId="10">
    <w:name w:val="文 本 正 文"/>
    <w:basedOn w:val="3"/>
    <w:qFormat/>
    <w:uiPriority w:val="0"/>
    <w:pPr>
      <w:autoSpaceDE w:val="0"/>
      <w:autoSpaceDN w:val="0"/>
      <w:adjustRightInd/>
      <w:ind w:firstLine="496" w:firstLineChars="200"/>
      <w:textAlignment w:val="auto"/>
    </w:pPr>
    <w:rPr>
      <w:rFonts w:hAnsi="宋体"/>
      <w:color w:val="000000"/>
    </w:rPr>
  </w:style>
  <w:style w:type="paragraph" w:customStyle="1" w:styleId="11">
    <w:name w:val="Default1"/>
    <w:basedOn w:val="12"/>
    <w:next w:val="1"/>
    <w:qFormat/>
    <w:uiPriority w:val="0"/>
    <w:pPr>
      <w:widowControl w:val="0"/>
      <w:autoSpaceDE w:val="0"/>
      <w:autoSpaceDN w:val="0"/>
      <w:adjustRightInd w:val="0"/>
      <w:spacing w:before="120" w:after="240"/>
      <w:jc w:val="both"/>
    </w:pPr>
    <w:rPr>
      <w:rFonts w:ascii="宋体" w:hAnsi="Calibri" w:eastAsia="宋体" w:cs="宋体"/>
      <w:color w:val="000000"/>
      <w:sz w:val="24"/>
      <w:szCs w:val="24"/>
      <w:lang w:val="en-US" w:eastAsia="zh-CN" w:bidi="ar-SA"/>
    </w:rPr>
  </w:style>
  <w:style w:type="paragraph" w:customStyle="1" w:styleId="12">
    <w:name w:val="Normal_14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2072</Words>
  <Characters>2224</Characters>
  <Lines>0</Lines>
  <Paragraphs>0</Paragraphs>
  <TotalTime>2</TotalTime>
  <ScaleCrop>false</ScaleCrop>
  <LinksUpToDate>false</LinksUpToDate>
  <CharactersWithSpaces>2272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陈云</cp:lastModifiedBy>
  <dcterms:modified xsi:type="dcterms:W3CDTF">2024-12-12T02:09:16Z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3181A3EEB7ED4F2B8DD8F82B0B8589B7_13</vt:lpwstr>
  </property>
</Properties>
</file>